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732155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172720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36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340995</wp:posOffset>
            </wp:positionV>
            <wp:extent cx="71151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3"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May 24,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182245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Luna Innovations Incorporated</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167640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377" w:lineRule="exact"/>
        <w:rPr>
          <w:sz w:val="24"/>
          <w:szCs w:val="24"/>
          <w:color w:val="auto"/>
        </w:rPr>
      </w:pPr>
    </w:p>
    <w:p>
      <w:pPr>
        <w:ind w:left="4560"/>
        <w:spacing w:after="0"/>
        <w:rPr>
          <w:sz w:val="20"/>
          <w:szCs w:val="20"/>
          <w:color w:val="auto"/>
        </w:rPr>
      </w:pPr>
      <w:r>
        <w:rPr>
          <w:rFonts w:ascii="Arial" w:cs="Arial" w:eastAsia="Arial" w:hAnsi="Arial"/>
          <w:sz w:val="18"/>
          <w:szCs w:val="18"/>
          <w:b w:val="1"/>
          <w:bCs w:val="1"/>
          <w:color w:val="auto"/>
        </w:rPr>
        <w:t>301 1st Street SW, Suite 200</w:t>
      </w:r>
    </w:p>
    <w:p>
      <w:pPr>
        <w:spacing w:after="0" w:line="27" w:lineRule="exact"/>
        <w:rPr>
          <w:sz w:val="24"/>
          <w:szCs w:val="24"/>
          <w:color w:val="auto"/>
        </w:rPr>
      </w:pPr>
    </w:p>
    <w:p>
      <w:pPr>
        <w:ind w:left="4880"/>
        <w:spacing w:after="0"/>
        <w:rPr>
          <w:sz w:val="20"/>
          <w:szCs w:val="20"/>
          <w:color w:val="auto"/>
        </w:rPr>
      </w:pPr>
      <w:r>
        <w:rPr>
          <w:rFonts w:ascii="Arial" w:cs="Arial" w:eastAsia="Arial" w:hAnsi="Arial"/>
          <w:sz w:val="18"/>
          <w:szCs w:val="18"/>
          <w:b w:val="1"/>
          <w:bCs w:val="1"/>
          <w:color w:val="auto"/>
        </w:rPr>
        <w:t>Roanoke, VA 24011</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540-769-8400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186690</wp:posOffset>
            </wp:positionV>
            <wp:extent cx="7115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03" w:lineRule="exact"/>
        <w:rPr>
          <w:sz w:val="24"/>
          <w:szCs w:val="24"/>
          <w:color w:val="auto"/>
        </w:rPr>
      </w:pPr>
    </w:p>
    <w:p>
      <w:pPr>
        <w:ind w:left="700" w:hanging="674"/>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700" w:hanging="674"/>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700" w:hanging="674"/>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700" w:hanging="674"/>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74"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Securities Exchange Act of 1934:</w:t>
      </w:r>
    </w:p>
    <w:p>
      <w:pPr>
        <w:spacing w:after="0" w:line="273" w:lineRule="exact"/>
        <w:rPr>
          <w:sz w:val="24"/>
          <w:szCs w:val="24"/>
          <w:color w:val="auto"/>
        </w:rPr>
      </w:pPr>
    </w:p>
    <w:tbl>
      <w:tblPr>
        <w:tblLayout w:type="fixed"/>
        <w:tblInd w:w="330" w:type="dxa"/>
        <w:tblCellMar>
          <w:top w:w="0" w:type="dxa"/>
          <w:left w:w="0" w:type="dxa"/>
          <w:bottom w:w="0" w:type="dxa"/>
          <w:right w:w="0" w:type="dxa"/>
        </w:tblCellMar>
      </w:tblPr>
      <w:tr>
        <w:trPr>
          <w:trHeight w:val="203"/>
        </w:trPr>
        <w:tc>
          <w:tcPr>
            <w:tcW w:w="4120" w:type="dxa"/>
            <w:vAlign w:val="bottom"/>
            <w:tcBorders>
              <w:top w:val="single" w:sz="8" w:color="auto"/>
              <w:left w:val="single" w:sz="8" w:color="auto"/>
              <w:right w:val="single" w:sz="8" w:color="auto"/>
            </w:tcBorders>
            <w:gridSpan w:val="3"/>
          </w:tcPr>
          <w:p>
            <w:pPr>
              <w:ind w:left="1400"/>
              <w:spacing w:after="0" w:line="202" w:lineRule="exact"/>
              <w:rPr>
                <w:sz w:val="20"/>
                <w:szCs w:val="20"/>
                <w:color w:val="auto"/>
              </w:rPr>
            </w:pPr>
            <w:r>
              <w:rPr>
                <w:rFonts w:ascii="Arial" w:cs="Arial" w:eastAsia="Arial" w:hAnsi="Arial"/>
                <w:sz w:val="18"/>
                <w:szCs w:val="18"/>
                <w:color w:val="auto"/>
              </w:rPr>
              <w:t>Title of each class</w:t>
            </w:r>
          </w:p>
        </w:tc>
        <w:tc>
          <w:tcPr>
            <w:tcW w:w="2180" w:type="dxa"/>
            <w:vAlign w:val="bottom"/>
            <w:tcBorders>
              <w:top w:val="single" w:sz="8" w:color="auto"/>
              <w:right w:val="single" w:sz="8" w:color="auto"/>
            </w:tcBorders>
            <w:gridSpan w:val="3"/>
          </w:tcPr>
          <w:p>
            <w:pPr>
              <w:ind w:left="500"/>
              <w:spacing w:after="0" w:line="202" w:lineRule="exact"/>
              <w:rPr>
                <w:sz w:val="20"/>
                <w:szCs w:val="20"/>
                <w:color w:val="auto"/>
              </w:rPr>
            </w:pPr>
            <w:r>
              <w:rPr>
                <w:rFonts w:ascii="Arial" w:cs="Arial" w:eastAsia="Arial" w:hAnsi="Arial"/>
                <w:sz w:val="18"/>
                <w:szCs w:val="18"/>
                <w:color w:val="auto"/>
              </w:rPr>
              <w:t>Trading Symbol</w:t>
            </w:r>
          </w:p>
        </w:tc>
        <w:tc>
          <w:tcPr>
            <w:tcW w:w="560" w:type="dxa"/>
            <w:vAlign w:val="bottom"/>
            <w:tcBorders>
              <w:top w:val="single" w:sz="8" w:color="auto"/>
            </w:tcBorders>
          </w:tcPr>
          <w:p>
            <w:pPr>
              <w:spacing w:after="0"/>
              <w:rPr>
                <w:sz w:val="17"/>
                <w:szCs w:val="17"/>
                <w:color w:val="auto"/>
              </w:rPr>
            </w:pPr>
          </w:p>
        </w:tc>
        <w:tc>
          <w:tcPr>
            <w:tcW w:w="3760" w:type="dxa"/>
            <w:vAlign w:val="bottom"/>
            <w:tcBorders>
              <w:top w:val="single" w:sz="8" w:color="auto"/>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Name of each exchange on which registered</w:t>
            </w:r>
          </w:p>
        </w:tc>
      </w:tr>
      <w:tr>
        <w:trPr>
          <w:trHeight w:val="20"/>
        </w:trPr>
        <w:tc>
          <w:tcPr>
            <w:tcW w:w="1400" w:type="dxa"/>
            <w:vAlign w:val="bottom"/>
            <w:tcBorders>
              <w:left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bottom w:val="single" w:sz="8" w:color="auto"/>
              <w:right w:val="single" w:sz="8" w:color="auto"/>
            </w:tcBorders>
          </w:tcPr>
          <w:p>
            <w:pPr>
              <w:spacing w:after="0" w:line="20" w:lineRule="exact"/>
              <w:rPr>
                <w:sz w:val="1"/>
                <w:szCs w:val="1"/>
                <w:color w:val="auto"/>
              </w:rPr>
            </w:pPr>
          </w:p>
        </w:tc>
      </w:tr>
      <w:tr>
        <w:trPr>
          <w:trHeight w:val="223"/>
        </w:trPr>
        <w:tc>
          <w:tcPr>
            <w:tcW w:w="412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Common Stock, $0.001 par value per share</w:t>
            </w:r>
          </w:p>
        </w:tc>
        <w:tc>
          <w:tcPr>
            <w:tcW w:w="218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LUNA</w:t>
            </w:r>
          </w:p>
        </w:tc>
        <w:tc>
          <w:tcPr>
            <w:tcW w:w="432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The Nasdaq Stock Market LLC</w:t>
            </w:r>
          </w:p>
        </w:tc>
      </w:tr>
    </w:tbl>
    <w:p>
      <w:pPr>
        <w:spacing w:after="0" w:line="200" w:lineRule="exact"/>
        <w:rPr>
          <w:sz w:val="24"/>
          <w:szCs w:val="24"/>
          <w:color w:val="auto"/>
        </w:rPr>
      </w:pPr>
    </w:p>
    <w:p>
      <w:pPr>
        <w:spacing w:after="0" w:line="366" w:lineRule="exact"/>
        <w:rPr>
          <w:sz w:val="24"/>
          <w:szCs w:val="24"/>
          <w:color w:val="auto"/>
        </w:rPr>
      </w:pPr>
    </w:p>
    <w:p>
      <w:pPr>
        <w:spacing w:after="0" w:line="223" w:lineRule="exact"/>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w:t>
      </w:r>
      <w:r>
        <w:rPr>
          <w:rFonts w:ascii="MS PGothic" w:cs="MS PGothic" w:eastAsia="MS PGothic" w:hAnsi="MS PGothic"/>
          <w:sz w:val="18"/>
          <w:szCs w:val="18"/>
          <w:color w:val="auto"/>
        </w:rPr>
        <w:t>‑</w:t>
      </w:r>
      <w:r>
        <w:rPr>
          <w:rFonts w:ascii="Arial" w:cs="Arial" w:eastAsia="Arial" w:hAnsi="Arial"/>
          <w:sz w:val="18"/>
          <w:szCs w:val="18"/>
          <w:color w:val="auto"/>
        </w:rPr>
        <w:t>2 of the Securities Exchange Act of 1934 (§240.12b</w:t>
      </w:r>
      <w:r>
        <w:rPr>
          <w:rFonts w:ascii="MS PGothic" w:cs="MS PGothic" w:eastAsia="MS PGothic" w:hAnsi="MS PGothic"/>
          <w:sz w:val="18"/>
          <w:szCs w:val="18"/>
          <w:color w:val="auto"/>
        </w:rPr>
        <w:t>‑</w:t>
      </w:r>
      <w:r>
        <w:rPr>
          <w:rFonts w:ascii="Arial" w:cs="Arial" w:eastAsia="Arial" w:hAnsi="Arial"/>
          <w:sz w:val="18"/>
          <w:szCs w:val="18"/>
          <w:color w:val="auto"/>
        </w:rPr>
        <w:t>2 of this chapter).</w:t>
      </w:r>
    </w:p>
    <w:p>
      <w:pPr>
        <w:spacing w:after="0" w:line="18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588010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1" w:name="page2"/>
    <w:bookmarkEnd w:id="1"/>
    <w:p>
      <w:pPr>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989965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38" w:right="499" w:bottom="1440" w:gutter="0" w:footer="0" w:header="0"/>
        </w:sectPr>
      </w:pPr>
    </w:p>
    <w:bookmarkStart w:id="2" w:name="page3"/>
    <w:bookmarkEnd w:id="2"/>
    <w:p>
      <w:pPr>
        <w:ind w:left="20"/>
        <w:spacing w:after="0"/>
        <w:tabs>
          <w:tab w:leader="none" w:pos="1360" w:val="left"/>
        </w:tabs>
        <w:rPr>
          <w:sz w:val="20"/>
          <w:szCs w:val="20"/>
          <w:color w:val="auto"/>
        </w:rPr>
      </w:pPr>
      <w:r>
        <w:rPr>
          <w:rFonts w:ascii="Arial" w:cs="Arial" w:eastAsia="Arial" w:hAnsi="Arial"/>
          <w:sz w:val="18"/>
          <w:szCs w:val="18"/>
          <w:b w:val="1"/>
          <w:bCs w:val="1"/>
          <w:color w:val="auto"/>
        </w:rPr>
        <w:t>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337" w:lineRule="exact"/>
        <w:rPr>
          <w:sz w:val="20"/>
          <w:szCs w:val="20"/>
          <w:color w:val="auto"/>
        </w:rPr>
      </w:pPr>
    </w:p>
    <w:p>
      <w:pPr>
        <w:ind w:right="20"/>
        <w:spacing w:after="0"/>
        <w:rPr>
          <w:sz w:val="20"/>
          <w:szCs w:val="20"/>
          <w:color w:val="auto"/>
        </w:rPr>
      </w:pPr>
      <w:r>
        <w:rPr>
          <w:rFonts w:ascii="Arial" w:cs="Arial" w:eastAsia="Arial" w:hAnsi="Arial"/>
          <w:sz w:val="18"/>
          <w:szCs w:val="18"/>
          <w:color w:val="auto"/>
        </w:rPr>
        <w:t>At the 2023 Annual Meeting of Stockholders of Luna Innovation Incorporated (“Luna”) held on May 24, 2023, Luna’s stockholders approved four proposals, as proposed in the proxy statement, as follows: (i) the election of Warren B. Phelps III and Mary Beth Vitale as Class II members of the Board of Directors, to serve until Luna’s 2026 Annual Meeting of Stockholders and until their successors are duly elected and qualified (“Proposal 1”); (ii) the approval, on a non-binding, advisory basis, of the compensation of Luna’s named executive officers (“Proposal 2”); (iii) the approval of Luna’s 2023 Equity Incentive Plan (“Proposal 3”); and (iv) the ratification of the selection of Ernst &amp; Young LLP as Luna’s independent registered public accounting firm for the fiscal year ending December 31, 2023 (“Proposal 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20" w:type="dxa"/>
            <w:vAlign w:val="bottom"/>
            <w:gridSpan w:val="4"/>
          </w:tcPr>
          <w:p>
            <w:pPr>
              <w:spacing w:after="0"/>
              <w:rPr>
                <w:sz w:val="20"/>
                <w:szCs w:val="20"/>
                <w:color w:val="auto"/>
              </w:rPr>
            </w:pPr>
            <w:r>
              <w:rPr>
                <w:rFonts w:ascii="Arial" w:cs="Arial" w:eastAsia="Arial" w:hAnsi="Arial"/>
                <w:sz w:val="18"/>
                <w:szCs w:val="18"/>
                <w:i w:val="1"/>
                <w:iCs w:val="1"/>
                <w:color w:val="auto"/>
              </w:rPr>
              <w:t>Proposal 1. Election of Directors</w:t>
            </w: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920" w:type="dxa"/>
            <w:vAlign w:val="bottom"/>
            <w:gridSpan w:val="4"/>
          </w:tcPr>
          <w:p>
            <w:pPr>
              <w:spacing w:after="0"/>
              <w:rPr>
                <w:sz w:val="20"/>
                <w:szCs w:val="20"/>
                <w:color w:val="auto"/>
              </w:rPr>
            </w:pPr>
            <w:r>
              <w:rPr>
                <w:rFonts w:ascii="Arial" w:cs="Arial" w:eastAsia="Arial" w:hAnsi="Arial"/>
                <w:sz w:val="18"/>
                <w:szCs w:val="18"/>
                <w:color w:val="auto"/>
                <w:w w:val="96"/>
              </w:rPr>
              <w:t>The vote with respect to the election of directors was as follows:</w:t>
            </w: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21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gridSpan w:val="3"/>
          </w:tcPr>
          <w:p>
            <w:pPr>
              <w:ind w:left="840"/>
              <w:spacing w:after="0"/>
              <w:rPr>
                <w:sz w:val="20"/>
                <w:szCs w:val="20"/>
                <w:color w:val="auto"/>
              </w:rPr>
            </w:pPr>
            <w:r>
              <w:rPr>
                <w:rFonts w:ascii="Arial" w:cs="Arial" w:eastAsia="Arial" w:hAnsi="Arial"/>
                <w:sz w:val="18"/>
                <w:szCs w:val="18"/>
                <w:color w:val="auto"/>
              </w:rPr>
              <w:t>FOR</w:t>
            </w:r>
          </w:p>
        </w:tc>
        <w:tc>
          <w:tcPr>
            <w:tcW w:w="60" w:type="dxa"/>
            <w:vAlign w:val="bottom"/>
          </w:tcPr>
          <w:p>
            <w:pPr>
              <w:spacing w:after="0"/>
              <w:rPr>
                <w:sz w:val="24"/>
                <w:szCs w:val="24"/>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rPr>
              <w:t>WITHHELD</w:t>
            </w:r>
          </w:p>
        </w:tc>
        <w:tc>
          <w:tcPr>
            <w:tcW w:w="0" w:type="dxa"/>
            <w:vAlign w:val="bottom"/>
          </w:tcPr>
          <w:p>
            <w:pPr>
              <w:spacing w:after="0"/>
              <w:rPr>
                <w:sz w:val="1"/>
                <w:szCs w:val="1"/>
                <w:color w:val="auto"/>
              </w:rPr>
            </w:pPr>
          </w:p>
        </w:tc>
      </w:tr>
      <w:tr>
        <w:trPr>
          <w:trHeight w:val="222"/>
        </w:trPr>
        <w:tc>
          <w:tcPr>
            <w:tcW w:w="4920" w:type="dxa"/>
            <w:vAlign w:val="bottom"/>
            <w:gridSpan w:val="4"/>
          </w:tcPr>
          <w:p>
            <w:pPr>
              <w:ind w:left="20"/>
              <w:spacing w:after="0"/>
              <w:rPr>
                <w:sz w:val="20"/>
                <w:szCs w:val="20"/>
                <w:color w:val="auto"/>
              </w:rPr>
            </w:pPr>
            <w:r>
              <w:rPr>
                <w:rFonts w:ascii="Arial" w:cs="Arial" w:eastAsia="Arial" w:hAnsi="Arial"/>
                <w:sz w:val="18"/>
                <w:szCs w:val="18"/>
                <w:color w:val="auto"/>
              </w:rPr>
              <w:t>Warren B. Phelps, III</w:t>
            </w:r>
          </w:p>
        </w:tc>
        <w:tc>
          <w:tcPr>
            <w:tcW w:w="1740" w:type="dxa"/>
            <w:vAlign w:val="bottom"/>
          </w:tcPr>
          <w:p>
            <w:pPr>
              <w:spacing w:after="0"/>
              <w:rPr>
                <w:sz w:val="19"/>
                <w:szCs w:val="19"/>
                <w:color w:val="auto"/>
              </w:rPr>
            </w:pPr>
          </w:p>
        </w:tc>
        <w:tc>
          <w:tcPr>
            <w:tcW w:w="22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17,953,797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408,164</w:t>
            </w:r>
          </w:p>
        </w:tc>
        <w:tc>
          <w:tcPr>
            <w:tcW w:w="0" w:type="dxa"/>
            <w:vAlign w:val="bottom"/>
          </w:tcPr>
          <w:p>
            <w:pPr>
              <w:spacing w:after="0"/>
              <w:rPr>
                <w:sz w:val="1"/>
                <w:szCs w:val="1"/>
                <w:color w:val="auto"/>
              </w:rPr>
            </w:pPr>
          </w:p>
        </w:tc>
      </w:tr>
      <w:tr>
        <w:trPr>
          <w:trHeight w:val="230"/>
        </w:trPr>
        <w:tc>
          <w:tcPr>
            <w:tcW w:w="4920" w:type="dxa"/>
            <w:vAlign w:val="bottom"/>
            <w:gridSpan w:val="4"/>
          </w:tcPr>
          <w:p>
            <w:pPr>
              <w:ind w:left="20"/>
              <w:spacing w:after="0"/>
              <w:rPr>
                <w:sz w:val="20"/>
                <w:szCs w:val="20"/>
                <w:color w:val="auto"/>
              </w:rPr>
            </w:pPr>
            <w:r>
              <w:rPr>
                <w:rFonts w:ascii="Arial" w:cs="Arial" w:eastAsia="Arial" w:hAnsi="Arial"/>
                <w:sz w:val="18"/>
                <w:szCs w:val="18"/>
                <w:color w:val="auto"/>
              </w:rPr>
              <w:t>Mary Beth Vitale</w:t>
            </w:r>
          </w:p>
        </w:tc>
        <w:tc>
          <w:tcPr>
            <w:tcW w:w="1740" w:type="dxa"/>
            <w:vAlign w:val="bottom"/>
          </w:tcPr>
          <w:p>
            <w:pPr>
              <w:spacing w:after="0"/>
              <w:rPr>
                <w:sz w:val="20"/>
                <w:szCs w:val="20"/>
                <w:color w:val="auto"/>
              </w:rPr>
            </w:pP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17,878,054</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483,907</w:t>
            </w:r>
          </w:p>
        </w:tc>
        <w:tc>
          <w:tcPr>
            <w:tcW w:w="0" w:type="dxa"/>
            <w:vAlign w:val="bottom"/>
          </w:tcPr>
          <w:p>
            <w:pPr>
              <w:spacing w:after="0"/>
              <w:rPr>
                <w:sz w:val="1"/>
                <w:szCs w:val="1"/>
                <w:color w:val="auto"/>
              </w:rPr>
            </w:pPr>
          </w:p>
        </w:tc>
      </w:tr>
      <w:tr>
        <w:trPr>
          <w:trHeight w:val="715"/>
        </w:trPr>
        <w:tc>
          <w:tcPr>
            <w:tcW w:w="4920" w:type="dxa"/>
            <w:vAlign w:val="bottom"/>
            <w:gridSpan w:val="4"/>
          </w:tcPr>
          <w:p>
            <w:pPr>
              <w:spacing w:after="0"/>
              <w:rPr>
                <w:sz w:val="20"/>
                <w:szCs w:val="20"/>
                <w:color w:val="auto"/>
              </w:rPr>
            </w:pPr>
            <w:r>
              <w:rPr>
                <w:rFonts w:ascii="Arial" w:cs="Arial" w:eastAsia="Arial" w:hAnsi="Arial"/>
                <w:sz w:val="18"/>
                <w:szCs w:val="18"/>
                <w:color w:val="auto"/>
              </w:rPr>
              <w:t>Broker non-votes: 7,737,389</w:t>
            </w: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4920" w:type="dxa"/>
            <w:vAlign w:val="bottom"/>
            <w:gridSpan w:val="4"/>
          </w:tcPr>
          <w:p>
            <w:pPr>
              <w:spacing w:after="0"/>
              <w:rPr>
                <w:sz w:val="20"/>
                <w:szCs w:val="20"/>
                <w:color w:val="auto"/>
              </w:rPr>
            </w:pPr>
            <w:r>
              <w:rPr>
                <w:rFonts w:ascii="Arial" w:cs="Arial" w:eastAsia="Arial" w:hAnsi="Arial"/>
                <w:sz w:val="18"/>
                <w:szCs w:val="18"/>
                <w:i w:val="1"/>
                <w:iCs w:val="1"/>
                <w:color w:val="auto"/>
              </w:rPr>
              <w:t>Proposal 2. Advisory Vote on Executive Compensation</w:t>
            </w: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660" w:type="dxa"/>
            <w:vAlign w:val="bottom"/>
            <w:gridSpan w:val="5"/>
          </w:tcPr>
          <w:p>
            <w:pPr>
              <w:spacing w:after="0"/>
              <w:rPr>
                <w:sz w:val="20"/>
                <w:szCs w:val="20"/>
                <w:color w:val="auto"/>
              </w:rPr>
            </w:pPr>
            <w:r>
              <w:rPr>
                <w:rFonts w:ascii="Arial" w:cs="Arial" w:eastAsia="Arial" w:hAnsi="Arial"/>
                <w:sz w:val="18"/>
                <w:szCs w:val="18"/>
                <w:color w:val="auto"/>
                <w:w w:val="91"/>
              </w:rPr>
              <w:t>The advisory vote on the compensation of Luna’s named executive officers was as follows:</w:t>
            </w: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180" w:type="dxa"/>
            <w:vAlign w:val="bottom"/>
          </w:tcPr>
          <w:p>
            <w:pPr>
              <w:spacing w:after="0"/>
              <w:rPr>
                <w:sz w:val="24"/>
                <w:szCs w:val="24"/>
                <w:color w:val="auto"/>
              </w:rPr>
            </w:pPr>
          </w:p>
        </w:tc>
        <w:tc>
          <w:tcPr>
            <w:tcW w:w="2740" w:type="dxa"/>
            <w:vAlign w:val="bottom"/>
            <w:gridSpan w:val="3"/>
            <w:vMerge w:val="restart"/>
          </w:tcPr>
          <w:p>
            <w:pPr>
              <w:ind w:left="920"/>
              <w:spacing w:after="0"/>
              <w:rPr>
                <w:sz w:val="20"/>
                <w:szCs w:val="20"/>
                <w:color w:val="auto"/>
              </w:rPr>
            </w:pPr>
            <w:r>
              <w:rPr>
                <w:rFonts w:ascii="Arial" w:cs="Arial" w:eastAsia="Arial" w:hAnsi="Arial"/>
                <w:sz w:val="18"/>
                <w:szCs w:val="18"/>
                <w:color w:val="auto"/>
              </w:rPr>
              <w:t>FOR</w:t>
            </w:r>
          </w:p>
        </w:tc>
        <w:tc>
          <w:tcPr>
            <w:tcW w:w="1740" w:type="dxa"/>
            <w:vAlign w:val="bottom"/>
            <w:vMerge w:val="restart"/>
          </w:tcPr>
          <w:p>
            <w:pPr>
              <w:jc w:val="right"/>
              <w:ind w:right="610"/>
              <w:spacing w:after="0"/>
              <w:rPr>
                <w:sz w:val="20"/>
                <w:szCs w:val="20"/>
                <w:color w:val="auto"/>
              </w:rPr>
            </w:pPr>
            <w:r>
              <w:rPr>
                <w:rFonts w:ascii="Arial" w:cs="Arial" w:eastAsia="Arial" w:hAnsi="Arial"/>
                <w:sz w:val="18"/>
                <w:szCs w:val="18"/>
                <w:color w:val="auto"/>
              </w:rPr>
              <w:t>AGAINST</w:t>
            </w:r>
          </w:p>
        </w:tc>
        <w:tc>
          <w:tcPr>
            <w:tcW w:w="100" w:type="dxa"/>
            <w:vAlign w:val="bottom"/>
          </w:tcPr>
          <w:p>
            <w:pPr>
              <w:spacing w:after="0"/>
              <w:rPr>
                <w:sz w:val="24"/>
                <w:szCs w:val="24"/>
                <w:color w:val="auto"/>
              </w:rPr>
            </w:pPr>
          </w:p>
        </w:tc>
        <w:tc>
          <w:tcPr>
            <w:tcW w:w="2240" w:type="dxa"/>
            <w:vAlign w:val="bottom"/>
            <w:gridSpan w:val="3"/>
            <w:vMerge w:val="restart"/>
          </w:tcPr>
          <w:p>
            <w:pPr>
              <w:ind w:left="720"/>
              <w:spacing w:after="0"/>
              <w:rPr>
                <w:sz w:val="20"/>
                <w:szCs w:val="20"/>
                <w:color w:val="auto"/>
              </w:rPr>
            </w:pPr>
            <w:r>
              <w:rPr>
                <w:rFonts w:ascii="Arial" w:cs="Arial" w:eastAsia="Arial" w:hAnsi="Arial"/>
                <w:sz w:val="18"/>
                <w:szCs w:val="18"/>
                <w:color w:val="auto"/>
              </w:rPr>
              <w:t>ABSTAIN</w:t>
            </w:r>
          </w:p>
        </w:tc>
        <w:tc>
          <w:tcPr>
            <w:tcW w:w="60" w:type="dxa"/>
            <w:vAlign w:val="bottom"/>
          </w:tcPr>
          <w:p>
            <w:pPr>
              <w:spacing w:after="0"/>
              <w:rPr>
                <w:sz w:val="24"/>
                <w:szCs w:val="24"/>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4"/>
              </w:rPr>
              <w:t>BROKER</w:t>
            </w:r>
          </w:p>
        </w:tc>
        <w:tc>
          <w:tcPr>
            <w:tcW w:w="0" w:type="dxa"/>
            <w:vAlign w:val="bottom"/>
          </w:tcPr>
          <w:p>
            <w:pPr>
              <w:spacing w:after="0"/>
              <w:rPr>
                <w:sz w:val="1"/>
                <w:szCs w:val="1"/>
                <w:color w:val="auto"/>
              </w:rPr>
            </w:pPr>
          </w:p>
        </w:tc>
      </w:tr>
      <w:tr>
        <w:trPr>
          <w:trHeight w:val="237"/>
        </w:trPr>
        <w:tc>
          <w:tcPr>
            <w:tcW w:w="2180" w:type="dxa"/>
            <w:vAlign w:val="bottom"/>
          </w:tcPr>
          <w:p>
            <w:pPr>
              <w:spacing w:after="0"/>
              <w:rPr>
                <w:sz w:val="20"/>
                <w:szCs w:val="20"/>
                <w:color w:val="auto"/>
              </w:rPr>
            </w:pPr>
          </w:p>
        </w:tc>
        <w:tc>
          <w:tcPr>
            <w:tcW w:w="2740" w:type="dxa"/>
            <w:vAlign w:val="bottom"/>
            <w:gridSpan w:val="3"/>
            <w:vMerge w:val="continue"/>
          </w:tcPr>
          <w:p>
            <w:pPr>
              <w:spacing w:after="0"/>
              <w:rPr>
                <w:sz w:val="20"/>
                <w:szCs w:val="20"/>
                <w:color w:val="auto"/>
              </w:rPr>
            </w:pPr>
          </w:p>
        </w:tc>
        <w:tc>
          <w:tcPr>
            <w:tcW w:w="17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gridSpan w:val="3"/>
            <w:vMerge w:val="continue"/>
          </w:tcPr>
          <w:p>
            <w:pPr>
              <w:spacing w:after="0"/>
              <w:rPr>
                <w:sz w:val="20"/>
                <w:szCs w:val="20"/>
                <w:color w:val="auto"/>
              </w:rPr>
            </w:pPr>
          </w:p>
        </w:tc>
        <w:tc>
          <w:tcPr>
            <w:tcW w:w="60" w:type="dxa"/>
            <w:vAlign w:val="bottom"/>
          </w:tcPr>
          <w:p>
            <w:pPr>
              <w:spacing w:after="0"/>
              <w:rPr>
                <w:sz w:val="20"/>
                <w:szCs w:val="20"/>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7"/>
              </w:rPr>
              <w:t>NON-VOTES</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p>
        </w:tc>
        <w:tc>
          <w:tcPr>
            <w:tcW w:w="2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17,209,256</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758,443</w:t>
            </w:r>
          </w:p>
        </w:tc>
        <w:tc>
          <w:tcPr>
            <w:tcW w:w="100" w:type="dxa"/>
            <w:vAlign w:val="bottom"/>
          </w:tcPr>
          <w:p>
            <w:pPr>
              <w:spacing w:after="0"/>
              <w:rPr>
                <w:sz w:val="20"/>
                <w:szCs w:val="20"/>
                <w:color w:val="auto"/>
              </w:rPr>
            </w:pPr>
          </w:p>
        </w:tc>
        <w:tc>
          <w:tcPr>
            <w:tcW w:w="21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394,262</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7,737,389</w:t>
            </w:r>
          </w:p>
        </w:tc>
        <w:tc>
          <w:tcPr>
            <w:tcW w:w="0" w:type="dxa"/>
            <w:vAlign w:val="bottom"/>
          </w:tcPr>
          <w:p>
            <w:pPr>
              <w:spacing w:after="0"/>
              <w:rPr>
                <w:sz w:val="1"/>
                <w:szCs w:val="1"/>
                <w:color w:val="auto"/>
              </w:rPr>
            </w:pPr>
          </w:p>
        </w:tc>
      </w:tr>
    </w:tbl>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Proposal 3. Approval of Luna's 2023 Equity Incentive Plan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vote with respect to the approval of Luna's 2023 Equity Incentive Plan was as follows:</w:t>
      </w:r>
    </w:p>
    <w:p>
      <w:pPr>
        <w:spacing w:after="0" w:line="262" w:lineRule="exact"/>
        <w:rPr>
          <w:sz w:val="20"/>
          <w:szCs w:val="20"/>
          <w:color w:val="auto"/>
        </w:rPr>
      </w:pPr>
    </w:p>
    <w:tbl>
      <w:tblPr>
        <w:tblLayout w:type="fixed"/>
        <w:tblInd w:w="2180" w:type="dxa"/>
        <w:tblCellMar>
          <w:top w:w="0" w:type="dxa"/>
          <w:left w:w="0" w:type="dxa"/>
          <w:bottom w:w="0" w:type="dxa"/>
          <w:right w:w="0" w:type="dxa"/>
        </w:tblCellMar>
      </w:tblPr>
      <w:tr>
        <w:trPr>
          <w:trHeight w:val="207"/>
        </w:trPr>
        <w:tc>
          <w:tcPr>
            <w:tcW w:w="2180" w:type="dxa"/>
            <w:vAlign w:val="bottom"/>
            <w:vMerge w:val="restart"/>
          </w:tcPr>
          <w:p>
            <w:pPr>
              <w:jc w:val="right"/>
              <w:ind w:right="810"/>
              <w:spacing w:after="0"/>
              <w:rPr>
                <w:sz w:val="20"/>
                <w:szCs w:val="20"/>
                <w:color w:val="auto"/>
              </w:rPr>
            </w:pPr>
            <w:r>
              <w:rPr>
                <w:rFonts w:ascii="Arial" w:cs="Arial" w:eastAsia="Arial" w:hAnsi="Arial"/>
                <w:sz w:val="18"/>
                <w:szCs w:val="18"/>
                <w:color w:val="auto"/>
              </w:rPr>
              <w:t>FOR</w:t>
            </w:r>
          </w:p>
        </w:tc>
        <w:tc>
          <w:tcPr>
            <w:tcW w:w="120" w:type="dxa"/>
            <w:vAlign w:val="bottom"/>
          </w:tcPr>
          <w:p>
            <w:pPr>
              <w:spacing w:after="0"/>
              <w:rPr>
                <w:sz w:val="18"/>
                <w:szCs w:val="18"/>
                <w:color w:val="auto"/>
              </w:rPr>
            </w:pPr>
          </w:p>
        </w:tc>
        <w:tc>
          <w:tcPr>
            <w:tcW w:w="2180" w:type="dxa"/>
            <w:vAlign w:val="bottom"/>
            <w:vMerge w:val="restart"/>
          </w:tcPr>
          <w:p>
            <w:pPr>
              <w:jc w:val="right"/>
              <w:ind w:right="610"/>
              <w:spacing w:after="0"/>
              <w:rPr>
                <w:sz w:val="20"/>
                <w:szCs w:val="20"/>
                <w:color w:val="auto"/>
              </w:rPr>
            </w:pPr>
            <w:r>
              <w:rPr>
                <w:rFonts w:ascii="Arial" w:cs="Arial" w:eastAsia="Arial" w:hAnsi="Arial"/>
                <w:sz w:val="18"/>
                <w:szCs w:val="18"/>
                <w:color w:val="auto"/>
              </w:rPr>
              <w:t>AGAINST</w:t>
            </w:r>
          </w:p>
        </w:tc>
        <w:tc>
          <w:tcPr>
            <w:tcW w:w="100" w:type="dxa"/>
            <w:vAlign w:val="bottom"/>
          </w:tcPr>
          <w:p>
            <w:pPr>
              <w:spacing w:after="0"/>
              <w:rPr>
                <w:sz w:val="18"/>
                <w:szCs w:val="18"/>
                <w:color w:val="auto"/>
              </w:rPr>
            </w:pPr>
          </w:p>
        </w:tc>
        <w:tc>
          <w:tcPr>
            <w:tcW w:w="2180" w:type="dxa"/>
            <w:vAlign w:val="bottom"/>
            <w:vMerge w:val="restart"/>
          </w:tcPr>
          <w:p>
            <w:pPr>
              <w:jc w:val="right"/>
              <w:ind w:right="610"/>
              <w:spacing w:after="0"/>
              <w:rPr>
                <w:sz w:val="20"/>
                <w:szCs w:val="20"/>
                <w:color w:val="auto"/>
              </w:rPr>
            </w:pPr>
            <w:r>
              <w:rPr>
                <w:rFonts w:ascii="Arial" w:cs="Arial" w:eastAsia="Arial" w:hAnsi="Arial"/>
                <w:sz w:val="18"/>
                <w:szCs w:val="18"/>
                <w:color w:val="auto"/>
              </w:rPr>
              <w:t>ABSTAIN</w:t>
            </w:r>
          </w:p>
        </w:tc>
        <w:tc>
          <w:tcPr>
            <w:tcW w:w="12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4"/>
              </w:rPr>
              <w:t>BROKER</w:t>
            </w:r>
          </w:p>
        </w:tc>
        <w:tc>
          <w:tcPr>
            <w:tcW w:w="0" w:type="dxa"/>
            <w:vAlign w:val="bottom"/>
          </w:tcPr>
          <w:p>
            <w:pPr>
              <w:spacing w:after="0"/>
              <w:rPr>
                <w:sz w:val="1"/>
                <w:szCs w:val="1"/>
                <w:color w:val="auto"/>
              </w:rPr>
            </w:pPr>
          </w:p>
        </w:tc>
      </w:tr>
      <w:tr>
        <w:trPr>
          <w:trHeight w:val="230"/>
        </w:trPr>
        <w:tc>
          <w:tcPr>
            <w:tcW w:w="21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1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1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NON-VOTES</w:t>
            </w:r>
          </w:p>
        </w:tc>
        <w:tc>
          <w:tcPr>
            <w:tcW w:w="0" w:type="dxa"/>
            <w:vAlign w:val="bottom"/>
          </w:tcPr>
          <w:p>
            <w:pPr>
              <w:spacing w:after="0"/>
              <w:rPr>
                <w:sz w:val="1"/>
                <w:szCs w:val="1"/>
                <w:color w:val="auto"/>
              </w:rPr>
            </w:pPr>
          </w:p>
        </w:tc>
      </w:tr>
      <w:tr>
        <w:trPr>
          <w:trHeight w:val="224"/>
        </w:trPr>
        <w:tc>
          <w:tcPr>
            <w:tcW w:w="2180" w:type="dxa"/>
            <w:vAlign w:val="bottom"/>
          </w:tcPr>
          <w:p>
            <w:pPr>
              <w:jc w:val="right"/>
              <w:spacing w:after="0"/>
              <w:rPr>
                <w:sz w:val="20"/>
                <w:szCs w:val="20"/>
                <w:color w:val="auto"/>
              </w:rPr>
            </w:pPr>
            <w:r>
              <w:rPr>
                <w:rFonts w:ascii="Arial" w:cs="Arial" w:eastAsia="Arial" w:hAnsi="Arial"/>
                <w:sz w:val="18"/>
                <w:szCs w:val="18"/>
                <w:color w:val="auto"/>
              </w:rPr>
              <w:t>16,386,106</w:t>
            </w:r>
          </w:p>
        </w:tc>
        <w:tc>
          <w:tcPr>
            <w:tcW w:w="12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1,918,892</w:t>
            </w:r>
          </w:p>
        </w:tc>
        <w:tc>
          <w:tcPr>
            <w:tcW w:w="10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56,963</w:t>
            </w:r>
          </w:p>
        </w:tc>
        <w:tc>
          <w:tcPr>
            <w:tcW w:w="12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7,737,389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Proposal 4. Ratification of Selection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vote with respect to the ratification of the selection of Ernst &amp; Young LLP as Luna’s independent registered public accounting firm for the year ending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2023 was as follows: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360" w:type="dxa"/>
            <w:vAlign w:val="bottom"/>
          </w:tcPr>
          <w:p>
            <w:pPr>
              <w:spacing w:after="0"/>
              <w:rPr>
                <w:sz w:val="20"/>
                <w:szCs w:val="20"/>
                <w:color w:val="auto"/>
              </w:rPr>
            </w:pPr>
          </w:p>
        </w:tc>
        <w:tc>
          <w:tcPr>
            <w:tcW w:w="222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FOR</w:t>
            </w:r>
          </w:p>
        </w:tc>
        <w:tc>
          <w:tcPr>
            <w:tcW w:w="120" w:type="dxa"/>
            <w:vAlign w:val="bottom"/>
          </w:tcPr>
          <w:p>
            <w:pPr>
              <w:spacing w:after="0"/>
              <w:rPr>
                <w:sz w:val="20"/>
                <w:szCs w:val="20"/>
                <w:color w:val="auto"/>
              </w:rPr>
            </w:pPr>
          </w:p>
        </w:tc>
        <w:tc>
          <w:tcPr>
            <w:tcW w:w="22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AGAINST</w:t>
            </w:r>
          </w:p>
        </w:tc>
        <w:tc>
          <w:tcPr>
            <w:tcW w:w="100" w:type="dxa"/>
            <w:vAlign w:val="bottom"/>
          </w:tcPr>
          <w:p>
            <w:pPr>
              <w:spacing w:after="0"/>
              <w:rPr>
                <w:sz w:val="20"/>
                <w:szCs w:val="20"/>
                <w:color w:val="auto"/>
              </w:rPr>
            </w:pPr>
          </w:p>
        </w:tc>
        <w:tc>
          <w:tcPr>
            <w:tcW w:w="22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ABSTAIN</w:t>
            </w:r>
          </w:p>
        </w:tc>
      </w:tr>
      <w:tr>
        <w:trPr>
          <w:trHeight w:val="230"/>
        </w:trPr>
        <w:tc>
          <w:tcPr>
            <w:tcW w:w="4360" w:type="dxa"/>
            <w:vAlign w:val="bottom"/>
          </w:tcPr>
          <w:p>
            <w:pPr>
              <w:spacing w:after="0"/>
              <w:rPr>
                <w:sz w:val="20"/>
                <w:szCs w:val="20"/>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26,030,201</w:t>
            </w:r>
          </w:p>
        </w:tc>
        <w:tc>
          <w:tcPr>
            <w:tcW w:w="120" w:type="dxa"/>
            <w:vAlign w:val="bottom"/>
          </w:tcPr>
          <w:p>
            <w:pPr>
              <w:spacing w:after="0"/>
              <w:rPr>
                <w:sz w:val="20"/>
                <w:szCs w:val="20"/>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39,454</w:t>
            </w:r>
          </w:p>
        </w:tc>
        <w:tc>
          <w:tcPr>
            <w:tcW w:w="100" w:type="dxa"/>
            <w:vAlign w:val="bottom"/>
          </w:tcPr>
          <w:p>
            <w:pPr>
              <w:spacing w:after="0"/>
              <w:rPr>
                <w:sz w:val="20"/>
                <w:szCs w:val="20"/>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29,695</w:t>
            </w:r>
          </w:p>
        </w:tc>
      </w:tr>
      <w:tr>
        <w:trPr>
          <w:trHeight w:val="1221"/>
        </w:trPr>
        <w:tc>
          <w:tcPr>
            <w:tcW w:w="436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Luna Innovations Incorporated</w:t>
      </w:r>
    </w:p>
    <w:p>
      <w:pPr>
        <w:spacing w:after="0" w:line="310" w:lineRule="exact"/>
        <w:rPr>
          <w:sz w:val="20"/>
          <w:szCs w:val="20"/>
          <w:color w:val="auto"/>
        </w:rPr>
      </w:pPr>
    </w:p>
    <w:p>
      <w:pPr>
        <w:ind w:left="20"/>
        <w:spacing w:after="0"/>
        <w:tabs>
          <w:tab w:leader="none" w:pos="1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Scott A. Graeff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819150</wp:posOffset>
            </wp:positionH>
            <wp:positionV relativeFrom="paragraph">
              <wp:posOffset>14605</wp:posOffset>
            </wp:positionV>
            <wp:extent cx="36004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Scott A. Graeff</w:t>
      </w:r>
    </w:p>
    <w:p>
      <w:pPr>
        <w:ind w:left="1300"/>
        <w:spacing w:after="0"/>
        <w:rPr>
          <w:sz w:val="20"/>
          <w:szCs w:val="20"/>
          <w:color w:val="auto"/>
        </w:rPr>
      </w:pPr>
      <w:r>
        <w:rPr>
          <w:rFonts w:ascii="Arial" w:cs="Arial" w:eastAsia="Arial" w:hAnsi="Arial"/>
          <w:sz w:val="18"/>
          <w:szCs w:val="18"/>
          <w:color w:val="auto"/>
        </w:rPr>
        <w:t>President and Chief Executive Officer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Date: May 26, 2023</w:t>
      </w:r>
    </w:p>
    <w:sectPr>
      <w:pgSz w:w="11900" w:h="16838" w:orient="portrait"/>
      <w:cols w:equalWidth="0" w:num="1">
        <w:col w:w="11200"/>
      </w:cols>
      <w:pgMar w:left="320" w:top="89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2023-05-26T16:28:36Z</dcterms:created>
  <dcterms:modified xsi:type="dcterms:W3CDTF">2023-05-26T16:28:36Z</dcterms:modified>
</cp:coreProperties>
</file>