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4"/>
        </w:trPr>
        <w:tc>
          <w:tcPr>
            <w:tcW w:w="130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20" w:type="dxa"/>
            <w:vAlign w:val="bottom"/>
            <w:gridSpan w:val="4"/>
          </w:tcPr>
          <w:p>
            <w:pPr>
              <w:ind w:left="80"/>
              <w:spacing w:after="0"/>
              <w:rPr>
                <w:sz w:val="20"/>
                <w:szCs w:val="20"/>
                <w:color w:val="auto"/>
              </w:rPr>
            </w:pPr>
            <w:r>
              <w:rPr>
                <w:rFonts w:ascii="Arial" w:cs="Arial" w:eastAsia="Arial" w:hAnsi="Arial"/>
                <w:sz w:val="22"/>
                <w:szCs w:val="22"/>
                <w:b w:val="1"/>
                <w:bCs w:val="1"/>
                <w:color w:val="auto"/>
              </w:rPr>
              <w:t>FORM 4</w:t>
            </w:r>
          </w:p>
        </w:tc>
        <w:tc>
          <w:tcPr>
            <w:tcW w:w="6320" w:type="dxa"/>
            <w:vAlign w:val="bottom"/>
            <w:gridSpan w:val="19"/>
          </w:tcPr>
          <w:p>
            <w:pPr>
              <w:jc w:val="center"/>
              <w:ind w:right="102"/>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5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gridSpan w:val="5"/>
            <w:vMerge w:val="restart"/>
          </w:tcPr>
          <w:p>
            <w:pPr>
              <w:jc w:val="center"/>
              <w:ind w:right="386"/>
              <w:spacing w:after="0" w:line="136" w:lineRule="exact"/>
              <w:rPr>
                <w:sz w:val="20"/>
                <w:szCs w:val="20"/>
                <w:color w:val="auto"/>
              </w:rPr>
            </w:pPr>
            <w:r>
              <w:rPr>
                <w:rFonts w:ascii="Arial" w:cs="Arial" w:eastAsia="Arial" w:hAnsi="Arial"/>
                <w:sz w:val="12"/>
                <w:szCs w:val="12"/>
                <w:color w:val="auto"/>
              </w:rPr>
              <w:t>Washington, D.C. 20549</w:t>
            </w: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20" w:type="dxa"/>
            <w:vAlign w:val="bottom"/>
            <w:gridSpan w:val="7"/>
            <w:vMerge w:val="restart"/>
          </w:tcPr>
          <w:p>
            <w:pPr>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20"/>
              <w:spacing w:after="0"/>
              <w:rPr>
                <w:sz w:val="20"/>
                <w:szCs w:val="20"/>
                <w:color w:val="auto"/>
              </w:rPr>
            </w:pPr>
            <w:r>
              <w:rPr>
                <w:rFonts w:ascii="Arial" w:cs="Arial" w:eastAsia="Arial" w:hAnsi="Arial"/>
                <w:sz w:val="11"/>
                <w:szCs w:val="11"/>
                <w:color w:val="auto"/>
              </w:rPr>
              <w:t>Check this box if no longer subject to</w:t>
            </w:r>
          </w:p>
        </w:tc>
        <w:tc>
          <w:tcPr>
            <w:tcW w:w="6320" w:type="dxa"/>
            <w:vAlign w:val="bottom"/>
            <w:gridSpan w:val="19"/>
            <w:vMerge w:val="restart"/>
          </w:tcPr>
          <w:p>
            <w:pPr>
              <w:jc w:val="center"/>
              <w:ind w:right="102"/>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320" w:type="dxa"/>
            <w:vAlign w:val="bottom"/>
            <w:gridSpan w:val="19"/>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color w:val="auto"/>
              </w:rPr>
              <w:t>OMB Number:</w:t>
            </w:r>
          </w:p>
        </w:tc>
        <w:tc>
          <w:tcPr>
            <w:tcW w:w="580" w:type="dxa"/>
            <w:vAlign w:val="bottom"/>
          </w:tcPr>
          <w:p>
            <w:pPr>
              <w:spacing w:after="0"/>
              <w:rPr>
                <w:sz w:val="12"/>
                <w:szCs w:val="12"/>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5"/>
          </w:tcPr>
          <w:p>
            <w:pPr>
              <w:ind w:left="220"/>
              <w:spacing w:after="0"/>
              <w:rPr>
                <w:sz w:val="20"/>
                <w:szCs w:val="20"/>
                <w:color w:val="auto"/>
              </w:rPr>
            </w:pPr>
            <w:r>
              <w:rPr>
                <w:rFonts w:ascii="Arial" w:cs="Arial" w:eastAsia="Arial" w:hAnsi="Arial"/>
                <w:sz w:val="11"/>
                <w:szCs w:val="11"/>
                <w:color w:val="auto"/>
              </w:rPr>
              <w:t>Section 16. Form 4 or Form 5</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2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20" w:type="dxa"/>
            <w:vAlign w:val="bottom"/>
          </w:tcPr>
          <w:p>
            <w:pPr>
              <w:spacing w:after="0"/>
              <w:rPr>
                <w:sz w:val="11"/>
                <w:szCs w:val="11"/>
                <w:color w:val="auto"/>
              </w:rPr>
            </w:pPr>
          </w:p>
        </w:tc>
        <w:tc>
          <w:tcPr>
            <w:tcW w:w="4620" w:type="dxa"/>
            <w:vAlign w:val="bottom"/>
            <w:gridSpan w:val="17"/>
            <w:vMerge w:val="restart"/>
          </w:tcPr>
          <w:p>
            <w:pPr>
              <w:jc w:val="center"/>
              <w:ind w:right="5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80" w:type="dxa"/>
            <w:vAlign w:val="bottom"/>
            <w:gridSpan w:val="2"/>
            <w:vMerge w:val="restart"/>
          </w:tcPr>
          <w:p>
            <w:pPr>
              <w:ind w:left="220"/>
              <w:spacing w:after="0" w:line="90"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20" w:type="dxa"/>
            <w:vAlign w:val="bottom"/>
            <w:gridSpan w:val="17"/>
            <w:vMerge w:val="continue"/>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gridSpan w:val="17"/>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9"/>
          </w:tcPr>
          <w:p>
            <w:pPr>
              <w:jc w:val="center"/>
              <w:ind w:right="20"/>
              <w:spacing w:after="0"/>
              <w:rPr>
                <w:sz w:val="20"/>
                <w:szCs w:val="20"/>
                <w:color w:val="auto"/>
              </w:rPr>
            </w:pPr>
            <w:r>
              <w:rPr>
                <w:rFonts w:ascii="Arial" w:cs="Arial" w:eastAsia="Arial" w:hAnsi="Arial"/>
                <w:sz w:val="12"/>
                <w:szCs w:val="12"/>
                <w:color w:val="auto"/>
              </w:rPr>
              <w:t>or Section 30(h) of the Investment Company Act of 1940</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gridSpan w:val="10"/>
          </w:tcPr>
          <w:p>
            <w:pPr>
              <w:spacing w:after="0"/>
              <w:rPr>
                <w:sz w:val="3"/>
                <w:szCs w:val="3"/>
                <w:color w:val="auto"/>
              </w:rPr>
            </w:pPr>
          </w:p>
        </w:tc>
        <w:tc>
          <w:tcPr>
            <w:tcW w:w="120" w:type="dxa"/>
            <w:vAlign w:val="bottom"/>
            <w:tcBorders>
              <w:bottom w:val="single" w:sz="8" w:color="808080"/>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80" w:type="dxa"/>
            <w:vAlign w:val="bottom"/>
            <w:gridSpan w:val="7"/>
          </w:tcPr>
          <w:p>
            <w:pPr>
              <w:ind w:left="60"/>
              <w:spacing w:after="0" w:line="20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5"/>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ROEDEL RICHARD</w:t>
              </w:r>
            </w:hyperlink>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11"/>
          </w:tcPr>
          <w:p>
            <w:pPr>
              <w:ind w:left="60"/>
              <w:spacing w:after="0" w:line="100" w:lineRule="exact"/>
              <w:rPr>
                <w:rFonts w:ascii="Arial" w:cs="Arial" w:eastAsia="Arial" w:hAnsi="Arial"/>
                <w:sz w:val="11"/>
                <w:szCs w:val="11"/>
                <w:color w:val="0000EE"/>
              </w:rPr>
            </w:pPr>
            <w:hyperlink r:id="rId9">
              <w:r>
                <w:rPr>
                  <w:rFonts w:ascii="Arial" w:cs="Arial" w:eastAsia="Arial" w:hAnsi="Arial"/>
                  <w:sz w:val="11"/>
                  <w:szCs w:val="11"/>
                  <w:color w:val="0000EE"/>
                </w:rPr>
                <w:t xml:space="preserve">LUNA INNOVATIONS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LUNA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gridSpan w:val="6"/>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3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38" w:lineRule="exact"/>
              <w:rPr>
                <w:sz w:val="20"/>
                <w:szCs w:val="20"/>
                <w:color w:val="auto"/>
              </w:rPr>
            </w:pPr>
            <w:r>
              <w:rPr>
                <w:rFonts w:ascii="Arial" w:cs="Arial" w:eastAsia="Arial" w:hAnsi="Arial"/>
                <w:sz w:val="16"/>
                <w:szCs w:val="16"/>
                <w:color w:val="0000FF"/>
              </w:rPr>
              <w:t>X</w:t>
            </w: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6"/>
            <w:vMerge w:val="restart"/>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8"/>
                <w:szCs w:val="8"/>
                <w:color w:val="auto"/>
              </w:rPr>
            </w:pPr>
          </w:p>
        </w:tc>
        <w:tc>
          <w:tcPr>
            <w:tcW w:w="1380" w:type="dxa"/>
            <w:vAlign w:val="bottom"/>
            <w:gridSpan w:val="6"/>
            <w:vMerge w:val="restart"/>
          </w:tcPr>
          <w:p>
            <w:pPr>
              <w:ind w:left="1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1380" w:type="dxa"/>
            <w:vAlign w:val="bottom"/>
            <w:gridSpan w:val="7"/>
          </w:tcPr>
          <w:p>
            <w:pPr>
              <w:ind w:left="380"/>
              <w:spacing w:after="0"/>
              <w:rPr>
                <w:sz w:val="20"/>
                <w:szCs w:val="20"/>
                <w:color w:val="auto"/>
              </w:rPr>
            </w:pPr>
            <w:r>
              <w:rPr>
                <w:rFonts w:ascii="Arial" w:cs="Arial" w:eastAsia="Arial" w:hAnsi="Arial"/>
                <w:sz w:val="16"/>
                <w:szCs w:val="16"/>
                <w:color w:val="0000FF"/>
              </w:rPr>
              <w:t>07/03/2023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below)</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rPr>
              <w:t>below)</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3400" w:type="dxa"/>
            <w:vAlign w:val="bottom"/>
            <w:gridSpan w:val="6"/>
            <w:vMerge w:val="restart"/>
          </w:tcPr>
          <w:p>
            <w:pPr>
              <w:spacing w:after="0"/>
              <w:rPr>
                <w:sz w:val="20"/>
                <w:szCs w:val="20"/>
                <w:color w:val="auto"/>
              </w:rPr>
            </w:pPr>
            <w:r>
              <w:rPr>
                <w:rFonts w:ascii="Arial" w:cs="Arial" w:eastAsia="Arial" w:hAnsi="Arial"/>
                <w:sz w:val="16"/>
                <w:szCs w:val="16"/>
                <w:color w:val="0000FF"/>
              </w:rPr>
              <w:t>C/O LUNA INNOVATIONS INCORPORATED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400" w:type="dxa"/>
            <w:vAlign w:val="bottom"/>
            <w:gridSpan w:val="6"/>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40" w:type="dxa"/>
            <w:vAlign w:val="bottom"/>
            <w:gridSpan w:val="11"/>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5"/>
          </w:tcPr>
          <w:p>
            <w:pPr>
              <w:spacing w:after="0" w:line="175" w:lineRule="exact"/>
              <w:rPr>
                <w:sz w:val="20"/>
                <w:szCs w:val="20"/>
                <w:color w:val="auto"/>
              </w:rPr>
            </w:pPr>
            <w:r>
              <w:rPr>
                <w:rFonts w:ascii="Arial" w:cs="Arial" w:eastAsia="Arial" w:hAnsi="Arial"/>
                <w:sz w:val="16"/>
                <w:szCs w:val="16"/>
                <w:color w:val="0000FF"/>
                <w:w w:val="96"/>
              </w:rPr>
              <w:t>301 1ST STREET SW, SUITE 200</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8"/>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11"/>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6"/>
                <w:szCs w:val="16"/>
                <w:color w:val="0000FF"/>
              </w:rPr>
              <w:t>ROANOKE</w:t>
            </w:r>
          </w:p>
        </w:tc>
        <w:tc>
          <w:tcPr>
            <w:tcW w:w="1200" w:type="dxa"/>
            <w:vAlign w:val="bottom"/>
            <w:gridSpan w:val="3"/>
            <w:vMerge w:val="restart"/>
          </w:tcPr>
          <w:p>
            <w:pPr>
              <w:ind w:left="40"/>
              <w:spacing w:after="0"/>
              <w:rPr>
                <w:sz w:val="20"/>
                <w:szCs w:val="20"/>
                <w:color w:val="auto"/>
              </w:rPr>
            </w:pPr>
            <w:r>
              <w:rPr>
                <w:rFonts w:ascii="Arial" w:cs="Arial" w:eastAsia="Arial" w:hAnsi="Arial"/>
                <w:sz w:val="16"/>
                <w:szCs w:val="16"/>
                <w:color w:val="0000FF"/>
              </w:rPr>
              <w:t>VA</w:t>
            </w:r>
          </w:p>
        </w:tc>
        <w:tc>
          <w:tcPr>
            <w:tcW w:w="1020" w:type="dxa"/>
            <w:vAlign w:val="bottom"/>
            <w:vMerge w:val="restart"/>
          </w:tcPr>
          <w:p>
            <w:pPr>
              <w:ind w:left="60"/>
              <w:spacing w:after="0"/>
              <w:rPr>
                <w:sz w:val="20"/>
                <w:szCs w:val="20"/>
                <w:color w:val="auto"/>
              </w:rPr>
            </w:pPr>
            <w:r>
              <w:rPr>
                <w:rFonts w:ascii="Arial" w:cs="Arial" w:eastAsia="Arial" w:hAnsi="Arial"/>
                <w:sz w:val="16"/>
                <w:szCs w:val="16"/>
                <w:color w:val="0000FF"/>
              </w:rPr>
              <w:t>24011</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40" w:type="dxa"/>
            <w:vAlign w:val="bottom"/>
            <w:gridSpan w:val="11"/>
            <w:vMerge w:val="restart"/>
          </w:tcPr>
          <w:p>
            <w:pPr>
              <w:jc w:val="center"/>
              <w:spacing w:after="0"/>
              <w:rPr>
                <w:sz w:val="20"/>
                <w:szCs w:val="20"/>
                <w:color w:val="auto"/>
              </w:rPr>
            </w:pPr>
            <w:r>
              <w:rPr>
                <w:rFonts w:ascii="Arial" w:cs="Arial" w:eastAsia="Arial" w:hAnsi="Arial"/>
                <w:sz w:val="20"/>
                <w:szCs w:val="20"/>
                <w:color w:val="auto"/>
              </w:rPr>
              <w:t>Rule 10b5-1(c) Transaction Indication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1"/>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gridSpan w:val="2"/>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20" w:type="dxa"/>
            <w:vAlign w:val="bottom"/>
            <w:gridSpan w:val="23"/>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11"/>
                <w:szCs w:val="11"/>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20" w:type="dxa"/>
            <w:vAlign w:val="bottom"/>
            <w:gridSpan w:val="2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2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80" w:type="dxa"/>
            <w:vAlign w:val="bottom"/>
            <w:gridSpan w:val="12"/>
          </w:tcPr>
          <w:p>
            <w:pPr>
              <w:ind w:left="100"/>
              <w:spacing w:after="0" w:line="119" w:lineRule="exact"/>
              <w:rPr>
                <w:sz w:val="20"/>
                <w:szCs w:val="20"/>
                <w:color w:val="auto"/>
              </w:rPr>
            </w:pPr>
            <w:r>
              <w:rPr>
                <w:rFonts w:ascii="Arial" w:cs="Arial" w:eastAsia="Arial" w:hAnsi="Arial"/>
                <w:sz w:val="11"/>
                <w:szCs w:val="11"/>
                <w:color w:val="auto"/>
              </w:rPr>
              <w:t>affirmative defense conditions of Rule 10b5-1(c). See Instruction 10.</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80" w:type="dxa"/>
            <w:vAlign w:val="bottom"/>
            <w:tcBorders>
              <w:top w:val="single" w:sz="8" w:color="2C2C2C"/>
            </w:tcBorders>
            <w:gridSpan w:val="20"/>
          </w:tcPr>
          <w:p>
            <w:pPr>
              <w:ind w:left="5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7"/>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92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20" w:type="dxa"/>
            <w:vAlign w:val="bottom"/>
            <w:gridSpan w:val="7"/>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20" w:type="dxa"/>
            <w:vAlign w:val="bottom"/>
            <w:gridSpan w:val="7"/>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(Month/Day/Year)  8)</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10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720" w:type="dxa"/>
            <w:vAlign w:val="bottom"/>
            <w:gridSpan w:val="2"/>
            <w:vMerge w:val="continue"/>
          </w:tcPr>
          <w:p>
            <w:pPr>
              <w:spacing w:after="0"/>
              <w:rPr>
                <w:sz w:val="10"/>
                <w:szCs w:val="10"/>
                <w:color w:val="auto"/>
              </w:rPr>
            </w:pPr>
          </w:p>
        </w:tc>
        <w:tc>
          <w:tcPr>
            <w:tcW w:w="72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1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12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6"/>
          </w:tcPr>
          <w:p>
            <w:pPr>
              <w:spacing w:after="0"/>
              <w:rPr>
                <w:sz w:val="6"/>
                <w:szCs w:val="6"/>
                <w:color w:val="auto"/>
              </w:rPr>
            </w:pPr>
          </w:p>
        </w:tc>
        <w:tc>
          <w:tcPr>
            <w:tcW w:w="2700" w:type="dxa"/>
            <w:vAlign w:val="bottom"/>
            <w:tcBorders>
              <w:bottom w:val="single" w:sz="8" w:color="2C2C2C"/>
            </w:tcBorders>
            <w:gridSpan w:val="7"/>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9"/>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40" w:type="dxa"/>
            <w:vAlign w:val="bottom"/>
            <w:gridSpan w:val="18"/>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42"/>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5"/>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tcBorders>
              <w:right w:val="single" w:sz="8" w:color="2C2C2C"/>
            </w:tcBorders>
            <w:gridSpan w:val="6"/>
          </w:tcPr>
          <w:p>
            <w:pPr>
              <w:ind w:left="2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6"/>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80" w:type="dxa"/>
            <w:vAlign w:val="bottom"/>
          </w:tcPr>
          <w:p>
            <w:pPr>
              <w:spacing w:after="0"/>
              <w:rPr>
                <w:sz w:val="10"/>
                <w:szCs w:val="10"/>
                <w:color w:val="auto"/>
              </w:rPr>
            </w:pPr>
          </w:p>
        </w:tc>
        <w:tc>
          <w:tcPr>
            <w:tcW w:w="9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4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5"/>
          </w:tcPr>
          <w:p>
            <w:pPr>
              <w:ind w:left="1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380" w:type="dxa"/>
            <w:vAlign w:val="bottom"/>
            <w:tcBorders>
              <w:right w:val="single" w:sz="8" w:color="2C2C2C"/>
            </w:tcBorders>
            <w:gridSpan w:val="6"/>
          </w:tcPr>
          <w:p>
            <w:pPr>
              <w:jc w:val="center"/>
              <w:ind w:right="780"/>
              <w:spacing w:after="0" w:line="125"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5)</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2"/>
                <w:szCs w:val="2"/>
                <w:color w:val="auto"/>
              </w:rPr>
            </w:pPr>
          </w:p>
        </w:tc>
        <w:tc>
          <w:tcPr>
            <w:tcW w:w="88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w w:val="96"/>
              </w:rPr>
              <w:t>(Instr. 4)</w:t>
            </w: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6"/>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580" w:type="dxa"/>
            <w:vAlign w:val="bottom"/>
            <w:vMerge w:val="restart"/>
          </w:tcPr>
          <w:p>
            <w:pPr>
              <w:spacing w:after="0"/>
              <w:rPr>
                <w:sz w:val="20"/>
                <w:szCs w:val="20"/>
                <w:color w:val="auto"/>
              </w:rPr>
            </w:pPr>
            <w:r>
              <w:rPr>
                <w:rFonts w:ascii="Arial" w:cs="Arial" w:eastAsia="Arial" w:hAnsi="Arial"/>
                <w:sz w:val="11"/>
                <w:szCs w:val="11"/>
                <w:b w:val="1"/>
                <w:bCs w:val="1"/>
                <w:color w:val="auto"/>
              </w:rPr>
              <w:t>(A)</w:t>
            </w:r>
          </w:p>
        </w:tc>
        <w:tc>
          <w:tcPr>
            <w:tcW w:w="3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6"/>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vMerge w:val="continue"/>
          </w:tcPr>
          <w:p>
            <w:pPr>
              <w:spacing w:after="0"/>
              <w:rPr>
                <w:sz w:val="13"/>
                <w:szCs w:val="13"/>
                <w:color w:val="auto"/>
              </w:rPr>
            </w:pP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07/03/2023</w:t>
            </w:r>
          </w:p>
        </w:tc>
        <w:tc>
          <w:tcPr>
            <w:tcW w:w="1020" w:type="dxa"/>
            <w:vAlign w:val="bottom"/>
          </w:tcPr>
          <w:p>
            <w:pPr>
              <w:spacing w:after="0"/>
              <w:rPr>
                <w:sz w:val="15"/>
                <w:szCs w:val="15"/>
                <w:color w:val="auto"/>
              </w:rPr>
            </w:pPr>
          </w:p>
        </w:tc>
        <w:tc>
          <w:tcPr>
            <w:tcW w:w="800" w:type="dxa"/>
            <w:vAlign w:val="bottom"/>
            <w:gridSpan w:val="6"/>
            <w:vMerge w:val="restart"/>
          </w:tcPr>
          <w:p>
            <w:pPr>
              <w:ind w:left="18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88"/>
              </w:rPr>
              <w:t>1,740.33</w:t>
            </w:r>
            <w:r>
              <w:rPr>
                <w:rFonts w:ascii="Arial" w:cs="Arial" w:eastAsia="Arial" w:hAnsi="Arial"/>
                <w:sz w:val="20"/>
                <w:szCs w:val="20"/>
                <w:color w:val="008000"/>
                <w:w w:val="88"/>
                <w:vertAlign w:val="superscript"/>
              </w:rPr>
              <w:t>(2)</w:t>
            </w:r>
          </w:p>
        </w:tc>
        <w:tc>
          <w:tcPr>
            <w:tcW w:w="3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5"/>
                <w:szCs w:val="15"/>
                <w:color w:val="auto"/>
              </w:rPr>
            </w:pPr>
          </w:p>
        </w:tc>
        <w:tc>
          <w:tcPr>
            <w:tcW w:w="480" w:type="dxa"/>
            <w:vAlign w:val="bottom"/>
            <w:vMerge w:val="restart"/>
          </w:tcPr>
          <w:p>
            <w:pPr>
              <w:jc w:val="center"/>
              <w:ind w:right="226"/>
              <w:spacing w:after="0"/>
              <w:rPr>
                <w:sz w:val="20"/>
                <w:szCs w:val="20"/>
                <w:color w:val="auto"/>
              </w:rPr>
            </w:pPr>
            <w:r>
              <w:rPr>
                <w:rFonts w:ascii="Arial" w:cs="Arial" w:eastAsia="Arial" w:hAnsi="Arial"/>
                <w:sz w:val="10"/>
                <w:szCs w:val="10"/>
                <w:color w:val="008000"/>
                <w:w w:val="97"/>
              </w:rPr>
              <w:t>(3)</w:t>
            </w: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8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1,740.33</w:t>
            </w:r>
          </w:p>
        </w:tc>
        <w:tc>
          <w:tcPr>
            <w:tcW w:w="4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4"/>
            <w:vMerge w:val="restart"/>
          </w:tcPr>
          <w:p>
            <w:pPr>
              <w:jc w:val="center"/>
              <w:ind w:right="39"/>
              <w:spacing w:after="0"/>
              <w:rPr>
                <w:sz w:val="20"/>
                <w:szCs w:val="20"/>
                <w:color w:val="auto"/>
              </w:rPr>
            </w:pPr>
            <w:r>
              <w:rPr>
                <w:rFonts w:ascii="Arial" w:cs="Arial" w:eastAsia="Arial" w:hAnsi="Arial"/>
                <w:sz w:val="12"/>
                <w:szCs w:val="12"/>
                <w:color w:val="0000FF"/>
                <w:w w:val="93"/>
              </w:rPr>
              <w:t>56,659.81</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6"/>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8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07/03/2023</w:t>
            </w:r>
          </w:p>
        </w:tc>
        <w:tc>
          <w:tcPr>
            <w:tcW w:w="1020" w:type="dxa"/>
            <w:vAlign w:val="bottom"/>
          </w:tcPr>
          <w:p>
            <w:pPr>
              <w:spacing w:after="0"/>
              <w:rPr>
                <w:sz w:val="15"/>
                <w:szCs w:val="15"/>
                <w:color w:val="auto"/>
              </w:rPr>
            </w:pPr>
          </w:p>
        </w:tc>
        <w:tc>
          <w:tcPr>
            <w:tcW w:w="800" w:type="dxa"/>
            <w:vAlign w:val="bottom"/>
            <w:gridSpan w:val="6"/>
            <w:vMerge w:val="restart"/>
          </w:tcPr>
          <w:p>
            <w:pPr>
              <w:ind w:left="18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86"/>
              </w:rPr>
              <w:t>303.87</w:t>
            </w:r>
            <w:r>
              <w:rPr>
                <w:rFonts w:ascii="Arial" w:cs="Arial" w:eastAsia="Arial" w:hAnsi="Arial"/>
                <w:sz w:val="20"/>
                <w:szCs w:val="20"/>
                <w:color w:val="008000"/>
                <w:w w:val="86"/>
                <w:vertAlign w:val="superscript"/>
              </w:rPr>
              <w:t>(4)</w:t>
            </w:r>
          </w:p>
        </w:tc>
        <w:tc>
          <w:tcPr>
            <w:tcW w:w="3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5"/>
                <w:szCs w:val="15"/>
                <w:color w:val="auto"/>
              </w:rPr>
            </w:pPr>
          </w:p>
        </w:tc>
        <w:tc>
          <w:tcPr>
            <w:tcW w:w="480" w:type="dxa"/>
            <w:vAlign w:val="bottom"/>
            <w:vMerge w:val="restart"/>
          </w:tcPr>
          <w:p>
            <w:pPr>
              <w:jc w:val="center"/>
              <w:ind w:right="226"/>
              <w:spacing w:after="0"/>
              <w:rPr>
                <w:sz w:val="20"/>
                <w:szCs w:val="20"/>
                <w:color w:val="auto"/>
              </w:rPr>
            </w:pPr>
            <w:r>
              <w:rPr>
                <w:rFonts w:ascii="Arial" w:cs="Arial" w:eastAsia="Arial" w:hAnsi="Arial"/>
                <w:sz w:val="10"/>
                <w:szCs w:val="10"/>
                <w:color w:val="008000"/>
                <w:w w:val="97"/>
              </w:rPr>
              <w:t>(3)</w:t>
            </w: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140" w:type="dxa"/>
            <w:vAlign w:val="bottom"/>
          </w:tcPr>
          <w:p>
            <w:pPr>
              <w:spacing w:after="0"/>
              <w:rPr>
                <w:sz w:val="15"/>
                <w:szCs w:val="15"/>
                <w:color w:val="auto"/>
              </w:rPr>
            </w:pPr>
          </w:p>
        </w:tc>
        <w:tc>
          <w:tcPr>
            <w:tcW w:w="680" w:type="dxa"/>
            <w:vAlign w:val="bottom"/>
            <w:gridSpan w:val="2"/>
            <w:vMerge w:val="restart"/>
          </w:tcPr>
          <w:p>
            <w:pPr>
              <w:jc w:val="center"/>
              <w:ind w:right="111"/>
              <w:spacing w:after="0"/>
              <w:rPr>
                <w:sz w:val="20"/>
                <w:szCs w:val="20"/>
                <w:color w:val="auto"/>
              </w:rPr>
            </w:pPr>
            <w:r>
              <w:rPr>
                <w:rFonts w:ascii="Arial" w:cs="Arial" w:eastAsia="Arial" w:hAnsi="Arial"/>
                <w:sz w:val="16"/>
                <w:szCs w:val="16"/>
                <w:color w:val="0000FF"/>
                <w:w w:val="93"/>
              </w:rPr>
              <w:t>303.87</w:t>
            </w:r>
          </w:p>
        </w:tc>
        <w:tc>
          <w:tcPr>
            <w:tcW w:w="4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4"/>
            <w:vMerge w:val="restart"/>
          </w:tcPr>
          <w:p>
            <w:pPr>
              <w:jc w:val="center"/>
              <w:ind w:right="39"/>
              <w:spacing w:after="0"/>
              <w:rPr>
                <w:sz w:val="20"/>
                <w:szCs w:val="20"/>
                <w:color w:val="auto"/>
              </w:rPr>
            </w:pPr>
            <w:r>
              <w:rPr>
                <w:rFonts w:ascii="Arial" w:cs="Arial" w:eastAsia="Arial" w:hAnsi="Arial"/>
                <w:sz w:val="12"/>
                <w:szCs w:val="12"/>
                <w:color w:val="0000FF"/>
                <w:w w:val="93"/>
              </w:rPr>
              <w:t>56,963.68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6"/>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07/03/2023</w:t>
            </w:r>
          </w:p>
        </w:tc>
        <w:tc>
          <w:tcPr>
            <w:tcW w:w="1020" w:type="dxa"/>
            <w:vAlign w:val="bottom"/>
          </w:tcPr>
          <w:p>
            <w:pPr>
              <w:spacing w:after="0"/>
              <w:rPr>
                <w:sz w:val="15"/>
                <w:szCs w:val="15"/>
                <w:color w:val="auto"/>
              </w:rPr>
            </w:pPr>
          </w:p>
        </w:tc>
        <w:tc>
          <w:tcPr>
            <w:tcW w:w="800" w:type="dxa"/>
            <w:vAlign w:val="bottom"/>
            <w:gridSpan w:val="6"/>
            <w:vMerge w:val="restart"/>
          </w:tcPr>
          <w:p>
            <w:pPr>
              <w:ind w:left="18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86"/>
              </w:rPr>
              <w:t>138.12</w:t>
            </w:r>
            <w:r>
              <w:rPr>
                <w:rFonts w:ascii="Arial" w:cs="Arial" w:eastAsia="Arial" w:hAnsi="Arial"/>
                <w:sz w:val="20"/>
                <w:szCs w:val="20"/>
                <w:color w:val="008000"/>
                <w:w w:val="86"/>
                <w:vertAlign w:val="superscript"/>
              </w:rPr>
              <w:t>(5)</w:t>
            </w:r>
          </w:p>
        </w:tc>
        <w:tc>
          <w:tcPr>
            <w:tcW w:w="3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5"/>
                <w:szCs w:val="15"/>
                <w:color w:val="auto"/>
              </w:rPr>
            </w:pPr>
          </w:p>
        </w:tc>
        <w:tc>
          <w:tcPr>
            <w:tcW w:w="480" w:type="dxa"/>
            <w:vAlign w:val="bottom"/>
            <w:vMerge w:val="restart"/>
          </w:tcPr>
          <w:p>
            <w:pPr>
              <w:jc w:val="center"/>
              <w:ind w:right="226"/>
              <w:spacing w:after="0"/>
              <w:rPr>
                <w:sz w:val="20"/>
                <w:szCs w:val="20"/>
                <w:color w:val="auto"/>
              </w:rPr>
            </w:pPr>
            <w:r>
              <w:rPr>
                <w:rFonts w:ascii="Arial" w:cs="Arial" w:eastAsia="Arial" w:hAnsi="Arial"/>
                <w:sz w:val="10"/>
                <w:szCs w:val="10"/>
                <w:color w:val="008000"/>
                <w:w w:val="97"/>
              </w:rPr>
              <w:t>(3)</w:t>
            </w: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140" w:type="dxa"/>
            <w:vAlign w:val="bottom"/>
          </w:tcPr>
          <w:p>
            <w:pPr>
              <w:spacing w:after="0"/>
              <w:rPr>
                <w:sz w:val="15"/>
                <w:szCs w:val="15"/>
                <w:color w:val="auto"/>
              </w:rPr>
            </w:pPr>
          </w:p>
        </w:tc>
        <w:tc>
          <w:tcPr>
            <w:tcW w:w="680" w:type="dxa"/>
            <w:vAlign w:val="bottom"/>
            <w:gridSpan w:val="2"/>
            <w:vMerge w:val="restart"/>
          </w:tcPr>
          <w:p>
            <w:pPr>
              <w:jc w:val="center"/>
              <w:ind w:right="111"/>
              <w:spacing w:after="0"/>
              <w:rPr>
                <w:sz w:val="20"/>
                <w:szCs w:val="20"/>
                <w:color w:val="auto"/>
              </w:rPr>
            </w:pPr>
            <w:r>
              <w:rPr>
                <w:rFonts w:ascii="Arial" w:cs="Arial" w:eastAsia="Arial" w:hAnsi="Arial"/>
                <w:sz w:val="16"/>
                <w:szCs w:val="16"/>
                <w:color w:val="0000FF"/>
                <w:w w:val="93"/>
              </w:rPr>
              <w:t>138.12</w:t>
            </w:r>
          </w:p>
        </w:tc>
        <w:tc>
          <w:tcPr>
            <w:tcW w:w="4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4"/>
            <w:vMerge w:val="restart"/>
          </w:tcPr>
          <w:p>
            <w:pPr>
              <w:jc w:val="center"/>
              <w:ind w:right="59"/>
              <w:spacing w:after="0"/>
              <w:rPr>
                <w:sz w:val="20"/>
                <w:szCs w:val="20"/>
                <w:color w:val="auto"/>
              </w:rPr>
            </w:pPr>
            <w:r>
              <w:rPr>
                <w:rFonts w:ascii="Arial" w:cs="Arial" w:eastAsia="Arial" w:hAnsi="Arial"/>
                <w:sz w:val="12"/>
                <w:szCs w:val="12"/>
                <w:color w:val="0000FF"/>
                <w:w w:val="94"/>
              </w:rPr>
              <w:t>57,101.8</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6"/>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15"/>
                <w:szCs w:val="15"/>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07/03/2023</w:t>
            </w:r>
          </w:p>
        </w:tc>
        <w:tc>
          <w:tcPr>
            <w:tcW w:w="1020" w:type="dxa"/>
            <w:vAlign w:val="bottom"/>
          </w:tcPr>
          <w:p>
            <w:pPr>
              <w:spacing w:after="0"/>
              <w:rPr>
                <w:sz w:val="15"/>
                <w:szCs w:val="15"/>
                <w:color w:val="auto"/>
              </w:rPr>
            </w:pPr>
          </w:p>
        </w:tc>
        <w:tc>
          <w:tcPr>
            <w:tcW w:w="800" w:type="dxa"/>
            <w:vAlign w:val="bottom"/>
            <w:gridSpan w:val="6"/>
            <w:vMerge w:val="restart"/>
          </w:tcPr>
          <w:p>
            <w:pPr>
              <w:ind w:left="180"/>
              <w:spacing w:after="0"/>
              <w:rPr>
                <w:sz w:val="20"/>
                <w:szCs w:val="20"/>
                <w:color w:val="auto"/>
              </w:rPr>
            </w:pPr>
            <w:r>
              <w:rPr>
                <w:rFonts w:ascii="Arial" w:cs="Arial" w:eastAsia="Arial" w:hAnsi="Arial"/>
                <w:sz w:val="12"/>
                <w:szCs w:val="12"/>
                <w:color w:val="0000FF"/>
              </w:rPr>
              <w:t>A</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86"/>
              </w:rPr>
              <w:t>138.12</w:t>
            </w:r>
            <w:r>
              <w:rPr>
                <w:rFonts w:ascii="Arial" w:cs="Arial" w:eastAsia="Arial" w:hAnsi="Arial"/>
                <w:sz w:val="20"/>
                <w:szCs w:val="20"/>
                <w:color w:val="008000"/>
                <w:w w:val="86"/>
                <w:vertAlign w:val="superscript"/>
              </w:rPr>
              <w:t>(6)</w:t>
            </w:r>
          </w:p>
        </w:tc>
        <w:tc>
          <w:tcPr>
            <w:tcW w:w="38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5"/>
                <w:szCs w:val="15"/>
                <w:color w:val="auto"/>
              </w:rPr>
            </w:pPr>
          </w:p>
        </w:tc>
        <w:tc>
          <w:tcPr>
            <w:tcW w:w="480" w:type="dxa"/>
            <w:vAlign w:val="bottom"/>
            <w:vMerge w:val="restart"/>
          </w:tcPr>
          <w:p>
            <w:pPr>
              <w:jc w:val="center"/>
              <w:ind w:right="226"/>
              <w:spacing w:after="0"/>
              <w:rPr>
                <w:sz w:val="20"/>
                <w:szCs w:val="20"/>
                <w:color w:val="auto"/>
              </w:rPr>
            </w:pPr>
            <w:r>
              <w:rPr>
                <w:rFonts w:ascii="Arial" w:cs="Arial" w:eastAsia="Arial" w:hAnsi="Arial"/>
                <w:sz w:val="10"/>
                <w:szCs w:val="10"/>
                <w:color w:val="008000"/>
                <w:w w:val="97"/>
              </w:rPr>
              <w:t>(3)</w:t>
            </w: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140" w:type="dxa"/>
            <w:vAlign w:val="bottom"/>
          </w:tcPr>
          <w:p>
            <w:pPr>
              <w:spacing w:after="0"/>
              <w:rPr>
                <w:sz w:val="15"/>
                <w:szCs w:val="15"/>
                <w:color w:val="auto"/>
              </w:rPr>
            </w:pPr>
          </w:p>
        </w:tc>
        <w:tc>
          <w:tcPr>
            <w:tcW w:w="680" w:type="dxa"/>
            <w:vAlign w:val="bottom"/>
            <w:gridSpan w:val="2"/>
            <w:vMerge w:val="restart"/>
          </w:tcPr>
          <w:p>
            <w:pPr>
              <w:jc w:val="center"/>
              <w:ind w:right="111"/>
              <w:spacing w:after="0"/>
              <w:rPr>
                <w:sz w:val="20"/>
                <w:szCs w:val="20"/>
                <w:color w:val="auto"/>
              </w:rPr>
            </w:pPr>
            <w:r>
              <w:rPr>
                <w:rFonts w:ascii="Arial" w:cs="Arial" w:eastAsia="Arial" w:hAnsi="Arial"/>
                <w:sz w:val="16"/>
                <w:szCs w:val="16"/>
                <w:color w:val="0000FF"/>
                <w:w w:val="93"/>
              </w:rPr>
              <w:t>138.12</w:t>
            </w:r>
          </w:p>
        </w:tc>
        <w:tc>
          <w:tcPr>
            <w:tcW w:w="40" w:type="dxa"/>
            <w:vAlign w:val="bottom"/>
          </w:tcPr>
          <w:p>
            <w:pPr>
              <w:spacing w:after="0"/>
              <w:rPr>
                <w:sz w:val="15"/>
                <w:szCs w:val="15"/>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4"/>
            <w:vMerge w:val="restart"/>
          </w:tcPr>
          <w:p>
            <w:pPr>
              <w:jc w:val="center"/>
              <w:ind w:right="39"/>
              <w:spacing w:after="0"/>
              <w:rPr>
                <w:sz w:val="20"/>
                <w:szCs w:val="20"/>
                <w:color w:val="auto"/>
              </w:rPr>
            </w:pPr>
            <w:r>
              <w:rPr>
                <w:rFonts w:ascii="Arial" w:cs="Arial" w:eastAsia="Arial" w:hAnsi="Arial"/>
                <w:sz w:val="12"/>
                <w:szCs w:val="12"/>
                <w:color w:val="0000FF"/>
                <w:w w:val="93"/>
              </w:rPr>
              <w:t>57,239.92</w:t>
            </w: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6"/>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ind w:left="300"/>
              <w:spacing w:after="0"/>
              <w:rPr>
                <w:sz w:val="20"/>
                <w:szCs w:val="20"/>
                <w:color w:val="auto"/>
              </w:rPr>
            </w:pPr>
            <w:r>
              <w:rPr>
                <w:rFonts w:ascii="Arial" w:cs="Arial" w:eastAsia="Arial" w:hAnsi="Arial"/>
                <w:sz w:val="10"/>
                <w:szCs w:val="10"/>
                <w:color w:val="008000"/>
              </w:rPr>
              <w:t>(1)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gridSpan w:val="2"/>
          </w:tcPr>
          <w:p>
            <w:pPr>
              <w:jc w:val="center"/>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20"/>
                <w:szCs w:val="20"/>
                <w:color w:val="auto"/>
              </w:rPr>
            </w:pPr>
          </w:p>
        </w:tc>
        <w:tc>
          <w:tcPr>
            <w:tcW w:w="480" w:type="dxa"/>
            <w:vAlign w:val="bottom"/>
          </w:tcPr>
          <w:p>
            <w:pPr>
              <w:jc w:val="center"/>
              <w:ind w:right="226"/>
              <w:spacing w:after="0"/>
              <w:rPr>
                <w:sz w:val="20"/>
                <w:szCs w:val="20"/>
                <w:color w:val="auto"/>
              </w:rPr>
            </w:pPr>
            <w:r>
              <w:rPr>
                <w:rFonts w:ascii="Arial" w:cs="Arial" w:eastAsia="Arial" w:hAnsi="Arial"/>
                <w:sz w:val="10"/>
                <w:szCs w:val="10"/>
                <w:color w:val="008000"/>
                <w:w w:val="97"/>
              </w:rPr>
              <w:t>(3)</w:t>
            </w:r>
          </w:p>
        </w:tc>
        <w:tc>
          <w:tcPr>
            <w:tcW w:w="580" w:type="dxa"/>
            <w:vAlign w:val="bottom"/>
          </w:tcPr>
          <w:p>
            <w:pPr>
              <w:ind w:left="20"/>
              <w:spacing w:after="0"/>
              <w:rPr>
                <w:sz w:val="20"/>
                <w:szCs w:val="20"/>
                <w:color w:val="auto"/>
              </w:rPr>
            </w:pPr>
            <w:r>
              <w:rPr>
                <w:rFonts w:ascii="Arial" w:cs="Arial" w:eastAsia="Arial" w:hAnsi="Arial"/>
                <w:sz w:val="12"/>
                <w:szCs w:val="12"/>
                <w:color w:val="0000FF"/>
              </w:rPr>
              <w:t>Common</w:t>
            </w:r>
          </w:p>
        </w:tc>
        <w:tc>
          <w:tcPr>
            <w:tcW w:w="820" w:type="dxa"/>
            <w:vAlign w:val="bottom"/>
            <w:gridSpan w:val="3"/>
          </w:tcPr>
          <w:p>
            <w:pPr>
              <w:jc w:val="center"/>
              <w:spacing w:after="0"/>
              <w:rPr>
                <w:sz w:val="20"/>
                <w:szCs w:val="20"/>
                <w:color w:val="auto"/>
              </w:rPr>
            </w:pPr>
            <w:r>
              <w:rPr>
                <w:rFonts w:ascii="Arial" w:cs="Arial" w:eastAsia="Arial" w:hAnsi="Arial"/>
                <w:sz w:val="16"/>
                <w:szCs w:val="16"/>
                <w:color w:val="0000FF"/>
                <w:w w:val="92"/>
              </w:rPr>
              <w:t>296,478.26</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gridSpan w:val="4"/>
          </w:tcPr>
          <w:p>
            <w:pPr>
              <w:jc w:val="center"/>
              <w:ind w:right="59"/>
              <w:spacing w:after="0"/>
              <w:rPr>
                <w:sz w:val="20"/>
                <w:szCs w:val="20"/>
                <w:color w:val="auto"/>
              </w:rPr>
            </w:pPr>
            <w:r>
              <w:rPr>
                <w:rFonts w:ascii="Arial" w:cs="Arial" w:eastAsia="Arial" w:hAnsi="Arial"/>
                <w:sz w:val="12"/>
                <w:szCs w:val="12"/>
                <w:color w:val="0000FF"/>
                <w:w w:val="93"/>
              </w:rPr>
              <w:t>296,478.26</w:t>
            </w:r>
          </w:p>
        </w:tc>
        <w:tc>
          <w:tcPr>
            <w:tcW w:w="580" w:type="dxa"/>
            <w:vAlign w:val="bottom"/>
          </w:tcPr>
          <w:p>
            <w:pPr>
              <w:jc w:val="center"/>
              <w:spacing w:after="0"/>
              <w:rPr>
                <w:sz w:val="20"/>
                <w:szCs w:val="20"/>
                <w:color w:val="auto"/>
              </w:rPr>
            </w:pPr>
            <w:r>
              <w:rPr>
                <w:rFonts w:ascii="Arial" w:cs="Arial" w:eastAsia="Arial" w:hAnsi="Arial"/>
                <w:sz w:val="12"/>
                <w:szCs w:val="12"/>
                <w:color w:val="0000FF"/>
              </w:rPr>
              <w:t>I</w:t>
            </w:r>
          </w:p>
        </w:tc>
        <w:tc>
          <w:tcPr>
            <w:tcW w:w="800" w:type="dxa"/>
            <w:vAlign w:val="bottom"/>
            <w:tcBorders>
              <w:right w:val="single" w:sz="8" w:color="2C2C2C"/>
            </w:tcBorders>
            <w:gridSpan w:val="5"/>
          </w:tcPr>
          <w:p>
            <w:pPr>
              <w:ind w:left="140"/>
              <w:spacing w:after="0"/>
              <w:rPr>
                <w:sz w:val="20"/>
                <w:szCs w:val="20"/>
                <w:color w:val="auto"/>
              </w:rPr>
            </w:pPr>
            <w:r>
              <w:rPr>
                <w:rFonts w:ascii="Arial" w:cs="Arial" w:eastAsia="Arial" w:hAnsi="Arial"/>
                <w:sz w:val="12"/>
                <w:szCs w:val="12"/>
                <w:color w:val="0000FF"/>
              </w:rPr>
              <w:t>By spousal</w:t>
            </w:r>
          </w:p>
        </w:tc>
        <w:tc>
          <w:tcPr>
            <w:tcW w:w="0" w:type="dxa"/>
            <w:vAlign w:val="bottom"/>
          </w:tcPr>
          <w:p>
            <w:pPr>
              <w:spacing w:after="0"/>
              <w:rPr>
                <w:sz w:val="1"/>
                <w:szCs w:val="1"/>
                <w:color w:val="auto"/>
              </w:rPr>
            </w:pPr>
          </w:p>
        </w:tc>
      </w:tr>
      <w:tr>
        <w:trPr>
          <w:trHeight w:val="142"/>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color w:val="0000FF"/>
              </w:rPr>
              <w:t>Units</w:t>
            </w: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Stock</w:t>
            </w:r>
          </w:p>
        </w:tc>
        <w:tc>
          <w:tcPr>
            <w:tcW w:w="1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right w:val="single" w:sz="8" w:color="2C2C2C"/>
            </w:tcBorders>
            <w:gridSpan w:val="5"/>
          </w:tcPr>
          <w:p>
            <w:pPr>
              <w:ind w:left="140"/>
              <w:spacing w:after="0"/>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-5913755</wp:posOffset>
            </wp:positionV>
            <wp:extent cx="7048500" cy="5927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8500" cy="59270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ind w:left="160" w:hanging="12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Stock units are convertible into issuer's common stock on a 1-for-1 basis.</w:t>
      </w:r>
    </w:p>
    <w:p>
      <w:pPr>
        <w:spacing w:after="0" w:line="49" w:lineRule="exact"/>
        <w:rPr>
          <w:rFonts w:ascii="Arial" w:cs="Arial" w:eastAsia="Arial" w:hAnsi="Arial"/>
          <w:sz w:val="12"/>
          <w:szCs w:val="12"/>
          <w:color w:val="008000"/>
        </w:rPr>
      </w:pPr>
    </w:p>
    <w:p>
      <w:pPr>
        <w:ind w:left="40" w:right="240" w:hanging="3"/>
        <w:spacing w:after="0" w:line="25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grant was made pursuant to issuer's non-employee director compensation policy, as compensation for Mr. Roedel's service as chairman of the board of directors for the period from July 1, 2023 to Sepember 30, 2023. The number of restricted stock units is equal to $15,750.00 divided by $9.05, the closing price of issuer's common stock on the Nasdaq Capital Market on July 3, 2023, the first trading day of the quarter. The Reporting Person elected to receive fees in stock units.</w:t>
      </w:r>
    </w:p>
    <w:p>
      <w:pPr>
        <w:spacing w:after="0" w:line="22" w:lineRule="exact"/>
        <w:rPr>
          <w:rFonts w:ascii="Arial" w:cs="Arial" w:eastAsia="Arial" w:hAnsi="Arial"/>
          <w:sz w:val="12"/>
          <w:szCs w:val="12"/>
          <w:color w:val="008000"/>
        </w:rPr>
      </w:pPr>
    </w:p>
    <w:p>
      <w:pPr>
        <w:ind w:left="40" w:right="280" w:hanging="3"/>
        <w:spacing w:after="0" w:line="272"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units become issuable in common stock of the issuer at the election of the Reporting Person upon the earliest to occur of the Reporting Period's termination of service, a change in control of the issuer, an unforeseeable emergency, or a fixed date selected by the Reporting Person. The units have no expiration date.</w:t>
      </w:r>
    </w:p>
    <w:p>
      <w:pPr>
        <w:spacing w:after="0" w:line="12" w:lineRule="exact"/>
        <w:rPr>
          <w:rFonts w:ascii="Arial" w:cs="Arial" w:eastAsia="Arial" w:hAnsi="Arial"/>
          <w:sz w:val="12"/>
          <w:szCs w:val="12"/>
          <w:color w:val="008000"/>
        </w:rPr>
      </w:pPr>
    </w:p>
    <w:p>
      <w:pPr>
        <w:ind w:left="40" w:right="140" w:hanging="3"/>
        <w:spacing w:after="0" w:line="25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grant was made pursuant to the issuer's non-employee director compensation policy, as compensation for Mr. Roedel's service as the chairman of the risk committee of the board of directors for the period from July 1, 2023 to September 30, 2023. The number of restricted stock units is equal to $2,750.00 divided by $9.05, the closing price of issuer's common stock on the Nasdaq Capital Market on July 3, 2023, the first day of the quarter. The Reporting Person elected to receive fees in stock units.</w:t>
      </w:r>
    </w:p>
    <w:p>
      <w:pPr>
        <w:spacing w:after="0" w:line="22" w:lineRule="exact"/>
        <w:rPr>
          <w:rFonts w:ascii="Arial" w:cs="Arial" w:eastAsia="Arial" w:hAnsi="Arial"/>
          <w:sz w:val="12"/>
          <w:szCs w:val="12"/>
          <w:color w:val="008000"/>
        </w:rPr>
      </w:pPr>
    </w:p>
    <w:p>
      <w:pPr>
        <w:ind w:left="40" w:right="220" w:hanging="3"/>
        <w:spacing w:after="0" w:line="25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grant was made pursuant to issuer's non-employee director compensation policy, as compensation for Mr. Roedel's service on the nominating and governance committee of the board of directors for the period from July 1, 2023 to September 30, 2023. The number of restricted stock units is equal to $1,250.00 divided by $9.05, the closing price of issuer's common stock on the Nasdaq Capital Market on July 3, 2023, the first day of the quarter. The Reporting Person elected to receive fees in stock units.</w:t>
      </w:r>
    </w:p>
    <w:p>
      <w:pPr>
        <w:spacing w:after="0" w:line="22" w:lineRule="exact"/>
        <w:rPr>
          <w:rFonts w:ascii="Arial" w:cs="Arial" w:eastAsia="Arial" w:hAnsi="Arial"/>
          <w:sz w:val="12"/>
          <w:szCs w:val="12"/>
          <w:color w:val="008000"/>
        </w:rPr>
      </w:pPr>
    </w:p>
    <w:p>
      <w:pPr>
        <w:jc w:val="both"/>
        <w:ind w:left="40" w:right="320" w:hanging="3"/>
        <w:spacing w:after="0" w:line="255" w:lineRule="auto"/>
        <w:tabs>
          <w:tab w:leader="none" w:pos="16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grant was made pursuant to issuer's non-employee director compensation policy, as compensation for Mr. Roedel's service on the compensation committee of the board of directors for the period from July 1, 2023 to September 30, 2023. The number of restricted stock units is equal to $1,250.00 divided by $9.05, the closing price of issuer's common stock on the Nasdaq Capital Market on July 3, 2023, the first day of the quarter. The Reporting Person elected to receive fees in stock units.</w:t>
      </w:r>
    </w:p>
    <w:p>
      <w:pPr>
        <w:sectPr>
          <w:pgSz w:w="11900" w:h="16838" w:orient="portrait"/>
          <w:cols w:equalWidth="0" w:num="1">
            <w:col w:w="11080"/>
          </w:cols>
          <w:pgMar w:left="460" w:top="220" w:right="359" w:bottom="1440" w:gutter="0" w:footer="0" w:header="0"/>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Scott A. Graeff,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0</wp:posOffset>
            </wp:positionV>
            <wp:extent cx="13157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-12065</wp:posOffset>
            </wp:positionV>
            <wp:extent cx="1778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77800" cy="7620"/>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1420" w:hanging="3"/>
        <w:spacing w:after="0" w:line="324"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0000FF"/>
        </w:rPr>
        <w:t>07/05/2023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699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93" w:lineRule="exact"/>
        <w:rPr>
          <w:sz w:val="20"/>
          <w:szCs w:val="20"/>
          <w:color w:val="auto"/>
        </w:rPr>
      </w:pPr>
    </w:p>
    <w:p>
      <w:pPr>
        <w:sectPr>
          <w:pgSz w:w="11900" w:h="16838" w:orient="portrait"/>
          <w:cols w:equalWidth="0" w:num="2">
            <w:col w:w="8660" w:space="14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05976" TargetMode="External"/><Relationship Id="rId9"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2023-07-05T16:19:17Z</dcterms:created>
  <dcterms:modified xsi:type="dcterms:W3CDTF">2023-07-05T16:19:17Z</dcterms:modified>
</cp:coreProperties>
</file>