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6185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1855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97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ROEDEL RICHARD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60"/>
        <w:spacing w:after="0" w:line="365" w:lineRule="auto"/>
        <w:rPr>
          <w:sz w:val="20"/>
          <w:szCs w:val="20"/>
          <w:color w:val="auto"/>
        </w:rPr>
      </w:pPr>
      <w:r>
        <w:rPr>
          <w:rFonts w:ascii="Times New Roman" w:cs="Times New Roman" w:eastAsia="Times New Roman" w:hAnsi="Times New Roman"/>
          <w:sz w:val="17"/>
          <w:szCs w:val="17"/>
          <w:color w:val="0000FF"/>
        </w:rPr>
        <w:t>C/O LUNA INNOVATIONS INCORPORATED 301 1ST STREET SW, SUITE 200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ROANOKE</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24011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LUNA INNOVATIONS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LUNA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26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5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03/24/2024</w:t>
            </w:r>
          </w:p>
        </w:tc>
        <w:tc>
          <w:tcPr>
            <w:tcW w:w="1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560" w:type="dxa"/>
            <w:vAlign w:val="bottom"/>
            <w:gridSpan w:val="3"/>
            <w:vMerge w:val="continue"/>
          </w:tcPr>
          <w:p>
            <w:pPr>
              <w:spacing w:after="0"/>
              <w:rPr>
                <w:sz w:val="11"/>
                <w:szCs w:val="11"/>
                <w:color w:val="auto"/>
              </w:rPr>
            </w:pPr>
          </w:p>
        </w:tc>
        <w:tc>
          <w:tcPr>
            <w:tcW w:w="1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Interim Exec Chair/President</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979"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jc w:val="right"/>
              <w:ind w:right="16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9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03/24/2024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9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6"/>
              </w:rPr>
              <w:t>154,639</w:t>
            </w:r>
            <w:r>
              <w:rPr>
                <w:rFonts w:ascii="Times New Roman" w:cs="Times New Roman" w:eastAsia="Times New Roman" w:hAnsi="Times New Roman"/>
                <w:sz w:val="22"/>
                <w:szCs w:val="22"/>
                <w:color w:val="008000"/>
                <w:w w:val="96"/>
                <w:vertAlign w:val="superscript"/>
              </w:rPr>
              <w:t>(1)(2)</w:t>
            </w:r>
          </w:p>
        </w:tc>
        <w:tc>
          <w:tcPr>
            <w:tcW w:w="4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tcPr>
          <w:p>
            <w:pPr>
              <w:jc w:val="right"/>
              <w:ind w:right="1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154,639</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237,573</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Profit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40" w:type="dxa"/>
            <w:vAlign w:val="bottom"/>
            <w:vMerge w:val="continue"/>
          </w:tcPr>
          <w:p>
            <w:pPr>
              <w:spacing w:after="0"/>
              <w:rPr>
                <w:sz w:val="10"/>
                <w:szCs w:val="10"/>
                <w:color w:val="auto"/>
              </w:rPr>
            </w:pPr>
          </w:p>
        </w:tc>
        <w:tc>
          <w:tcPr>
            <w:tcW w:w="17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Sharing</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524,633</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Spousal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8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restricted stock units. Each restricted stock unit represents the contingent right to receive one share of common stock of the issuer. The Reporting Person was granted the restricted stock units in connection with the Reporting Person's appointment as Interim Executive Chairman and Interim President. One-fourth of the shares underlying the award will become eligible to vest on each three month anniversary of the grant date, subject to the Reporting Person's continued employment with the issuer as Interim Executive Chairman as of the applicable three month anniversary (the "Service-Eligible RSUs"). Any restricted stock units that become Service-Eligible RSUs will actually vest on March 24, 2025, subject to the Reporting Person's Continuous Service (as defined in the issuer's 2023 Equity Incentive Plan) to the issuer through such date.</w:t>
      </w:r>
    </w:p>
    <w:p>
      <w:pPr>
        <w:spacing w:after="0" w:line="26"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the event of Mr. Roedel's death or disability, or in the event of a change in control of the issuer, occurring (a) during Mr. Roedel's service as Interim Executive Chairman, the vesting of any unvested restricted stock units, whether or not Service-Eligible RSUs, shall accelerate in full, or (b) after the termination Mr. Roedel's service as Interim Executive Chair but while Mr. Roedel remains in Continuous Service, the vesting of any Service-Eligible RSUs shall accelerate in full. The restricted stock units have no expiration date.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spouse is trustee of the Spousal Lifetime Access Trust (SLAT). The beneficiaries of the SLAT are the Reporting Person's spouse and children. The Reporting Person disclaims beneficial ownership of the securities held by the SLAT.</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Richard W. Roedel</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03/26/2024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97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5976" TargetMode="External"/><Relationship Id="rId13" Type="http://schemas.openxmlformats.org/officeDocument/2006/relationships/hyperlink" Target="http://www.sec.gov/cgi-bin/browse-edgar?action=getcompany&amp;CIK=00012398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2024-03-26T18:19:45Z</dcterms:created>
  <dcterms:modified xsi:type="dcterms:W3CDTF">2024-03-26T18:19:45Z</dcterms:modified>
</cp:coreProperties>
</file>