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rFonts w:ascii="Arial" w:cs="Arial" w:eastAsia="Arial" w:hAnsi="Arial"/>
          <w:sz w:val="14"/>
          <w:szCs w:val="14"/>
          <w:b w:val="1"/>
          <w:bCs w:val="1"/>
          <w:u w:val="single" w:color="auto"/>
          <w:color w:val="0000EE"/>
        </w:rPr>
      </w:pPr>
      <w:hyperlink w:anchor="page2">
        <w:r>
          <w:rPr>
            <w:rFonts w:ascii="Arial" w:cs="Arial" w:eastAsia="Arial" w:hAnsi="Arial"/>
            <w:sz w:val="14"/>
            <w:szCs w:val="14"/>
            <w:b w:val="1"/>
            <w:bCs w:val="1"/>
            <w:u w:val="single" w:color="auto"/>
            <w:color w:val="0000EE"/>
          </w:rPr>
          <w:t>Table of Contents</w:t>
        </w:r>
      </w:hyperlink>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340995</wp:posOffset>
            </wp:positionV>
            <wp:extent cx="7246620" cy="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255270</wp:posOffset>
            </wp:positionV>
            <wp:extent cx="724662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200" w:lineRule="exact"/>
        <w:rPr>
          <w:sz w:val="24"/>
          <w:szCs w:val="24"/>
          <w:color w:val="auto"/>
        </w:rPr>
      </w:pPr>
    </w:p>
    <w:p>
      <w:pPr>
        <w:spacing w:after="0" w:line="370" w:lineRule="exact"/>
        <w:rPr>
          <w:sz w:val="24"/>
          <w:szCs w:val="24"/>
          <w:color w:val="auto"/>
        </w:rPr>
      </w:pPr>
    </w:p>
    <w:p>
      <w:pPr>
        <w:jc w:val="center"/>
        <w:ind w:right="-59"/>
        <w:spacing w:after="0"/>
        <w:rPr>
          <w:sz w:val="20"/>
          <w:szCs w:val="20"/>
          <w:color w:val="auto"/>
        </w:rPr>
      </w:pPr>
      <w:r>
        <w:rPr>
          <w:rFonts w:ascii="Arial" w:cs="Arial" w:eastAsia="Arial" w:hAnsi="Arial"/>
          <w:sz w:val="32"/>
          <w:szCs w:val="32"/>
          <w:b w:val="1"/>
          <w:bCs w:val="1"/>
          <w:color w:val="auto"/>
        </w:rPr>
        <w:t>UNITED STATES</w:t>
      </w:r>
    </w:p>
    <w:p>
      <w:pPr>
        <w:spacing w:after="0" w:line="46" w:lineRule="exact"/>
        <w:rPr>
          <w:sz w:val="24"/>
          <w:szCs w:val="24"/>
          <w:color w:val="auto"/>
        </w:rPr>
      </w:pPr>
    </w:p>
    <w:p>
      <w:pPr>
        <w:jc w:val="center"/>
        <w:ind w:right="-59"/>
        <w:spacing w:after="0"/>
        <w:rPr>
          <w:sz w:val="20"/>
          <w:szCs w:val="20"/>
          <w:color w:val="auto"/>
        </w:rPr>
      </w:pPr>
      <w:r>
        <w:rPr>
          <w:rFonts w:ascii="Arial" w:cs="Arial" w:eastAsia="Arial" w:hAnsi="Arial"/>
          <w:sz w:val="32"/>
          <w:szCs w:val="32"/>
          <w:b w:val="1"/>
          <w:bCs w:val="1"/>
          <w:color w:val="auto"/>
        </w:rPr>
        <w:t>SECURITIES AND EXCHANGE COMMISSION</w:t>
      </w:r>
    </w:p>
    <w:p>
      <w:pPr>
        <w:spacing w:after="0" w:line="7" w:lineRule="exact"/>
        <w:rPr>
          <w:sz w:val="24"/>
          <w:szCs w:val="24"/>
          <w:color w:val="auto"/>
        </w:rPr>
      </w:pPr>
    </w:p>
    <w:p>
      <w:pPr>
        <w:jc w:val="center"/>
        <w:ind w:right="-59"/>
        <w:spacing w:after="0"/>
        <w:rPr>
          <w:sz w:val="20"/>
          <w:szCs w:val="20"/>
          <w:color w:val="auto"/>
        </w:rPr>
      </w:pPr>
      <w:r>
        <w:rPr>
          <w:rFonts w:ascii="Arial" w:cs="Arial" w:eastAsia="Arial" w:hAnsi="Arial"/>
          <w:sz w:val="22"/>
          <w:szCs w:val="22"/>
          <w:b w:val="1"/>
          <w:bCs w:val="1"/>
          <w:color w:val="auto"/>
        </w:rPr>
        <w:t>WASHINGTON, DC 20549</w:t>
      </w:r>
    </w:p>
    <w:p>
      <w:pPr>
        <w:ind w:left="4040"/>
        <w:spacing w:after="0"/>
        <w:rPr>
          <w:sz w:val="20"/>
          <w:szCs w:val="20"/>
          <w:color w:val="auto"/>
        </w:rPr>
      </w:pPr>
      <w:r>
        <w:rPr>
          <w:rFonts w:ascii="Arial" w:cs="Arial" w:eastAsia="Arial" w:hAnsi="Arial"/>
          <w:sz w:val="18"/>
          <w:szCs w:val="18"/>
          <w:color w:val="auto"/>
        </w:rPr>
        <w:t>_____________________________________</w:t>
      </w:r>
    </w:p>
    <w:p>
      <w:pPr>
        <w:spacing w:after="0" w:line="115" w:lineRule="exact"/>
        <w:rPr>
          <w:sz w:val="24"/>
          <w:szCs w:val="24"/>
          <w:color w:val="auto"/>
        </w:rPr>
      </w:pPr>
    </w:p>
    <w:p>
      <w:pPr>
        <w:jc w:val="center"/>
        <w:ind w:right="-59"/>
        <w:spacing w:after="0"/>
        <w:rPr>
          <w:sz w:val="20"/>
          <w:szCs w:val="20"/>
          <w:color w:val="auto"/>
        </w:rPr>
      </w:pPr>
      <w:r>
        <w:rPr>
          <w:rFonts w:ascii="Arial" w:cs="Arial" w:eastAsia="Arial" w:hAnsi="Arial"/>
          <w:sz w:val="32"/>
          <w:szCs w:val="32"/>
          <w:b w:val="1"/>
          <w:bCs w:val="1"/>
          <w:color w:val="auto"/>
        </w:rPr>
        <w:t>FORM 10-Q</w:t>
      </w:r>
    </w:p>
    <w:p>
      <w:pPr>
        <w:spacing w:after="0" w:line="40" w:lineRule="exact"/>
        <w:rPr>
          <w:sz w:val="24"/>
          <w:szCs w:val="24"/>
          <w:color w:val="auto"/>
        </w:rPr>
      </w:pPr>
    </w:p>
    <w:p>
      <w:pPr>
        <w:ind w:left="4040"/>
        <w:spacing w:after="0"/>
        <w:rPr>
          <w:sz w:val="20"/>
          <w:szCs w:val="20"/>
          <w:color w:val="auto"/>
        </w:rPr>
      </w:pPr>
      <w:r>
        <w:rPr>
          <w:rFonts w:ascii="Arial" w:cs="Arial" w:eastAsia="Arial" w:hAnsi="Arial"/>
          <w:sz w:val="18"/>
          <w:szCs w:val="18"/>
          <w:color w:val="auto"/>
        </w:rPr>
        <w:t>_____________________________________</w:t>
      </w:r>
    </w:p>
    <w:p>
      <w:pPr>
        <w:spacing w:after="0" w:line="169" w:lineRule="exact"/>
        <w:rPr>
          <w:sz w:val="24"/>
          <w:szCs w:val="24"/>
          <w:color w:val="auto"/>
        </w:rPr>
      </w:pPr>
    </w:p>
    <w:p>
      <w:pPr>
        <w:ind w:left="720" w:right="160" w:hanging="685"/>
        <w:spacing w:after="0" w:line="256" w:lineRule="auto"/>
        <w:tabs>
          <w:tab w:leader="none" w:pos="720" w:val="left"/>
        </w:tabs>
        <w:numPr>
          <w:ilvl w:val="0"/>
          <w:numId w:val="1"/>
        </w:numPr>
        <w:rPr>
          <w:rFonts w:ascii="MS PGothic" w:cs="MS PGothic" w:eastAsia="MS PGothic" w:hAnsi="MS PGothic"/>
          <w:sz w:val="22"/>
          <w:szCs w:val="22"/>
          <w:color w:val="auto"/>
        </w:rPr>
      </w:pPr>
      <w:r>
        <w:rPr>
          <w:rFonts w:ascii="Arial" w:cs="Arial" w:eastAsia="Arial" w:hAnsi="Arial"/>
          <w:sz w:val="22"/>
          <w:szCs w:val="22"/>
          <w:b w:val="1"/>
          <w:bCs w:val="1"/>
          <w:color w:val="auto"/>
        </w:rPr>
        <w:t>QUARTERLY REPORT PURSUANT TO SECTION 13 OR 15(d) OF THE SECURITIES EXCHANGE ACT OF 1934</w:t>
      </w:r>
    </w:p>
    <w:p>
      <w:pPr>
        <w:spacing w:after="0" w:line="91" w:lineRule="exact"/>
        <w:rPr>
          <w:sz w:val="24"/>
          <w:szCs w:val="24"/>
          <w:color w:val="auto"/>
        </w:rPr>
      </w:pPr>
    </w:p>
    <w:p>
      <w:pPr>
        <w:jc w:val="center"/>
        <w:ind w:right="-59"/>
        <w:spacing w:after="0"/>
        <w:rPr>
          <w:sz w:val="20"/>
          <w:szCs w:val="20"/>
          <w:color w:val="auto"/>
        </w:rPr>
      </w:pPr>
      <w:r>
        <w:rPr>
          <w:rFonts w:ascii="Arial" w:cs="Arial" w:eastAsia="Arial" w:hAnsi="Arial"/>
          <w:sz w:val="18"/>
          <w:szCs w:val="18"/>
          <w:b w:val="1"/>
          <w:bCs w:val="1"/>
          <w:color w:val="auto"/>
        </w:rPr>
        <w:t>For the quarterly period ended June 30, 2018</w:t>
      </w:r>
    </w:p>
    <w:p>
      <w:pPr>
        <w:spacing w:after="0" w:line="117" w:lineRule="exact"/>
        <w:rPr>
          <w:sz w:val="24"/>
          <w:szCs w:val="24"/>
          <w:color w:val="auto"/>
        </w:rPr>
      </w:pPr>
    </w:p>
    <w:p>
      <w:pPr>
        <w:jc w:val="center"/>
        <w:ind w:right="-59"/>
        <w:spacing w:after="0"/>
        <w:rPr>
          <w:sz w:val="20"/>
          <w:szCs w:val="20"/>
          <w:color w:val="auto"/>
        </w:rPr>
      </w:pPr>
      <w:r>
        <w:rPr>
          <w:rFonts w:ascii="Arial" w:cs="Arial" w:eastAsia="Arial" w:hAnsi="Arial"/>
          <w:sz w:val="18"/>
          <w:szCs w:val="18"/>
          <w:b w:val="1"/>
          <w:bCs w:val="1"/>
          <w:color w:val="auto"/>
        </w:rPr>
        <w:t>OR</w:t>
      </w:r>
    </w:p>
    <w:p>
      <w:pPr>
        <w:spacing w:after="0" w:line="162" w:lineRule="exact"/>
        <w:rPr>
          <w:sz w:val="24"/>
          <w:szCs w:val="24"/>
          <w:color w:val="auto"/>
        </w:rPr>
      </w:pPr>
    </w:p>
    <w:p>
      <w:pPr>
        <w:ind w:left="720" w:right="140" w:hanging="685"/>
        <w:spacing w:after="0" w:line="256" w:lineRule="auto"/>
        <w:tabs>
          <w:tab w:leader="none" w:pos="720" w:val="left"/>
        </w:tabs>
        <w:numPr>
          <w:ilvl w:val="0"/>
          <w:numId w:val="2"/>
        </w:numPr>
        <w:rPr>
          <w:rFonts w:ascii="MS PGothic" w:cs="MS PGothic" w:eastAsia="MS PGothic" w:hAnsi="MS PGothic"/>
          <w:sz w:val="22"/>
          <w:szCs w:val="22"/>
          <w:color w:val="auto"/>
        </w:rPr>
      </w:pPr>
      <w:r>
        <w:rPr>
          <w:rFonts w:ascii="Arial" w:cs="Arial" w:eastAsia="Arial" w:hAnsi="Arial"/>
          <w:sz w:val="22"/>
          <w:szCs w:val="22"/>
          <w:b w:val="1"/>
          <w:bCs w:val="1"/>
          <w:color w:val="auto"/>
        </w:rPr>
        <w:t>TRANSITION REPORT PURSUANT TO SECTION 13 OR 15(d) OF THE SECURITIES EXCHANGE ACT OF 1934</w:t>
      </w:r>
    </w:p>
    <w:p>
      <w:pPr>
        <w:spacing w:after="0" w:line="91" w:lineRule="exact"/>
        <w:rPr>
          <w:sz w:val="24"/>
          <w:szCs w:val="24"/>
          <w:color w:val="auto"/>
        </w:rPr>
      </w:pPr>
    </w:p>
    <w:p>
      <w:pPr>
        <w:ind w:left="3500"/>
        <w:spacing w:after="0"/>
        <w:tabs>
          <w:tab w:leader="none" w:pos="6800" w:val="left"/>
        </w:tabs>
        <w:rPr>
          <w:sz w:val="20"/>
          <w:szCs w:val="20"/>
          <w:color w:val="auto"/>
        </w:rPr>
      </w:pPr>
      <w:r>
        <w:rPr>
          <w:rFonts w:ascii="Arial" w:cs="Arial" w:eastAsia="Arial" w:hAnsi="Arial"/>
          <w:sz w:val="18"/>
          <w:szCs w:val="18"/>
          <w:b w:val="1"/>
          <w:bCs w:val="1"/>
          <w:color w:val="auto"/>
        </w:rPr>
        <w:t>For the transition period from</w:t>
      </w:r>
      <w:r>
        <w:rPr>
          <w:sz w:val="20"/>
          <w:szCs w:val="20"/>
          <w:color w:val="auto"/>
        </w:rPr>
        <w:tab/>
      </w:r>
      <w:r>
        <w:rPr>
          <w:rFonts w:ascii="Arial" w:cs="Arial" w:eastAsia="Arial" w:hAnsi="Arial"/>
          <w:sz w:val="16"/>
          <w:szCs w:val="16"/>
          <w:b w:val="1"/>
          <w:bCs w:val="1"/>
          <w:color w:val="auto"/>
        </w:rPr>
        <w:t>to</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3733800</wp:posOffset>
            </wp:positionH>
            <wp:positionV relativeFrom="paragraph">
              <wp:posOffset>-7620</wp:posOffset>
            </wp:positionV>
            <wp:extent cx="1295400"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295400" cy="8890"/>
                    </a:xfrm>
                    <a:prstGeom prst="rect">
                      <a:avLst/>
                    </a:prstGeom>
                    <a:noFill/>
                  </pic:spPr>
                </pic:pic>
              </a:graphicData>
            </a:graphic>
          </wp:anchor>
        </w:drawing>
      </w:r>
    </w:p>
    <w:p>
      <w:pPr>
        <w:spacing w:after="0" w:line="151" w:lineRule="exact"/>
        <w:rPr>
          <w:sz w:val="24"/>
          <w:szCs w:val="24"/>
          <w:color w:val="auto"/>
        </w:rPr>
      </w:pPr>
    </w:p>
    <w:p>
      <w:pPr>
        <w:jc w:val="center"/>
        <w:ind w:right="-59"/>
        <w:spacing w:after="0"/>
        <w:rPr>
          <w:sz w:val="20"/>
          <w:szCs w:val="20"/>
          <w:color w:val="auto"/>
        </w:rPr>
      </w:pPr>
      <w:r>
        <w:rPr>
          <w:rFonts w:ascii="Arial" w:cs="Arial" w:eastAsia="Arial" w:hAnsi="Arial"/>
          <w:sz w:val="18"/>
          <w:szCs w:val="18"/>
          <w:b w:val="1"/>
          <w:bCs w:val="1"/>
          <w:color w:val="auto"/>
        </w:rPr>
        <w:t>COMMISSION FILE NUMBER 000-52008</w:t>
      </w:r>
    </w:p>
    <w:p>
      <w:pPr>
        <w:spacing w:after="0" w:line="27" w:lineRule="exact"/>
        <w:rPr>
          <w:sz w:val="24"/>
          <w:szCs w:val="24"/>
          <w:color w:val="auto"/>
        </w:rPr>
      </w:pPr>
    </w:p>
    <w:p>
      <w:pPr>
        <w:ind w:left="4060"/>
        <w:spacing w:after="0"/>
        <w:rPr>
          <w:sz w:val="20"/>
          <w:szCs w:val="20"/>
          <w:color w:val="auto"/>
        </w:rPr>
      </w:pPr>
      <w:r>
        <w:rPr>
          <w:rFonts w:ascii="Arial" w:cs="Arial" w:eastAsia="Arial" w:hAnsi="Arial"/>
          <w:sz w:val="18"/>
          <w:szCs w:val="18"/>
          <w:color w:val="auto"/>
        </w:rPr>
        <w:t>_____________________________________</w:t>
      </w:r>
    </w:p>
    <w:p>
      <w:pPr>
        <w:spacing w:after="0" w:line="114" w:lineRule="exact"/>
        <w:rPr>
          <w:sz w:val="24"/>
          <w:szCs w:val="24"/>
          <w:color w:val="auto"/>
        </w:rPr>
      </w:pPr>
    </w:p>
    <w:p>
      <w:pPr>
        <w:jc w:val="center"/>
        <w:ind w:right="-59"/>
        <w:spacing w:after="0"/>
        <w:rPr>
          <w:sz w:val="20"/>
          <w:szCs w:val="20"/>
          <w:color w:val="auto"/>
        </w:rPr>
      </w:pPr>
      <w:r>
        <w:rPr>
          <w:rFonts w:ascii="Arial" w:cs="Arial" w:eastAsia="Arial" w:hAnsi="Arial"/>
          <w:sz w:val="43"/>
          <w:szCs w:val="43"/>
          <w:b w:val="1"/>
          <w:bCs w:val="1"/>
          <w:color w:val="auto"/>
        </w:rPr>
        <w:t>LUNA INNOVATIONS INCORPORATED</w:t>
      </w:r>
    </w:p>
    <w:p>
      <w:pPr>
        <w:spacing w:after="0" w:line="50" w:lineRule="exact"/>
        <w:rPr>
          <w:sz w:val="24"/>
          <w:szCs w:val="24"/>
          <w:color w:val="auto"/>
        </w:rPr>
      </w:pPr>
    </w:p>
    <w:p>
      <w:pPr>
        <w:jc w:val="center"/>
        <w:ind w:right="-59"/>
        <w:spacing w:after="0"/>
        <w:rPr>
          <w:sz w:val="20"/>
          <w:szCs w:val="20"/>
          <w:color w:val="auto"/>
        </w:rPr>
      </w:pPr>
      <w:r>
        <w:rPr>
          <w:rFonts w:ascii="Arial" w:cs="Arial" w:eastAsia="Arial" w:hAnsi="Arial"/>
          <w:sz w:val="18"/>
          <w:szCs w:val="18"/>
          <w:b w:val="1"/>
          <w:bCs w:val="1"/>
          <w:color w:val="auto"/>
        </w:rPr>
        <w:t>(Exact name of registrant as specified in its charter)</w:t>
      </w:r>
    </w:p>
    <w:p>
      <w:pPr>
        <w:spacing w:after="0" w:line="7" w:lineRule="exact"/>
        <w:rPr>
          <w:sz w:val="24"/>
          <w:szCs w:val="24"/>
          <w:color w:val="auto"/>
        </w:rPr>
      </w:pPr>
    </w:p>
    <w:p>
      <w:pPr>
        <w:ind w:left="4040"/>
        <w:spacing w:after="0"/>
        <w:rPr>
          <w:sz w:val="20"/>
          <w:szCs w:val="20"/>
          <w:color w:val="auto"/>
        </w:rPr>
      </w:pPr>
      <w:r>
        <w:rPr>
          <w:rFonts w:ascii="Arial" w:cs="Arial" w:eastAsia="Arial" w:hAnsi="Arial"/>
          <w:sz w:val="18"/>
          <w:szCs w:val="18"/>
          <w:color w:val="auto"/>
        </w:rPr>
        <w:t>_____________________________________</w:t>
      </w:r>
    </w:p>
    <w:p>
      <w:pPr>
        <w:sectPr>
          <w:pgSz w:w="11900" w:h="16838" w:orient="portrait"/>
          <w:cols w:equalWidth="0" w:num="1">
            <w:col w:w="11380"/>
          </w:cols>
          <w:pgMar w:left="240" w:top="225" w:right="279" w:bottom="1440" w:gutter="0" w:footer="0" w:header="0"/>
        </w:sectPr>
      </w:pPr>
    </w:p>
    <w:p>
      <w:pPr>
        <w:spacing w:after="0" w:line="180" w:lineRule="exact"/>
        <w:rPr>
          <w:sz w:val="24"/>
          <w:szCs w:val="24"/>
          <w:color w:val="auto"/>
        </w:rPr>
      </w:pPr>
    </w:p>
    <w:p>
      <w:pPr>
        <w:ind w:left="2440"/>
        <w:spacing w:after="0"/>
        <w:rPr>
          <w:sz w:val="20"/>
          <w:szCs w:val="20"/>
          <w:color w:val="auto"/>
        </w:rPr>
      </w:pPr>
      <w:r>
        <w:rPr>
          <w:rFonts w:ascii="Arial" w:cs="Arial" w:eastAsia="Arial" w:hAnsi="Arial"/>
          <w:sz w:val="16"/>
          <w:szCs w:val="16"/>
          <w:b w:val="1"/>
          <w:bCs w:val="1"/>
          <w:color w:val="auto"/>
        </w:rPr>
        <w:t>Delaware</w:t>
      </w:r>
    </w:p>
    <w:p>
      <w:pPr>
        <w:spacing w:after="0" w:line="20" w:lineRule="exact"/>
        <w:rPr>
          <w:sz w:val="24"/>
          <w:szCs w:val="24"/>
          <w:color w:val="auto"/>
        </w:rPr>
      </w:pPr>
      <w:r>
        <w:rPr>
          <w:sz w:val="24"/>
          <w:szCs w:val="24"/>
          <w:color w:val="auto"/>
        </w:rPr>
        <w:br w:type="column"/>
      </w:r>
    </w:p>
    <w:p>
      <w:pPr>
        <w:spacing w:after="0" w:line="160" w:lineRule="exact"/>
        <w:rPr>
          <w:sz w:val="24"/>
          <w:szCs w:val="24"/>
          <w:color w:val="auto"/>
        </w:rPr>
      </w:pPr>
    </w:p>
    <w:p>
      <w:pPr>
        <w:spacing w:after="0"/>
        <w:rPr>
          <w:sz w:val="20"/>
          <w:szCs w:val="20"/>
          <w:color w:val="auto"/>
        </w:rPr>
      </w:pPr>
      <w:r>
        <w:rPr>
          <w:rFonts w:ascii="Arial" w:cs="Arial" w:eastAsia="Arial" w:hAnsi="Arial"/>
          <w:sz w:val="16"/>
          <w:szCs w:val="16"/>
          <w:b w:val="1"/>
          <w:bCs w:val="1"/>
          <w:color w:val="auto"/>
        </w:rPr>
        <w:t>54-1560050</w:t>
      </w:r>
    </w:p>
    <w:p>
      <w:pPr>
        <w:spacing w:after="0" w:line="82" w:lineRule="exact"/>
        <w:rPr>
          <w:sz w:val="24"/>
          <w:szCs w:val="24"/>
          <w:color w:val="auto"/>
        </w:rPr>
      </w:pPr>
    </w:p>
    <w:p>
      <w:pPr>
        <w:sectPr>
          <w:pgSz w:w="11900" w:h="16838" w:orient="portrait"/>
          <w:cols w:equalWidth="0" w:num="2">
            <w:col w:w="7420" w:space="720"/>
            <w:col w:w="3240"/>
          </w:cols>
          <w:pgMar w:left="240" w:top="225" w:right="279" w:bottom="1440" w:gutter="0" w:footer="0" w:header="0"/>
          <w:type w:val="continuous"/>
        </w:sectPr>
      </w:pPr>
    </w:p>
    <w:p>
      <w:pPr>
        <w:ind w:left="1880"/>
        <w:spacing w:after="0"/>
        <w:rPr>
          <w:sz w:val="20"/>
          <w:szCs w:val="20"/>
          <w:color w:val="auto"/>
        </w:rPr>
      </w:pPr>
      <w:r>
        <w:rPr>
          <w:rFonts w:ascii="Arial" w:cs="Arial" w:eastAsia="Arial" w:hAnsi="Arial"/>
          <w:sz w:val="13"/>
          <w:szCs w:val="13"/>
          <w:b w:val="1"/>
          <w:bCs w:val="1"/>
          <w:color w:val="auto"/>
        </w:rPr>
        <w:t>(State or Other Jurisdiction of</w:t>
      </w:r>
    </w:p>
    <w:p>
      <w:pPr>
        <w:spacing w:after="0" w:line="15" w:lineRule="exact"/>
        <w:rPr>
          <w:sz w:val="24"/>
          <w:szCs w:val="24"/>
          <w:color w:val="auto"/>
        </w:rPr>
      </w:pPr>
    </w:p>
    <w:p>
      <w:pPr>
        <w:ind w:left="1840"/>
        <w:spacing w:after="0"/>
        <w:rPr>
          <w:sz w:val="20"/>
          <w:szCs w:val="20"/>
          <w:color w:val="auto"/>
        </w:rPr>
      </w:pPr>
      <w:r>
        <w:rPr>
          <w:rFonts w:ascii="Arial" w:cs="Arial" w:eastAsia="Arial" w:hAnsi="Arial"/>
          <w:sz w:val="13"/>
          <w:szCs w:val="13"/>
          <w:b w:val="1"/>
          <w:bCs w:val="1"/>
          <w:color w:val="auto"/>
        </w:rPr>
        <w:t>Incorporation or Organization)</w:t>
      </w:r>
    </w:p>
    <w:p>
      <w:pPr>
        <w:spacing w:after="0" w:line="20" w:lineRule="exact"/>
        <w:rPr>
          <w:sz w:val="24"/>
          <w:szCs w:val="24"/>
          <w:color w:val="auto"/>
        </w:rPr>
      </w:pPr>
      <w:r>
        <w:rPr>
          <w:sz w:val="24"/>
          <w:szCs w:val="24"/>
          <w:color w:val="auto"/>
        </w:rPr>
        <w:br w:type="column"/>
      </w:r>
    </w:p>
    <w:p>
      <w:pPr>
        <w:jc w:val="center"/>
        <w:ind w:right="2100"/>
        <w:spacing w:after="0"/>
        <w:rPr>
          <w:sz w:val="20"/>
          <w:szCs w:val="20"/>
          <w:color w:val="auto"/>
        </w:rPr>
      </w:pPr>
      <w:r>
        <w:rPr>
          <w:rFonts w:ascii="Arial" w:cs="Arial" w:eastAsia="Arial" w:hAnsi="Arial"/>
          <w:sz w:val="14"/>
          <w:szCs w:val="14"/>
          <w:b w:val="1"/>
          <w:bCs w:val="1"/>
          <w:color w:val="auto"/>
        </w:rPr>
        <w:t>(I.R.S. Employer</w:t>
      </w:r>
    </w:p>
    <w:p>
      <w:pPr>
        <w:spacing w:after="0" w:line="4" w:lineRule="exact"/>
        <w:rPr>
          <w:sz w:val="24"/>
          <w:szCs w:val="24"/>
          <w:color w:val="auto"/>
        </w:rPr>
      </w:pPr>
    </w:p>
    <w:p>
      <w:pPr>
        <w:jc w:val="center"/>
        <w:ind w:right="2100"/>
        <w:spacing w:after="0"/>
        <w:rPr>
          <w:sz w:val="20"/>
          <w:szCs w:val="20"/>
          <w:color w:val="auto"/>
        </w:rPr>
      </w:pPr>
      <w:r>
        <w:rPr>
          <w:rFonts w:ascii="Arial" w:cs="Arial" w:eastAsia="Arial" w:hAnsi="Arial"/>
          <w:sz w:val="13"/>
          <w:szCs w:val="13"/>
          <w:b w:val="1"/>
          <w:bCs w:val="1"/>
          <w:color w:val="auto"/>
        </w:rPr>
        <w:t>Identification Number)</w:t>
      </w:r>
    </w:p>
    <w:p>
      <w:pPr>
        <w:spacing w:after="0" w:line="21" w:lineRule="exact"/>
        <w:rPr>
          <w:sz w:val="24"/>
          <w:szCs w:val="24"/>
          <w:color w:val="auto"/>
        </w:rPr>
      </w:pPr>
    </w:p>
    <w:p>
      <w:pPr>
        <w:sectPr>
          <w:pgSz w:w="11900" w:h="16838" w:orient="portrait"/>
          <w:cols w:equalWidth="0" w:num="2">
            <w:col w:w="7140" w:space="720"/>
            <w:col w:w="3520"/>
          </w:cols>
          <w:pgMar w:left="240" w:top="225" w:right="279" w:bottom="1440" w:gutter="0" w:footer="0" w:header="0"/>
          <w:type w:val="continuous"/>
        </w:sectPr>
      </w:pPr>
    </w:p>
    <w:p>
      <w:pPr>
        <w:jc w:val="center"/>
        <w:ind w:right="-59"/>
        <w:spacing w:after="0"/>
        <w:rPr>
          <w:sz w:val="20"/>
          <w:szCs w:val="20"/>
          <w:color w:val="auto"/>
        </w:rPr>
      </w:pPr>
      <w:r>
        <w:rPr>
          <w:rFonts w:ascii="Arial" w:cs="Arial" w:eastAsia="Arial" w:hAnsi="Arial"/>
          <w:sz w:val="18"/>
          <w:szCs w:val="18"/>
          <w:b w:val="1"/>
          <w:bCs w:val="1"/>
          <w:color w:val="auto"/>
        </w:rPr>
        <w:t>301 First Street SW, Suite 200</w:t>
      </w:r>
    </w:p>
    <w:p>
      <w:pPr>
        <w:spacing w:after="0" w:line="21" w:lineRule="exact"/>
        <w:rPr>
          <w:sz w:val="24"/>
          <w:szCs w:val="24"/>
          <w:color w:val="auto"/>
        </w:rPr>
      </w:pPr>
    </w:p>
    <w:p>
      <w:pPr>
        <w:jc w:val="center"/>
        <w:ind w:right="-59"/>
        <w:spacing w:after="0"/>
        <w:rPr>
          <w:sz w:val="20"/>
          <w:szCs w:val="20"/>
          <w:color w:val="auto"/>
        </w:rPr>
      </w:pPr>
      <w:r>
        <w:rPr>
          <w:rFonts w:ascii="Arial" w:cs="Arial" w:eastAsia="Arial" w:hAnsi="Arial"/>
          <w:sz w:val="18"/>
          <w:szCs w:val="18"/>
          <w:b w:val="1"/>
          <w:bCs w:val="1"/>
          <w:color w:val="auto"/>
        </w:rPr>
        <w:t>Roanoke, VA 24011</w:t>
      </w:r>
    </w:p>
    <w:p>
      <w:pPr>
        <w:spacing w:after="0" w:line="2" w:lineRule="exact"/>
        <w:rPr>
          <w:sz w:val="24"/>
          <w:szCs w:val="24"/>
          <w:color w:val="auto"/>
        </w:rPr>
      </w:pPr>
    </w:p>
    <w:p>
      <w:pPr>
        <w:jc w:val="center"/>
        <w:ind w:right="-59"/>
        <w:spacing w:after="0"/>
        <w:rPr>
          <w:sz w:val="20"/>
          <w:szCs w:val="20"/>
          <w:color w:val="auto"/>
        </w:rPr>
      </w:pPr>
      <w:r>
        <w:rPr>
          <w:rFonts w:ascii="Arial" w:cs="Arial" w:eastAsia="Arial" w:hAnsi="Arial"/>
          <w:sz w:val="14"/>
          <w:szCs w:val="14"/>
          <w:b w:val="1"/>
          <w:bCs w:val="1"/>
          <w:color w:val="auto"/>
        </w:rPr>
        <w:t>(Address of Principal Executive Offices)</w:t>
      </w:r>
    </w:p>
    <w:p>
      <w:pPr>
        <w:spacing w:after="0" w:line="97" w:lineRule="exact"/>
        <w:rPr>
          <w:sz w:val="24"/>
          <w:szCs w:val="24"/>
          <w:color w:val="auto"/>
        </w:rPr>
      </w:pPr>
    </w:p>
    <w:p>
      <w:pPr>
        <w:jc w:val="center"/>
        <w:ind w:right="-59"/>
        <w:spacing w:after="0"/>
        <w:rPr>
          <w:sz w:val="20"/>
          <w:szCs w:val="20"/>
          <w:color w:val="auto"/>
        </w:rPr>
      </w:pPr>
      <w:r>
        <w:rPr>
          <w:rFonts w:ascii="Arial" w:cs="Arial" w:eastAsia="Arial" w:hAnsi="Arial"/>
          <w:sz w:val="18"/>
          <w:szCs w:val="18"/>
          <w:b w:val="1"/>
          <w:bCs w:val="1"/>
          <w:color w:val="auto"/>
        </w:rPr>
        <w:t>(540) 769-8400</w:t>
      </w:r>
    </w:p>
    <w:p>
      <w:pPr>
        <w:spacing w:after="0" w:line="21" w:lineRule="exact"/>
        <w:rPr>
          <w:sz w:val="24"/>
          <w:szCs w:val="24"/>
          <w:color w:val="auto"/>
        </w:rPr>
      </w:pPr>
    </w:p>
    <w:p>
      <w:pPr>
        <w:jc w:val="center"/>
        <w:ind w:right="-59"/>
        <w:spacing w:after="0"/>
        <w:rPr>
          <w:sz w:val="20"/>
          <w:szCs w:val="20"/>
          <w:color w:val="auto"/>
        </w:rPr>
      </w:pPr>
      <w:r>
        <w:rPr>
          <w:rFonts w:ascii="Arial" w:cs="Arial" w:eastAsia="Arial" w:hAnsi="Arial"/>
          <w:sz w:val="13"/>
          <w:szCs w:val="13"/>
          <w:b w:val="1"/>
          <w:bCs w:val="1"/>
          <w:color w:val="auto"/>
        </w:rPr>
        <w:t>(Registrant’s Telephone Number, Including Area Code)</w:t>
      </w:r>
    </w:p>
    <w:p>
      <w:pPr>
        <w:sectPr>
          <w:pgSz w:w="11900" w:h="16838" w:orient="portrait"/>
          <w:cols w:equalWidth="0" w:num="1">
            <w:col w:w="11380"/>
          </w:cols>
          <w:pgMar w:left="240" w:top="225" w:right="279" w:bottom="1440" w:gutter="0" w:footer="0" w:header="0"/>
          <w:type w:val="continuous"/>
        </w:sectPr>
      </w:pPr>
    </w:p>
    <w:p>
      <w:pPr>
        <w:spacing w:after="0" w:line="167" w:lineRule="exact"/>
        <w:rPr>
          <w:sz w:val="24"/>
          <w:szCs w:val="24"/>
          <w:color w:val="auto"/>
        </w:rPr>
      </w:pPr>
    </w:p>
    <w:p>
      <w:pPr>
        <w:ind w:left="4080"/>
        <w:spacing w:after="0"/>
        <w:rPr>
          <w:sz w:val="20"/>
          <w:szCs w:val="20"/>
          <w:color w:val="auto"/>
        </w:rPr>
      </w:pPr>
      <w:r>
        <w:rPr>
          <w:rFonts w:ascii="Arial" w:cs="Arial" w:eastAsia="Arial" w:hAnsi="Arial"/>
          <w:sz w:val="18"/>
          <w:szCs w:val="18"/>
          <w:color w:val="auto"/>
        </w:rPr>
        <w:t>_____________________________________</w:t>
      </w:r>
    </w:p>
    <w:p>
      <w:pPr>
        <w:spacing w:after="0" w:line="144" w:lineRule="exact"/>
        <w:rPr>
          <w:sz w:val="24"/>
          <w:szCs w:val="24"/>
          <w:color w:val="auto"/>
        </w:rPr>
      </w:pPr>
    </w:p>
    <w:p>
      <w:pPr>
        <w:ind w:firstLine="432"/>
        <w:spacing w:after="0" w:line="227" w:lineRule="exact"/>
        <w:rPr>
          <w:sz w:val="20"/>
          <w:szCs w:val="20"/>
          <w:color w:val="auto"/>
        </w:rPr>
      </w:pPr>
      <w:r>
        <w:rPr>
          <w:rFonts w:ascii="Arial" w:cs="Arial" w:eastAsia="Arial" w:hAnsi="Arial"/>
          <w:sz w:val="18"/>
          <w:szCs w:val="18"/>
          <w:color w:val="auto"/>
        </w:rPr>
        <w:t xml:space="preserve">Indicate by check mark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requirements for the past 90 days. </w:t>
      </w:r>
      <w:r>
        <w:rPr>
          <w:rFonts w:ascii="MS PGothic" w:cs="MS PGothic" w:eastAsia="MS PGothic" w:hAnsi="MS PGothic"/>
          <w:sz w:val="18"/>
          <w:szCs w:val="18"/>
          <w:color w:val="auto"/>
        </w:rPr>
        <w:t>☒</w:t>
      </w:r>
      <w:r>
        <w:rPr>
          <w:rFonts w:ascii="Arial" w:cs="Arial" w:eastAsia="Arial" w:hAnsi="Arial"/>
          <w:sz w:val="18"/>
          <w:szCs w:val="18"/>
          <w:color w:val="auto"/>
        </w:rPr>
        <w:t xml:space="preserve"> Yes </w:t>
      </w:r>
      <w:r>
        <w:rPr>
          <w:rFonts w:ascii="MS PGothic" w:cs="MS PGothic" w:eastAsia="MS PGothic" w:hAnsi="MS PGothic"/>
          <w:sz w:val="18"/>
          <w:szCs w:val="18"/>
          <w:color w:val="auto"/>
        </w:rPr>
        <w:t>☐</w:t>
      </w:r>
      <w:r>
        <w:rPr>
          <w:rFonts w:ascii="Arial" w:cs="Arial" w:eastAsia="Arial" w:hAnsi="Arial"/>
          <w:sz w:val="18"/>
          <w:szCs w:val="18"/>
          <w:color w:val="auto"/>
        </w:rPr>
        <w:t xml:space="preserve"> No</w:t>
      </w:r>
    </w:p>
    <w:p>
      <w:pPr>
        <w:spacing w:after="0" w:line="76" w:lineRule="exact"/>
        <w:rPr>
          <w:sz w:val="24"/>
          <w:szCs w:val="24"/>
          <w:color w:val="auto"/>
        </w:rPr>
      </w:pPr>
    </w:p>
    <w:p>
      <w:pPr>
        <w:ind w:right="220" w:firstLine="432"/>
        <w:spacing w:after="0" w:line="227" w:lineRule="exact"/>
        <w:rPr>
          <w:sz w:val="20"/>
          <w:szCs w:val="20"/>
          <w:color w:val="auto"/>
        </w:rPr>
      </w:pPr>
      <w:r>
        <w:rPr>
          <w:rFonts w:ascii="Arial" w:cs="Arial" w:eastAsia="Arial" w:hAnsi="Arial"/>
          <w:sz w:val="18"/>
          <w:szCs w:val="18"/>
          <w:color w:val="auto"/>
        </w:rPr>
        <w:t xml:space="preserve">Indicate by check mark whether the registrant has submitted electronically and posted on its corporate Web site, if any, every Interactive Data File required to be submitted and posted pursuant to Rule 405 of Regulation S-T (§232.405 of this chapter) during the preceding 12 months (or for such shorter period that the registrant was required to submit and post such files). </w:t>
      </w:r>
      <w:r>
        <w:rPr>
          <w:rFonts w:ascii="MS PGothic" w:cs="MS PGothic" w:eastAsia="MS PGothic" w:hAnsi="MS PGothic"/>
          <w:sz w:val="18"/>
          <w:szCs w:val="18"/>
          <w:color w:val="auto"/>
        </w:rPr>
        <w:t>☒</w:t>
      </w:r>
      <w:r>
        <w:rPr>
          <w:rFonts w:ascii="Arial" w:cs="Arial" w:eastAsia="Arial" w:hAnsi="Arial"/>
          <w:sz w:val="18"/>
          <w:szCs w:val="18"/>
          <w:color w:val="auto"/>
        </w:rPr>
        <w:t xml:space="preserve"> Yes </w:t>
      </w:r>
      <w:r>
        <w:rPr>
          <w:rFonts w:ascii="MS PGothic" w:cs="MS PGothic" w:eastAsia="MS PGothic" w:hAnsi="MS PGothic"/>
          <w:sz w:val="18"/>
          <w:szCs w:val="18"/>
          <w:color w:val="auto"/>
        </w:rPr>
        <w:t>☐</w:t>
      </w:r>
      <w:r>
        <w:rPr>
          <w:rFonts w:ascii="Arial" w:cs="Arial" w:eastAsia="Arial" w:hAnsi="Arial"/>
          <w:sz w:val="18"/>
          <w:szCs w:val="18"/>
          <w:color w:val="auto"/>
        </w:rPr>
        <w:t xml:space="preserve"> No</w:t>
      </w:r>
    </w:p>
    <w:p>
      <w:pPr>
        <w:spacing w:after="0" w:line="76" w:lineRule="exact"/>
        <w:rPr>
          <w:sz w:val="24"/>
          <w:szCs w:val="24"/>
          <w:color w:val="auto"/>
        </w:rPr>
      </w:pPr>
    </w:p>
    <w:p>
      <w:pPr>
        <w:jc w:val="both"/>
        <w:ind w:right="20" w:firstLine="432"/>
        <w:spacing w:after="0" w:line="264" w:lineRule="auto"/>
        <w:rPr>
          <w:sz w:val="20"/>
          <w:szCs w:val="20"/>
          <w:color w:val="auto"/>
        </w:rPr>
      </w:pPr>
      <w:r>
        <w:rPr>
          <w:rFonts w:ascii="Arial" w:cs="Arial" w:eastAsia="Arial" w:hAnsi="Arial"/>
          <w:sz w:val="18"/>
          <w:szCs w:val="18"/>
          <w:color w:val="auto"/>
        </w:rPr>
        <w:t>Indicate by check mark whether the registrant is a large accelerated filer, an accelerated filer, a non-accelerated filer, a smaller reporting company, or an emerging growth company. See the definitions of “large accelerated filer,” “accelerated filer,” “smaller reporting company,” and "emerging growth company" in Rule 12b-2 of the Exchange Act.</w:t>
      </w:r>
    </w:p>
    <w:p>
      <w:pPr>
        <w:sectPr>
          <w:pgSz w:w="11900" w:h="16838" w:orient="portrait"/>
          <w:cols w:equalWidth="0" w:num="1">
            <w:col w:w="11380"/>
          </w:cols>
          <w:pgMar w:left="240" w:top="225" w:right="279" w:bottom="1440" w:gutter="0" w:footer="0" w:header="0"/>
          <w:type w:val="continuous"/>
        </w:sectPr>
      </w:pPr>
    </w:p>
    <w:p>
      <w:pPr>
        <w:spacing w:after="0" w:line="397" w:lineRule="exact"/>
        <w:rPr>
          <w:sz w:val="24"/>
          <w:szCs w:val="24"/>
          <w:color w:val="auto"/>
        </w:rPr>
      </w:pPr>
    </w:p>
    <w:p>
      <w:pPr>
        <w:spacing w:after="0"/>
        <w:rPr>
          <w:sz w:val="20"/>
          <w:szCs w:val="20"/>
          <w:color w:val="auto"/>
        </w:rPr>
      </w:pPr>
      <w:r>
        <w:rPr>
          <w:rFonts w:ascii="Arial" w:cs="Arial" w:eastAsia="Arial" w:hAnsi="Arial"/>
          <w:sz w:val="16"/>
          <w:szCs w:val="16"/>
          <w:color w:val="auto"/>
        </w:rPr>
        <w:t>Large accelerated filer</w:t>
      </w:r>
    </w:p>
    <w:p>
      <w:pPr>
        <w:spacing w:after="0" w:line="20" w:lineRule="exact"/>
        <w:rPr>
          <w:sz w:val="24"/>
          <w:szCs w:val="24"/>
          <w:color w:val="auto"/>
        </w:rPr>
      </w:pPr>
      <w:r>
        <w:rPr>
          <w:sz w:val="24"/>
          <w:szCs w:val="24"/>
          <w:color w:val="auto"/>
        </w:rPr>
        <w:br w:type="column"/>
      </w:r>
    </w:p>
    <w:p>
      <w:pPr>
        <w:spacing w:after="0" w:line="377" w:lineRule="exact"/>
        <w:rPr>
          <w:sz w:val="24"/>
          <w:szCs w:val="24"/>
          <w:color w:val="auto"/>
        </w:rPr>
      </w:pPr>
    </w:p>
    <w:p>
      <w:pPr>
        <w:spacing w:after="0"/>
        <w:rPr>
          <w:sz w:val="20"/>
          <w:szCs w:val="20"/>
          <w:color w:val="auto"/>
        </w:rPr>
      </w:pPr>
      <w:r>
        <w:rPr>
          <w:rFonts w:ascii="Arial" w:cs="Arial" w:eastAsia="Arial" w:hAnsi="Arial"/>
          <w:sz w:val="17"/>
          <w:szCs w:val="17"/>
          <w:color w:val="auto"/>
        </w:rPr>
        <w:t>o</w:t>
      </w:r>
    </w:p>
    <w:p>
      <w:pPr>
        <w:spacing w:after="0" w:line="20" w:lineRule="exact"/>
        <w:rPr>
          <w:sz w:val="24"/>
          <w:szCs w:val="24"/>
          <w:color w:val="auto"/>
        </w:rPr>
      </w:pPr>
      <w:r>
        <w:rPr>
          <w:sz w:val="24"/>
          <w:szCs w:val="24"/>
          <w:color w:val="auto"/>
        </w:rPr>
        <w:br w:type="column"/>
      </w:r>
    </w:p>
    <w:p>
      <w:pPr>
        <w:spacing w:after="0" w:line="377" w:lineRule="exact"/>
        <w:rPr>
          <w:sz w:val="24"/>
          <w:szCs w:val="24"/>
          <w:color w:val="auto"/>
        </w:rPr>
      </w:pPr>
    </w:p>
    <w:p>
      <w:pPr>
        <w:spacing w:after="0"/>
        <w:rPr>
          <w:sz w:val="20"/>
          <w:szCs w:val="20"/>
          <w:color w:val="auto"/>
        </w:rPr>
      </w:pPr>
      <w:r>
        <w:rPr>
          <w:rFonts w:ascii="Arial" w:cs="Arial" w:eastAsia="Arial" w:hAnsi="Arial"/>
          <w:sz w:val="16"/>
          <w:szCs w:val="16"/>
          <w:color w:val="auto"/>
        </w:rPr>
        <w:t>Accelerated filer</w:t>
      </w:r>
    </w:p>
    <w:p>
      <w:pPr>
        <w:spacing w:after="0" w:line="20" w:lineRule="exact"/>
        <w:rPr>
          <w:sz w:val="24"/>
          <w:szCs w:val="24"/>
          <w:color w:val="auto"/>
        </w:rPr>
      </w:pPr>
      <w:r>
        <w:rPr>
          <w:sz w:val="24"/>
          <w:szCs w:val="24"/>
          <w:color w:val="auto"/>
        </w:rPr>
        <w:br w:type="column"/>
      </w:r>
    </w:p>
    <w:p>
      <w:pPr>
        <w:spacing w:after="0" w:line="377" w:lineRule="exact"/>
        <w:rPr>
          <w:sz w:val="24"/>
          <w:szCs w:val="24"/>
          <w:color w:val="auto"/>
        </w:rPr>
      </w:pPr>
    </w:p>
    <w:p>
      <w:pPr>
        <w:spacing w:after="0"/>
        <w:rPr>
          <w:sz w:val="20"/>
          <w:szCs w:val="20"/>
          <w:color w:val="auto"/>
        </w:rPr>
      </w:pPr>
      <w:r>
        <w:rPr>
          <w:rFonts w:ascii="Arial" w:cs="Arial" w:eastAsia="Arial" w:hAnsi="Arial"/>
          <w:sz w:val="17"/>
          <w:szCs w:val="17"/>
          <w:color w:val="auto"/>
        </w:rPr>
        <w:t>o</w:t>
      </w:r>
    </w:p>
    <w:p>
      <w:pPr>
        <w:spacing w:after="0" w:line="109" w:lineRule="exact"/>
        <w:rPr>
          <w:sz w:val="24"/>
          <w:szCs w:val="24"/>
          <w:color w:val="auto"/>
        </w:rPr>
      </w:pPr>
    </w:p>
    <w:p>
      <w:pPr>
        <w:sectPr>
          <w:pgSz w:w="11900" w:h="16838" w:orient="portrait"/>
          <w:cols w:equalWidth="0" w:num="4">
            <w:col w:w="1620" w:space="180"/>
            <w:col w:w="640" w:space="720"/>
            <w:col w:w="1200" w:space="400"/>
            <w:col w:w="6620"/>
          </w:cols>
          <w:pgMar w:left="240" w:top="225" w:right="279" w:bottom="1440" w:gutter="0" w:footer="0" w:header="0"/>
          <w:type w:val="continuous"/>
        </w:sectPr>
      </w:pPr>
    </w:p>
    <w:p>
      <w:pPr>
        <w:spacing w:after="0" w:line="33" w:lineRule="exact"/>
        <w:rPr>
          <w:sz w:val="24"/>
          <w:szCs w:val="24"/>
          <w:color w:val="auto"/>
        </w:rPr>
      </w:pPr>
    </w:p>
    <w:p>
      <w:pPr>
        <w:spacing w:after="0"/>
        <w:rPr>
          <w:sz w:val="20"/>
          <w:szCs w:val="20"/>
          <w:color w:val="auto"/>
        </w:rPr>
      </w:pPr>
      <w:r>
        <w:rPr>
          <w:rFonts w:ascii="Arial" w:cs="Arial" w:eastAsia="Arial" w:hAnsi="Arial"/>
          <w:sz w:val="16"/>
          <w:szCs w:val="16"/>
          <w:color w:val="auto"/>
        </w:rPr>
        <w:t>Non-accelerated filer</w:t>
      </w:r>
    </w:p>
    <w:p>
      <w:pPr>
        <w:spacing w:after="0" w:line="20" w:lineRule="exact"/>
        <w:rPr>
          <w:sz w:val="24"/>
          <w:szCs w:val="24"/>
          <w:color w:val="auto"/>
        </w:rPr>
      </w:pPr>
      <w:r>
        <w:rPr>
          <w:sz w:val="24"/>
          <w:szCs w:val="24"/>
          <w:color w:val="auto"/>
        </w:rPr>
        <w:br w:type="column"/>
      </w:r>
    </w:p>
    <w:p>
      <w:pPr>
        <w:spacing w:after="0" w:line="13" w:lineRule="exact"/>
        <w:rPr>
          <w:sz w:val="24"/>
          <w:szCs w:val="24"/>
          <w:color w:val="auto"/>
        </w:rPr>
      </w:pPr>
    </w:p>
    <w:p>
      <w:pPr>
        <w:spacing w:after="0"/>
        <w:rPr>
          <w:sz w:val="20"/>
          <w:szCs w:val="20"/>
          <w:color w:val="auto"/>
        </w:rPr>
      </w:pPr>
      <w:r>
        <w:rPr>
          <w:rFonts w:ascii="Arial" w:cs="Arial" w:eastAsia="Arial" w:hAnsi="Arial"/>
          <w:sz w:val="16"/>
          <w:szCs w:val="16"/>
          <w:color w:val="auto"/>
        </w:rPr>
        <w:t>o (Do not check if a smaller reporting company)</w:t>
      </w:r>
    </w:p>
    <w:p>
      <w:pPr>
        <w:spacing w:after="0" w:line="20" w:lineRule="exact"/>
        <w:rPr>
          <w:sz w:val="24"/>
          <w:szCs w:val="24"/>
          <w:color w:val="auto"/>
        </w:rPr>
      </w:pPr>
      <w:r>
        <w:rPr>
          <w:sz w:val="24"/>
          <w:szCs w:val="24"/>
          <w:color w:val="auto"/>
        </w:rPr>
        <w:br w:type="column"/>
      </w:r>
    </w:p>
    <w:p>
      <w:pPr>
        <w:spacing w:after="0" w:line="164" w:lineRule="exact"/>
        <w:rPr>
          <w:sz w:val="20"/>
          <w:szCs w:val="20"/>
          <w:color w:val="auto"/>
        </w:rPr>
      </w:pPr>
      <w:r>
        <w:rPr>
          <w:rFonts w:ascii="Arial" w:cs="Arial" w:eastAsia="Arial" w:hAnsi="Arial"/>
          <w:sz w:val="16"/>
          <w:szCs w:val="16"/>
          <w:color w:val="auto"/>
        </w:rPr>
        <w:t xml:space="preserve">Smaller reporting company </w:t>
      </w:r>
      <w:r>
        <w:rPr>
          <w:rFonts w:ascii="MS PGothic" w:cs="MS PGothic" w:eastAsia="MS PGothic" w:hAnsi="MS PGothic"/>
          <w:sz w:val="16"/>
          <w:szCs w:val="16"/>
          <w:color w:val="auto"/>
        </w:rPr>
        <w:t>☒</w:t>
      </w:r>
    </w:p>
    <w:p>
      <w:pPr>
        <w:spacing w:after="0" w:line="232" w:lineRule="exact"/>
        <w:rPr>
          <w:sz w:val="24"/>
          <w:szCs w:val="24"/>
          <w:color w:val="auto"/>
        </w:rPr>
      </w:pPr>
    </w:p>
    <w:p>
      <w:pPr>
        <w:sectPr>
          <w:pgSz w:w="11900" w:h="16838" w:orient="portrait"/>
          <w:cols w:equalWidth="0" w:num="3">
            <w:col w:w="1540" w:space="180"/>
            <w:col w:w="3480" w:space="360"/>
            <w:col w:w="5820"/>
          </w:cols>
          <w:pgMar w:left="240" w:top="225" w:right="279" w:bottom="1440" w:gutter="0" w:footer="0" w:header="0"/>
          <w:type w:val="continuous"/>
        </w:sectPr>
      </w:pPr>
    </w:p>
    <w:p>
      <w:pPr>
        <w:spacing w:after="0" w:line="48" w:lineRule="exact"/>
        <w:rPr>
          <w:sz w:val="24"/>
          <w:szCs w:val="24"/>
          <w:color w:val="auto"/>
        </w:rPr>
      </w:pPr>
    </w:p>
    <w:p>
      <w:pPr>
        <w:spacing w:after="0"/>
        <w:rPr>
          <w:sz w:val="20"/>
          <w:szCs w:val="20"/>
          <w:color w:val="auto"/>
        </w:rPr>
      </w:pPr>
      <w:r>
        <w:rPr>
          <w:rFonts w:ascii="Arial" w:cs="Arial" w:eastAsia="Arial" w:hAnsi="Arial"/>
          <w:sz w:val="16"/>
          <w:szCs w:val="16"/>
          <w:color w:val="auto"/>
        </w:rPr>
        <w:t>Emerging growth company o</w:t>
      </w:r>
    </w:p>
    <w:p>
      <w:pPr>
        <w:sectPr>
          <w:pgSz w:w="11900" w:h="16838" w:orient="portrait"/>
          <w:cols w:equalWidth="0" w:num="1">
            <w:col w:w="11380"/>
          </w:cols>
          <w:pgMar w:left="240" w:top="225" w:right="279" w:bottom="1440" w:gutter="0" w:footer="0" w:header="0"/>
          <w:type w:val="continuous"/>
        </w:sectPr>
      </w:pPr>
    </w:p>
    <w:p>
      <w:pPr>
        <w:spacing w:after="0" w:line="356" w:lineRule="exact"/>
        <w:rPr>
          <w:sz w:val="24"/>
          <w:szCs w:val="24"/>
          <w:color w:val="auto"/>
        </w:rPr>
      </w:pPr>
    </w:p>
    <w:p>
      <w:pPr>
        <w:ind w:right="220" w:firstLine="432"/>
        <w:spacing w:after="0" w:line="277" w:lineRule="auto"/>
        <w:rPr>
          <w:sz w:val="20"/>
          <w:szCs w:val="20"/>
          <w:color w:val="auto"/>
        </w:rPr>
      </w:pPr>
      <w:r>
        <w:rPr>
          <w:rFonts w:ascii="Arial" w:cs="Arial" w:eastAsia="Arial" w:hAnsi="Arial"/>
          <w:sz w:val="18"/>
          <w:szCs w:val="18"/>
          <w:color w:val="auto"/>
        </w:rPr>
        <w:t>If an emerging growth company, indicate by check mark if the registrant has elected not to use the extended transition period for complying with any new or revised financial accounting standards provided pursuant to Section 13(a) of the Exchange Act. o</w:t>
      </w:r>
    </w:p>
    <w:p>
      <w:pPr>
        <w:spacing w:after="0" w:line="30" w:lineRule="exact"/>
        <w:rPr>
          <w:sz w:val="24"/>
          <w:szCs w:val="24"/>
          <w:color w:val="auto"/>
        </w:rPr>
      </w:pPr>
    </w:p>
    <w:p>
      <w:pPr>
        <w:ind w:left="440"/>
        <w:spacing w:after="0" w:line="207" w:lineRule="exact"/>
        <w:tabs>
          <w:tab w:leader="none" w:pos="8780" w:val="left"/>
        </w:tabs>
        <w:rPr>
          <w:sz w:val="20"/>
          <w:szCs w:val="20"/>
          <w:color w:val="auto"/>
        </w:rPr>
      </w:pPr>
      <w:r>
        <w:rPr>
          <w:rFonts w:ascii="Arial" w:cs="Arial" w:eastAsia="Arial" w:hAnsi="Arial"/>
          <w:sz w:val="18"/>
          <w:szCs w:val="18"/>
          <w:color w:val="auto"/>
        </w:rPr>
        <w:t>Indicate by check mark whether the registrant is a shell company (as defined in Rule 12b-2 of the Exchange Act).</w:t>
      </w:r>
      <w:r>
        <w:rPr>
          <w:sz w:val="20"/>
          <w:szCs w:val="20"/>
          <w:color w:val="auto"/>
        </w:rPr>
        <w:tab/>
      </w:r>
      <w:r>
        <w:rPr>
          <w:rFonts w:ascii="MS PGothic" w:cs="MS PGothic" w:eastAsia="MS PGothic" w:hAnsi="MS PGothic"/>
          <w:sz w:val="18"/>
          <w:szCs w:val="18"/>
          <w:color w:val="auto"/>
        </w:rPr>
        <w:t xml:space="preserve">☐ </w:t>
      </w:r>
      <w:r>
        <w:rPr>
          <w:rFonts w:ascii="Arial" w:cs="Arial" w:eastAsia="Arial" w:hAnsi="Arial"/>
          <w:sz w:val="18"/>
          <w:szCs w:val="18"/>
          <w:color w:val="auto"/>
        </w:rPr>
        <w:t>Yes</w:t>
      </w:r>
      <w:r>
        <w:rPr>
          <w:rFonts w:ascii="MS PGothic" w:cs="MS PGothic" w:eastAsia="MS PGothic" w:hAnsi="MS PGothic"/>
          <w:sz w:val="18"/>
          <w:szCs w:val="18"/>
          <w:color w:val="auto"/>
        </w:rPr>
        <w:t xml:space="preserve">  ☒ </w:t>
      </w:r>
      <w:r>
        <w:rPr>
          <w:rFonts w:ascii="Arial" w:cs="Arial" w:eastAsia="Arial" w:hAnsi="Arial"/>
          <w:sz w:val="18"/>
          <w:szCs w:val="18"/>
          <w:color w:val="auto"/>
        </w:rPr>
        <w:t>No</w:t>
      </w:r>
    </w:p>
    <w:p>
      <w:pPr>
        <w:spacing w:after="0" w:line="150" w:lineRule="exact"/>
        <w:rPr>
          <w:sz w:val="24"/>
          <w:szCs w:val="24"/>
          <w:color w:val="auto"/>
        </w:rPr>
      </w:pPr>
    </w:p>
    <w:p>
      <w:pPr>
        <w:ind w:right="200" w:firstLine="432"/>
        <w:spacing w:after="0" w:line="277" w:lineRule="auto"/>
        <w:rPr>
          <w:sz w:val="20"/>
          <w:szCs w:val="20"/>
          <w:color w:val="auto"/>
        </w:rPr>
      </w:pPr>
      <w:r>
        <w:rPr>
          <w:rFonts w:ascii="Arial" w:cs="Arial" w:eastAsia="Arial" w:hAnsi="Arial"/>
          <w:sz w:val="18"/>
          <w:szCs w:val="18"/>
          <w:color w:val="auto"/>
        </w:rPr>
        <w:t>Indicate the number of shares outstanding of each of the issuer’s classes of common stock, as of the latest practicable date: As of July 30, 2018, there were 27,932,271 shares of the registrant’s common stock outstanding.</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151765</wp:posOffset>
            </wp:positionV>
            <wp:extent cx="7246620"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66040</wp:posOffset>
            </wp:positionV>
            <wp:extent cx="7246620"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380"/>
          </w:cols>
          <w:pgMar w:left="240" w:top="225" w:right="279" w:bottom="1440" w:gutter="0" w:footer="0" w:header="0"/>
          <w:type w:val="continuous"/>
        </w:sectPr>
      </w:pPr>
    </w:p>
    <w:bookmarkStart w:id="1" w:name="page2"/>
    <w:bookmarkEnd w:id="1"/>
    <w:p>
      <w:pPr>
        <w:spacing w:after="0"/>
        <w:rPr>
          <w:rFonts w:ascii="Arial" w:cs="Arial" w:eastAsia="Arial" w:hAnsi="Arial"/>
          <w:sz w:val="14"/>
          <w:szCs w:val="14"/>
          <w:b w:val="1"/>
          <w:bCs w:val="1"/>
          <w:u w:val="single" w:color="auto"/>
          <w:color w:val="0000EE"/>
        </w:rPr>
      </w:pPr>
      <w:hyperlink w:anchor="page2">
        <w:r>
          <w:rPr>
            <w:rFonts w:ascii="Arial" w:cs="Arial" w:eastAsia="Arial" w:hAnsi="Arial"/>
            <w:sz w:val="14"/>
            <w:szCs w:val="14"/>
            <w:b w:val="1"/>
            <w:bCs w:val="1"/>
            <w:u w:val="single" w:color="auto"/>
            <w:color w:val="0000EE"/>
          </w:rPr>
          <w:t>Table of Contents</w:t>
        </w:r>
      </w:hyperlink>
    </w:p>
    <w:p>
      <w:pPr>
        <w:spacing w:after="0" w:line="248"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LUNA INNOVATIONS INCORPORATED</w:t>
      </w:r>
    </w:p>
    <w:p>
      <w:pPr>
        <w:spacing w:after="0" w:line="2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QUARTERLY REPORT ON FORM 10-Q</w:t>
      </w:r>
    </w:p>
    <w:p>
      <w:pPr>
        <w:spacing w:after="0" w:line="9"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FOR THE QUARTER ENDED JUNE 30, 2018</w:t>
      </w:r>
    </w:p>
    <w:p>
      <w:pPr>
        <w:spacing w:after="0" w:line="20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TABLE OF CONTENTS</w:t>
      </w:r>
    </w:p>
    <w:p>
      <w:pPr>
        <w:spacing w:after="0" w:line="374" w:lineRule="exact"/>
        <w:rPr>
          <w:sz w:val="20"/>
          <w:szCs w:val="20"/>
          <w:color w:val="auto"/>
        </w:rPr>
      </w:pPr>
    </w:p>
    <w:tbl>
      <w:tblPr>
        <w:tblLayout w:type="fixed"/>
        <w:tblInd w:w="40" w:type="dxa"/>
        <w:tblCellMar>
          <w:top w:w="0" w:type="dxa"/>
          <w:left w:w="0" w:type="dxa"/>
          <w:bottom w:w="0" w:type="dxa"/>
          <w:right w:w="0" w:type="dxa"/>
        </w:tblCellMar>
      </w:tblPr>
      <w:tr>
        <w:trPr>
          <w:trHeight w:val="207"/>
        </w:trPr>
        <w:tc>
          <w:tcPr>
            <w:tcW w:w="2880" w:type="dxa"/>
            <w:vAlign w:val="bottom"/>
            <w:tcBorders>
              <w:bottom w:val="single" w:sz="8" w:color="0000EE"/>
            </w:tcBorders>
            <w:gridSpan w:val="6"/>
          </w:tcPr>
          <w:p>
            <w:pPr>
              <w:spacing w:after="0"/>
              <w:rPr>
                <w:rFonts w:ascii="Arial" w:cs="Arial" w:eastAsia="Arial" w:hAnsi="Arial"/>
                <w:sz w:val="18"/>
                <w:szCs w:val="18"/>
                <w:color w:val="0000EE"/>
                <w:w w:val="97"/>
              </w:rPr>
            </w:pPr>
            <w:hyperlink w:anchor="page3">
              <w:r>
                <w:rPr>
                  <w:rFonts w:ascii="Arial" w:cs="Arial" w:eastAsia="Arial" w:hAnsi="Arial"/>
                  <w:sz w:val="18"/>
                  <w:szCs w:val="18"/>
                  <w:color w:val="0000EE"/>
                  <w:w w:val="97"/>
                </w:rPr>
                <w:t>PART I. FINANCIAL INFORMATION</w:t>
              </w:r>
            </w:hyperlink>
          </w:p>
        </w:tc>
        <w:tc>
          <w:tcPr>
            <w:tcW w:w="8300" w:type="dxa"/>
            <w:vAlign w:val="bottom"/>
            <w:gridSpan w:val="9"/>
          </w:tcPr>
          <w:p>
            <w:pPr>
              <w:spacing w:after="0"/>
              <w:rPr>
                <w:sz w:val="17"/>
                <w:szCs w:val="17"/>
                <w:color w:val="auto"/>
              </w:rPr>
            </w:pPr>
          </w:p>
        </w:tc>
        <w:tc>
          <w:tcPr>
            <w:tcW w:w="80" w:type="dxa"/>
            <w:vAlign w:val="bottom"/>
          </w:tcPr>
          <w:p>
            <w:pPr>
              <w:spacing w:after="0"/>
              <w:rPr>
                <w:sz w:val="17"/>
                <w:szCs w:val="17"/>
                <w:color w:val="auto"/>
              </w:rPr>
            </w:pPr>
          </w:p>
        </w:tc>
        <w:tc>
          <w:tcPr>
            <w:tcW w:w="100" w:type="dxa"/>
            <w:vAlign w:val="bottom"/>
            <w:tcBorders>
              <w:bottom w:val="single" w:sz="8" w:color="0000EE"/>
            </w:tcBorders>
          </w:tcPr>
          <w:p>
            <w:pPr>
              <w:jc w:val="right"/>
              <w:spacing w:after="0"/>
              <w:rPr>
                <w:rFonts w:ascii="Arial" w:cs="Arial" w:eastAsia="Arial" w:hAnsi="Arial"/>
                <w:sz w:val="18"/>
                <w:szCs w:val="18"/>
                <w:color w:val="0000EE"/>
                <w:w w:val="79"/>
              </w:rPr>
            </w:pPr>
            <w:hyperlink w:anchor="page3">
              <w:r>
                <w:rPr>
                  <w:rFonts w:ascii="Arial" w:cs="Arial" w:eastAsia="Arial" w:hAnsi="Arial"/>
                  <w:sz w:val="18"/>
                  <w:szCs w:val="18"/>
                  <w:color w:val="0000EE"/>
                  <w:w w:val="79"/>
                </w:rPr>
                <w:t>3</w:t>
              </w:r>
            </w:hyperlink>
          </w:p>
        </w:tc>
      </w:tr>
      <w:tr>
        <w:trPr>
          <w:trHeight w:val="250"/>
        </w:trPr>
        <w:tc>
          <w:tcPr>
            <w:tcW w:w="1480" w:type="dxa"/>
            <w:vAlign w:val="bottom"/>
            <w:gridSpan w:val="2"/>
          </w:tcPr>
          <w:p>
            <w:pPr>
              <w:ind w:left="340"/>
              <w:spacing w:after="0"/>
              <w:rPr>
                <w:sz w:val="20"/>
                <w:szCs w:val="20"/>
                <w:color w:val="auto"/>
              </w:rPr>
            </w:pPr>
            <w:r>
              <w:rPr>
                <w:rFonts w:ascii="Arial" w:cs="Arial" w:eastAsia="Arial" w:hAnsi="Arial"/>
                <w:sz w:val="18"/>
                <w:szCs w:val="18"/>
                <w:color w:val="auto"/>
              </w:rPr>
              <w:t>ITEM 1.</w:t>
            </w:r>
          </w:p>
        </w:tc>
        <w:tc>
          <w:tcPr>
            <w:tcW w:w="2160" w:type="dxa"/>
            <w:vAlign w:val="bottom"/>
            <w:tcBorders>
              <w:bottom w:val="single" w:sz="8" w:color="0000EE"/>
            </w:tcBorders>
            <w:gridSpan w:val="6"/>
          </w:tcPr>
          <w:p>
            <w:pPr>
              <w:spacing w:after="0"/>
              <w:rPr>
                <w:rFonts w:ascii="Arial" w:cs="Arial" w:eastAsia="Arial" w:hAnsi="Arial"/>
                <w:sz w:val="18"/>
                <w:szCs w:val="18"/>
                <w:color w:val="0000EE"/>
                <w:w w:val="97"/>
              </w:rPr>
            </w:pPr>
            <w:hyperlink w:anchor="page3">
              <w:r>
                <w:rPr>
                  <w:rFonts w:ascii="Arial" w:cs="Arial" w:eastAsia="Arial" w:hAnsi="Arial"/>
                  <w:sz w:val="18"/>
                  <w:szCs w:val="18"/>
                  <w:color w:val="0000EE"/>
                  <w:w w:val="97"/>
                </w:rPr>
                <w:t>FINANCIAL STATEMENTS</w:t>
              </w:r>
            </w:hyperlink>
          </w:p>
        </w:tc>
        <w:tc>
          <w:tcPr>
            <w:tcW w:w="7540" w:type="dxa"/>
            <w:vAlign w:val="bottom"/>
            <w:gridSpan w:val="7"/>
          </w:tcPr>
          <w:p>
            <w:pPr>
              <w:spacing w:after="0"/>
              <w:rPr>
                <w:sz w:val="21"/>
                <w:szCs w:val="21"/>
                <w:color w:val="auto"/>
              </w:rPr>
            </w:pPr>
          </w:p>
        </w:tc>
        <w:tc>
          <w:tcPr>
            <w:tcW w:w="80" w:type="dxa"/>
            <w:vAlign w:val="bottom"/>
          </w:tcPr>
          <w:p>
            <w:pPr>
              <w:spacing w:after="0"/>
              <w:rPr>
                <w:sz w:val="21"/>
                <w:szCs w:val="21"/>
                <w:color w:val="auto"/>
              </w:rPr>
            </w:pPr>
          </w:p>
        </w:tc>
        <w:tc>
          <w:tcPr>
            <w:tcW w:w="100" w:type="dxa"/>
            <w:vAlign w:val="bottom"/>
            <w:tcBorders>
              <w:bottom w:val="single" w:sz="8" w:color="0000EE"/>
            </w:tcBorders>
          </w:tcPr>
          <w:p>
            <w:pPr>
              <w:jc w:val="right"/>
              <w:spacing w:after="0"/>
              <w:rPr>
                <w:rFonts w:ascii="Arial" w:cs="Arial" w:eastAsia="Arial" w:hAnsi="Arial"/>
                <w:sz w:val="18"/>
                <w:szCs w:val="18"/>
                <w:color w:val="0000EE"/>
                <w:w w:val="79"/>
              </w:rPr>
            </w:pPr>
            <w:hyperlink w:anchor="page3">
              <w:r>
                <w:rPr>
                  <w:rFonts w:ascii="Arial" w:cs="Arial" w:eastAsia="Arial" w:hAnsi="Arial"/>
                  <w:sz w:val="18"/>
                  <w:szCs w:val="18"/>
                  <w:color w:val="0000EE"/>
                  <w:w w:val="79"/>
                </w:rPr>
                <w:t>3</w:t>
              </w:r>
            </w:hyperlink>
          </w:p>
        </w:tc>
      </w:tr>
      <w:tr>
        <w:trPr>
          <w:trHeight w:val="250"/>
        </w:trPr>
        <w:tc>
          <w:tcPr>
            <w:tcW w:w="1480" w:type="dxa"/>
            <w:vAlign w:val="bottom"/>
            <w:gridSpan w:val="2"/>
          </w:tcPr>
          <w:p>
            <w:pPr>
              <w:ind w:left="340"/>
              <w:spacing w:after="0"/>
              <w:rPr>
                <w:sz w:val="20"/>
                <w:szCs w:val="20"/>
                <w:color w:val="auto"/>
              </w:rPr>
            </w:pPr>
            <w:r>
              <w:rPr>
                <w:rFonts w:ascii="Arial" w:cs="Arial" w:eastAsia="Arial" w:hAnsi="Arial"/>
                <w:sz w:val="18"/>
                <w:szCs w:val="18"/>
                <w:color w:val="auto"/>
              </w:rPr>
              <w:t>ITEM 2.</w:t>
            </w:r>
          </w:p>
        </w:tc>
        <w:tc>
          <w:tcPr>
            <w:tcW w:w="8920" w:type="dxa"/>
            <w:vAlign w:val="bottom"/>
            <w:tcBorders>
              <w:bottom w:val="single" w:sz="8" w:color="0000EE"/>
            </w:tcBorders>
            <w:gridSpan w:val="12"/>
          </w:tcPr>
          <w:p>
            <w:pPr>
              <w:spacing w:after="0"/>
              <w:rPr>
                <w:rFonts w:ascii="Arial" w:cs="Arial" w:eastAsia="Arial" w:hAnsi="Arial"/>
                <w:sz w:val="18"/>
                <w:szCs w:val="18"/>
                <w:color w:val="0000EE"/>
                <w:w w:val="97"/>
              </w:rPr>
            </w:pPr>
            <w:hyperlink w:anchor="page24">
              <w:r>
                <w:rPr>
                  <w:rFonts w:ascii="Arial" w:cs="Arial" w:eastAsia="Arial" w:hAnsi="Arial"/>
                  <w:sz w:val="18"/>
                  <w:szCs w:val="18"/>
                  <w:color w:val="0000EE"/>
                  <w:w w:val="97"/>
                </w:rPr>
                <w:t>MANAGEMENT’S DISCUSSION AND ANALYSIS OF FINANCIAL CONDITION AND RESULTS OF OPERATIONS</w:t>
              </w:r>
            </w:hyperlink>
          </w:p>
        </w:tc>
        <w:tc>
          <w:tcPr>
            <w:tcW w:w="780" w:type="dxa"/>
            <w:vAlign w:val="bottom"/>
          </w:tcPr>
          <w:p>
            <w:pPr>
              <w:spacing w:after="0"/>
              <w:rPr>
                <w:sz w:val="21"/>
                <w:szCs w:val="21"/>
                <w:color w:val="auto"/>
              </w:rPr>
            </w:pPr>
          </w:p>
        </w:tc>
        <w:tc>
          <w:tcPr>
            <w:tcW w:w="180" w:type="dxa"/>
            <w:vAlign w:val="bottom"/>
            <w:tcBorders>
              <w:bottom w:val="single" w:sz="8" w:color="0000EE"/>
            </w:tcBorders>
            <w:gridSpan w:val="2"/>
          </w:tcPr>
          <w:p>
            <w:pPr>
              <w:jc w:val="right"/>
              <w:spacing w:after="0"/>
              <w:rPr>
                <w:rFonts w:ascii="Arial" w:cs="Arial" w:eastAsia="Arial" w:hAnsi="Arial"/>
                <w:sz w:val="18"/>
                <w:szCs w:val="18"/>
                <w:color w:val="0000EE"/>
                <w:w w:val="79"/>
              </w:rPr>
            </w:pPr>
            <w:hyperlink w:anchor="page24">
              <w:r>
                <w:rPr>
                  <w:rFonts w:ascii="Arial" w:cs="Arial" w:eastAsia="Arial" w:hAnsi="Arial"/>
                  <w:sz w:val="18"/>
                  <w:szCs w:val="18"/>
                  <w:color w:val="0000EE"/>
                  <w:w w:val="79"/>
                </w:rPr>
                <w:t>24</w:t>
              </w:r>
            </w:hyperlink>
          </w:p>
        </w:tc>
      </w:tr>
      <w:tr>
        <w:trPr>
          <w:trHeight w:val="250"/>
        </w:trPr>
        <w:tc>
          <w:tcPr>
            <w:tcW w:w="1480" w:type="dxa"/>
            <w:vAlign w:val="bottom"/>
            <w:gridSpan w:val="2"/>
          </w:tcPr>
          <w:p>
            <w:pPr>
              <w:ind w:left="340"/>
              <w:spacing w:after="0"/>
              <w:rPr>
                <w:sz w:val="20"/>
                <w:szCs w:val="20"/>
                <w:color w:val="auto"/>
              </w:rPr>
            </w:pPr>
            <w:r>
              <w:rPr>
                <w:rFonts w:ascii="Arial" w:cs="Arial" w:eastAsia="Arial" w:hAnsi="Arial"/>
                <w:sz w:val="18"/>
                <w:szCs w:val="18"/>
                <w:color w:val="auto"/>
              </w:rPr>
              <w:t>ITEM 3.</w:t>
            </w:r>
          </w:p>
        </w:tc>
        <w:tc>
          <w:tcPr>
            <w:tcW w:w="9700" w:type="dxa"/>
            <w:vAlign w:val="bottom"/>
            <w:gridSpan w:val="13"/>
          </w:tcPr>
          <w:p>
            <w:pPr>
              <w:spacing w:after="0"/>
              <w:rPr>
                <w:rFonts w:ascii="Arial" w:cs="Arial" w:eastAsia="Arial" w:hAnsi="Arial"/>
                <w:sz w:val="18"/>
                <w:szCs w:val="18"/>
                <w:color w:val="0000EE"/>
              </w:rPr>
            </w:pPr>
            <w:hyperlink w:anchor="page32">
              <w:r>
                <w:rPr>
                  <w:rFonts w:ascii="Arial" w:cs="Arial" w:eastAsia="Arial" w:hAnsi="Arial"/>
                  <w:sz w:val="18"/>
                  <w:szCs w:val="18"/>
                  <w:color w:val="0000EE"/>
                </w:rPr>
                <w:t>QUANTITATIVE AND QUALITATIVE DISCLOSURES ABOUT MARKET RISK</w:t>
              </w:r>
            </w:hyperlink>
          </w:p>
        </w:tc>
        <w:tc>
          <w:tcPr>
            <w:tcW w:w="180" w:type="dxa"/>
            <w:vAlign w:val="bottom"/>
            <w:gridSpan w:val="2"/>
          </w:tcPr>
          <w:p>
            <w:pPr>
              <w:jc w:val="right"/>
              <w:spacing w:after="0"/>
              <w:rPr>
                <w:rFonts w:ascii="Arial" w:cs="Arial" w:eastAsia="Arial" w:hAnsi="Arial"/>
                <w:sz w:val="18"/>
                <w:szCs w:val="18"/>
                <w:color w:val="0000EE"/>
                <w:w w:val="79"/>
              </w:rPr>
            </w:pPr>
            <w:hyperlink w:anchor="page32">
              <w:r>
                <w:rPr>
                  <w:rFonts w:ascii="Arial" w:cs="Arial" w:eastAsia="Arial" w:hAnsi="Arial"/>
                  <w:sz w:val="18"/>
                  <w:szCs w:val="18"/>
                  <w:color w:val="0000EE"/>
                  <w:w w:val="79"/>
                </w:rPr>
                <w:t>32</w:t>
              </w:r>
            </w:hyperlink>
          </w:p>
        </w:tc>
      </w:tr>
      <w:tr>
        <w:trPr>
          <w:trHeight w:val="250"/>
        </w:trPr>
        <w:tc>
          <w:tcPr>
            <w:tcW w:w="1480" w:type="dxa"/>
            <w:vAlign w:val="bottom"/>
            <w:gridSpan w:val="2"/>
          </w:tcPr>
          <w:p>
            <w:pPr>
              <w:ind w:left="340"/>
              <w:spacing w:after="0"/>
              <w:rPr>
                <w:sz w:val="20"/>
                <w:szCs w:val="20"/>
                <w:color w:val="auto"/>
              </w:rPr>
            </w:pPr>
            <w:r>
              <w:rPr>
                <w:rFonts w:ascii="Arial" w:cs="Arial" w:eastAsia="Arial" w:hAnsi="Arial"/>
                <w:sz w:val="18"/>
                <w:szCs w:val="18"/>
                <w:color w:val="auto"/>
              </w:rPr>
              <w:t>ITEM 4.</w:t>
            </w:r>
          </w:p>
        </w:tc>
        <w:tc>
          <w:tcPr>
            <w:tcW w:w="6140" w:type="dxa"/>
            <w:vAlign w:val="bottom"/>
            <w:tcBorders>
              <w:top w:val="single" w:sz="8" w:color="0000EE"/>
            </w:tcBorders>
            <w:gridSpan w:val="11"/>
          </w:tcPr>
          <w:p>
            <w:pPr>
              <w:spacing w:after="0"/>
              <w:rPr>
                <w:rFonts w:ascii="Arial" w:cs="Arial" w:eastAsia="Arial" w:hAnsi="Arial"/>
                <w:sz w:val="18"/>
                <w:szCs w:val="18"/>
                <w:color w:val="0000EE"/>
              </w:rPr>
            </w:pPr>
            <w:hyperlink w:anchor="page33">
              <w:r>
                <w:rPr>
                  <w:rFonts w:ascii="Arial" w:cs="Arial" w:eastAsia="Arial" w:hAnsi="Arial"/>
                  <w:sz w:val="18"/>
                  <w:szCs w:val="18"/>
                  <w:color w:val="0000EE"/>
                </w:rPr>
                <w:t>CONTROLS AND PROCEDURES</w:t>
              </w:r>
            </w:hyperlink>
          </w:p>
        </w:tc>
        <w:tc>
          <w:tcPr>
            <w:tcW w:w="3560" w:type="dxa"/>
            <w:vAlign w:val="bottom"/>
            <w:gridSpan w:val="2"/>
          </w:tcPr>
          <w:p>
            <w:pPr>
              <w:spacing w:after="0"/>
              <w:rPr>
                <w:sz w:val="21"/>
                <w:szCs w:val="21"/>
                <w:color w:val="auto"/>
              </w:rPr>
            </w:pPr>
          </w:p>
        </w:tc>
        <w:tc>
          <w:tcPr>
            <w:tcW w:w="180" w:type="dxa"/>
            <w:vAlign w:val="bottom"/>
            <w:tcBorders>
              <w:top w:val="single" w:sz="8" w:color="0000EE"/>
            </w:tcBorders>
            <w:gridSpan w:val="2"/>
          </w:tcPr>
          <w:p>
            <w:pPr>
              <w:jc w:val="right"/>
              <w:spacing w:after="0"/>
              <w:rPr>
                <w:rFonts w:ascii="Arial" w:cs="Arial" w:eastAsia="Arial" w:hAnsi="Arial"/>
                <w:sz w:val="18"/>
                <w:szCs w:val="18"/>
                <w:color w:val="0000EE"/>
                <w:w w:val="79"/>
              </w:rPr>
            </w:pPr>
            <w:hyperlink w:anchor="page33">
              <w:r>
                <w:rPr>
                  <w:rFonts w:ascii="Arial" w:cs="Arial" w:eastAsia="Arial" w:hAnsi="Arial"/>
                  <w:sz w:val="18"/>
                  <w:szCs w:val="18"/>
                  <w:color w:val="0000EE"/>
                  <w:w w:val="79"/>
                </w:rPr>
                <w:t>33</w:t>
              </w:r>
            </w:hyperlink>
          </w:p>
        </w:tc>
      </w:tr>
      <w:tr>
        <w:trPr>
          <w:trHeight w:val="20"/>
        </w:trPr>
        <w:tc>
          <w:tcPr>
            <w:tcW w:w="110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820" w:type="dxa"/>
            <w:vAlign w:val="bottom"/>
            <w:shd w:val="clear" w:color="auto" w:fill="0000EE"/>
          </w:tcPr>
          <w:p>
            <w:pPr>
              <w:spacing w:after="0" w:line="20" w:lineRule="exact"/>
              <w:rPr>
                <w:sz w:val="1"/>
                <w:szCs w:val="1"/>
                <w:color w:val="auto"/>
              </w:rPr>
            </w:pPr>
          </w:p>
        </w:tc>
        <w:tc>
          <w:tcPr>
            <w:tcW w:w="260" w:type="dxa"/>
            <w:vAlign w:val="bottom"/>
            <w:shd w:val="clear" w:color="auto" w:fill="0000EE"/>
          </w:tcPr>
          <w:p>
            <w:pPr>
              <w:spacing w:after="0" w:line="20" w:lineRule="exact"/>
              <w:rPr>
                <w:sz w:val="1"/>
                <w:szCs w:val="1"/>
                <w:color w:val="auto"/>
              </w:rPr>
            </w:pPr>
          </w:p>
        </w:tc>
        <w:tc>
          <w:tcPr>
            <w:tcW w:w="160" w:type="dxa"/>
            <w:vAlign w:val="bottom"/>
            <w:shd w:val="clear" w:color="auto" w:fill="0000EE"/>
          </w:tcPr>
          <w:p>
            <w:pPr>
              <w:spacing w:after="0" w:line="20" w:lineRule="exact"/>
              <w:rPr>
                <w:sz w:val="1"/>
                <w:szCs w:val="1"/>
                <w:color w:val="auto"/>
              </w:rPr>
            </w:pPr>
          </w:p>
        </w:tc>
        <w:tc>
          <w:tcPr>
            <w:tcW w:w="640" w:type="dxa"/>
            <w:vAlign w:val="bottom"/>
            <w:gridSpan w:val="2"/>
            <w:shd w:val="clear" w:color="auto" w:fill="0000EE"/>
          </w:tcPr>
          <w:p>
            <w:pPr>
              <w:spacing w:after="0" w:line="20" w:lineRule="exact"/>
              <w:rPr>
                <w:sz w:val="1"/>
                <w:szCs w:val="1"/>
                <w:color w:val="auto"/>
              </w:rPr>
            </w:pPr>
          </w:p>
        </w:tc>
        <w:tc>
          <w:tcPr>
            <w:tcW w:w="560" w:type="dxa"/>
            <w:vAlign w:val="bottom"/>
            <w:gridSpan w:val="2"/>
            <w:shd w:val="clear" w:color="auto" w:fill="0000EE"/>
          </w:tcPr>
          <w:p>
            <w:pPr>
              <w:spacing w:after="0" w:line="20" w:lineRule="exact"/>
              <w:rPr>
                <w:sz w:val="1"/>
                <w:szCs w:val="1"/>
                <w:color w:val="auto"/>
              </w:rPr>
            </w:pPr>
          </w:p>
        </w:tc>
        <w:tc>
          <w:tcPr>
            <w:tcW w:w="160" w:type="dxa"/>
            <w:vAlign w:val="bottom"/>
            <w:shd w:val="clear" w:color="auto" w:fill="0000EE"/>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2900" w:type="dxa"/>
            <w:vAlign w:val="bottom"/>
          </w:tcPr>
          <w:p>
            <w:pPr>
              <w:spacing w:after="0" w:line="20" w:lineRule="exact"/>
              <w:rPr>
                <w:sz w:val="1"/>
                <w:szCs w:val="1"/>
                <w:color w:val="auto"/>
              </w:rPr>
            </w:pPr>
          </w:p>
        </w:tc>
        <w:tc>
          <w:tcPr>
            <w:tcW w:w="3620" w:type="dxa"/>
            <w:vAlign w:val="bottom"/>
            <w:gridSpan w:val="3"/>
          </w:tcPr>
          <w:p>
            <w:pPr>
              <w:spacing w:after="0" w:line="20" w:lineRule="exact"/>
              <w:rPr>
                <w:sz w:val="1"/>
                <w:szCs w:val="1"/>
                <w:color w:val="auto"/>
              </w:rPr>
            </w:pPr>
          </w:p>
        </w:tc>
        <w:tc>
          <w:tcPr>
            <w:tcW w:w="180" w:type="dxa"/>
            <w:vAlign w:val="bottom"/>
            <w:gridSpan w:val="2"/>
            <w:shd w:val="clear" w:color="auto" w:fill="0000EE"/>
          </w:tcPr>
          <w:p>
            <w:pPr>
              <w:spacing w:after="0" w:line="20" w:lineRule="exact"/>
              <w:rPr>
                <w:sz w:val="1"/>
                <w:szCs w:val="1"/>
                <w:color w:val="auto"/>
              </w:rPr>
            </w:pPr>
          </w:p>
        </w:tc>
      </w:tr>
      <w:tr>
        <w:trPr>
          <w:trHeight w:val="250"/>
        </w:trPr>
        <w:tc>
          <w:tcPr>
            <w:tcW w:w="11180" w:type="dxa"/>
            <w:vAlign w:val="bottom"/>
            <w:gridSpan w:val="15"/>
          </w:tcPr>
          <w:p>
            <w:pPr>
              <w:spacing w:after="0"/>
              <w:rPr>
                <w:rFonts w:ascii="Arial" w:cs="Arial" w:eastAsia="Arial" w:hAnsi="Arial"/>
                <w:sz w:val="18"/>
                <w:szCs w:val="18"/>
                <w:color w:val="0000EE"/>
              </w:rPr>
            </w:pPr>
            <w:hyperlink w:anchor="page34">
              <w:r>
                <w:rPr>
                  <w:rFonts w:ascii="Arial" w:cs="Arial" w:eastAsia="Arial" w:hAnsi="Arial"/>
                  <w:sz w:val="18"/>
                  <w:szCs w:val="18"/>
                  <w:color w:val="0000EE"/>
                </w:rPr>
                <w:t>PART II. OTHER INFORMATION</w:t>
              </w:r>
            </w:hyperlink>
          </w:p>
        </w:tc>
        <w:tc>
          <w:tcPr>
            <w:tcW w:w="180" w:type="dxa"/>
            <w:vAlign w:val="bottom"/>
            <w:gridSpan w:val="2"/>
          </w:tcPr>
          <w:p>
            <w:pPr>
              <w:jc w:val="right"/>
              <w:spacing w:after="0"/>
              <w:rPr>
                <w:rFonts w:ascii="Arial" w:cs="Arial" w:eastAsia="Arial" w:hAnsi="Arial"/>
                <w:sz w:val="18"/>
                <w:szCs w:val="18"/>
                <w:color w:val="0000EE"/>
                <w:w w:val="79"/>
              </w:rPr>
            </w:pPr>
            <w:hyperlink w:anchor="page34">
              <w:r>
                <w:rPr>
                  <w:rFonts w:ascii="Arial" w:cs="Arial" w:eastAsia="Arial" w:hAnsi="Arial"/>
                  <w:sz w:val="18"/>
                  <w:szCs w:val="18"/>
                  <w:color w:val="0000EE"/>
                  <w:w w:val="79"/>
                </w:rPr>
                <w:t>34</w:t>
              </w:r>
            </w:hyperlink>
          </w:p>
        </w:tc>
      </w:tr>
      <w:tr>
        <w:trPr>
          <w:trHeight w:val="20"/>
        </w:trPr>
        <w:tc>
          <w:tcPr>
            <w:tcW w:w="1100" w:type="dxa"/>
            <w:vAlign w:val="bottom"/>
            <w:shd w:val="clear" w:color="auto" w:fill="0000EE"/>
          </w:tcPr>
          <w:p>
            <w:pPr>
              <w:spacing w:after="0" w:line="20" w:lineRule="exact"/>
              <w:rPr>
                <w:sz w:val="1"/>
                <w:szCs w:val="1"/>
                <w:color w:val="auto"/>
              </w:rPr>
            </w:pPr>
          </w:p>
        </w:tc>
        <w:tc>
          <w:tcPr>
            <w:tcW w:w="380" w:type="dxa"/>
            <w:vAlign w:val="bottom"/>
            <w:shd w:val="clear" w:color="auto" w:fill="0000EE"/>
          </w:tcPr>
          <w:p>
            <w:pPr>
              <w:spacing w:after="0" w:line="20" w:lineRule="exact"/>
              <w:rPr>
                <w:sz w:val="1"/>
                <w:szCs w:val="1"/>
                <w:color w:val="auto"/>
              </w:rPr>
            </w:pPr>
          </w:p>
        </w:tc>
        <w:tc>
          <w:tcPr>
            <w:tcW w:w="820" w:type="dxa"/>
            <w:vAlign w:val="bottom"/>
            <w:shd w:val="clear" w:color="auto" w:fill="0000EE"/>
          </w:tcPr>
          <w:p>
            <w:pPr>
              <w:spacing w:after="0" w:line="20" w:lineRule="exact"/>
              <w:rPr>
                <w:sz w:val="1"/>
                <w:szCs w:val="1"/>
                <w:color w:val="auto"/>
              </w:rPr>
            </w:pPr>
          </w:p>
        </w:tc>
        <w:tc>
          <w:tcPr>
            <w:tcW w:w="260" w:type="dxa"/>
            <w:vAlign w:val="bottom"/>
            <w:shd w:val="clear" w:color="auto" w:fill="0000EE"/>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40" w:type="dxa"/>
            <w:vAlign w:val="bottom"/>
            <w:gridSpan w:val="2"/>
          </w:tcPr>
          <w:p>
            <w:pPr>
              <w:spacing w:after="0" w:line="20" w:lineRule="exact"/>
              <w:rPr>
                <w:sz w:val="1"/>
                <w:szCs w:val="1"/>
                <w:color w:val="auto"/>
              </w:rPr>
            </w:pPr>
          </w:p>
        </w:tc>
        <w:tc>
          <w:tcPr>
            <w:tcW w:w="560" w:type="dxa"/>
            <w:vAlign w:val="bottom"/>
            <w:gridSpan w:val="2"/>
          </w:tcPr>
          <w:p>
            <w:pPr>
              <w:spacing w:after="0" w:line="20" w:lineRule="exact"/>
              <w:rPr>
                <w:sz w:val="1"/>
                <w:szCs w:val="1"/>
                <w:color w:val="auto"/>
              </w:rPr>
            </w:pPr>
          </w:p>
        </w:tc>
        <w:tc>
          <w:tcPr>
            <w:tcW w:w="740" w:type="dxa"/>
            <w:vAlign w:val="bottom"/>
            <w:gridSpan w:val="2"/>
          </w:tcPr>
          <w:p>
            <w:pPr>
              <w:spacing w:after="0" w:line="20" w:lineRule="exact"/>
              <w:rPr>
                <w:sz w:val="1"/>
                <w:szCs w:val="1"/>
                <w:color w:val="auto"/>
              </w:rPr>
            </w:pPr>
          </w:p>
        </w:tc>
        <w:tc>
          <w:tcPr>
            <w:tcW w:w="2900" w:type="dxa"/>
            <w:vAlign w:val="bottom"/>
          </w:tcPr>
          <w:p>
            <w:pPr>
              <w:spacing w:after="0" w:line="20" w:lineRule="exact"/>
              <w:rPr>
                <w:sz w:val="1"/>
                <w:szCs w:val="1"/>
                <w:color w:val="auto"/>
              </w:rPr>
            </w:pPr>
          </w:p>
        </w:tc>
        <w:tc>
          <w:tcPr>
            <w:tcW w:w="3620" w:type="dxa"/>
            <w:vAlign w:val="bottom"/>
            <w:gridSpan w:val="3"/>
          </w:tcPr>
          <w:p>
            <w:pPr>
              <w:spacing w:after="0" w:line="20" w:lineRule="exact"/>
              <w:rPr>
                <w:sz w:val="1"/>
                <w:szCs w:val="1"/>
                <w:color w:val="auto"/>
              </w:rPr>
            </w:pPr>
          </w:p>
        </w:tc>
        <w:tc>
          <w:tcPr>
            <w:tcW w:w="180" w:type="dxa"/>
            <w:vAlign w:val="bottom"/>
            <w:gridSpan w:val="2"/>
            <w:shd w:val="clear" w:color="auto" w:fill="0000EE"/>
          </w:tcPr>
          <w:p>
            <w:pPr>
              <w:spacing w:after="0" w:line="20" w:lineRule="exact"/>
              <w:rPr>
                <w:sz w:val="1"/>
                <w:szCs w:val="1"/>
                <w:color w:val="auto"/>
              </w:rPr>
            </w:pPr>
          </w:p>
        </w:tc>
      </w:tr>
      <w:tr>
        <w:trPr>
          <w:trHeight w:val="250"/>
        </w:trPr>
        <w:tc>
          <w:tcPr>
            <w:tcW w:w="1480" w:type="dxa"/>
            <w:vAlign w:val="bottom"/>
            <w:gridSpan w:val="2"/>
          </w:tcPr>
          <w:p>
            <w:pPr>
              <w:ind w:left="340"/>
              <w:spacing w:after="0"/>
              <w:rPr>
                <w:sz w:val="20"/>
                <w:szCs w:val="20"/>
                <w:color w:val="auto"/>
              </w:rPr>
            </w:pPr>
            <w:r>
              <w:rPr>
                <w:rFonts w:ascii="Arial" w:cs="Arial" w:eastAsia="Arial" w:hAnsi="Arial"/>
                <w:sz w:val="18"/>
                <w:szCs w:val="18"/>
                <w:color w:val="auto"/>
              </w:rPr>
              <w:t>ITEM 1.</w:t>
            </w:r>
          </w:p>
        </w:tc>
        <w:tc>
          <w:tcPr>
            <w:tcW w:w="1880" w:type="dxa"/>
            <w:vAlign w:val="bottom"/>
            <w:tcBorders>
              <w:bottom w:val="single" w:sz="8" w:color="0000EE"/>
            </w:tcBorders>
            <w:gridSpan w:val="5"/>
          </w:tcPr>
          <w:p>
            <w:pPr>
              <w:spacing w:after="0"/>
              <w:rPr>
                <w:rFonts w:ascii="Arial" w:cs="Arial" w:eastAsia="Arial" w:hAnsi="Arial"/>
                <w:sz w:val="18"/>
                <w:szCs w:val="18"/>
                <w:color w:val="0000EE"/>
                <w:w w:val="94"/>
              </w:rPr>
            </w:pPr>
            <w:hyperlink w:anchor="page34">
              <w:r>
                <w:rPr>
                  <w:rFonts w:ascii="Arial" w:cs="Arial" w:eastAsia="Arial" w:hAnsi="Arial"/>
                  <w:sz w:val="18"/>
                  <w:szCs w:val="18"/>
                  <w:color w:val="0000EE"/>
                  <w:w w:val="94"/>
                </w:rPr>
                <w:t>LEGAL PROCEEDINGS</w:t>
              </w:r>
            </w:hyperlink>
          </w:p>
        </w:tc>
        <w:tc>
          <w:tcPr>
            <w:tcW w:w="7820" w:type="dxa"/>
            <w:vAlign w:val="bottom"/>
            <w:gridSpan w:val="8"/>
          </w:tcPr>
          <w:p>
            <w:pPr>
              <w:spacing w:after="0"/>
              <w:rPr>
                <w:sz w:val="21"/>
                <w:szCs w:val="21"/>
                <w:color w:val="auto"/>
              </w:rPr>
            </w:pPr>
          </w:p>
        </w:tc>
        <w:tc>
          <w:tcPr>
            <w:tcW w:w="180" w:type="dxa"/>
            <w:vAlign w:val="bottom"/>
            <w:tcBorders>
              <w:bottom w:val="single" w:sz="8" w:color="0000EE"/>
            </w:tcBorders>
            <w:gridSpan w:val="2"/>
          </w:tcPr>
          <w:p>
            <w:pPr>
              <w:jc w:val="right"/>
              <w:spacing w:after="0"/>
              <w:rPr>
                <w:rFonts w:ascii="Arial" w:cs="Arial" w:eastAsia="Arial" w:hAnsi="Arial"/>
                <w:sz w:val="18"/>
                <w:szCs w:val="18"/>
                <w:color w:val="0000EE"/>
                <w:w w:val="79"/>
              </w:rPr>
            </w:pPr>
            <w:hyperlink w:anchor="page34">
              <w:r>
                <w:rPr>
                  <w:rFonts w:ascii="Arial" w:cs="Arial" w:eastAsia="Arial" w:hAnsi="Arial"/>
                  <w:sz w:val="18"/>
                  <w:szCs w:val="18"/>
                  <w:color w:val="0000EE"/>
                  <w:w w:val="79"/>
                </w:rPr>
                <w:t>34</w:t>
              </w:r>
            </w:hyperlink>
          </w:p>
        </w:tc>
      </w:tr>
      <w:tr>
        <w:trPr>
          <w:trHeight w:val="250"/>
        </w:trPr>
        <w:tc>
          <w:tcPr>
            <w:tcW w:w="1480" w:type="dxa"/>
            <w:vAlign w:val="bottom"/>
            <w:gridSpan w:val="2"/>
          </w:tcPr>
          <w:p>
            <w:pPr>
              <w:ind w:left="340"/>
              <w:spacing w:after="0"/>
              <w:rPr>
                <w:sz w:val="20"/>
                <w:szCs w:val="20"/>
                <w:color w:val="auto"/>
              </w:rPr>
            </w:pPr>
            <w:r>
              <w:rPr>
                <w:rFonts w:ascii="Arial" w:cs="Arial" w:eastAsia="Arial" w:hAnsi="Arial"/>
                <w:sz w:val="18"/>
                <w:szCs w:val="18"/>
                <w:color w:val="auto"/>
              </w:rPr>
              <w:t>ITEM 1A.</w:t>
            </w:r>
          </w:p>
        </w:tc>
        <w:tc>
          <w:tcPr>
            <w:tcW w:w="9700" w:type="dxa"/>
            <w:vAlign w:val="bottom"/>
            <w:gridSpan w:val="13"/>
          </w:tcPr>
          <w:p>
            <w:pPr>
              <w:spacing w:after="0"/>
              <w:rPr>
                <w:rFonts w:ascii="Arial" w:cs="Arial" w:eastAsia="Arial" w:hAnsi="Arial"/>
                <w:sz w:val="18"/>
                <w:szCs w:val="18"/>
                <w:color w:val="0000EE"/>
              </w:rPr>
            </w:pPr>
            <w:hyperlink w:anchor="page34">
              <w:r>
                <w:rPr>
                  <w:rFonts w:ascii="Arial" w:cs="Arial" w:eastAsia="Arial" w:hAnsi="Arial"/>
                  <w:sz w:val="18"/>
                  <w:szCs w:val="18"/>
                  <w:color w:val="0000EE"/>
                </w:rPr>
                <w:t>RISK FACTORS</w:t>
              </w:r>
            </w:hyperlink>
          </w:p>
        </w:tc>
        <w:tc>
          <w:tcPr>
            <w:tcW w:w="180" w:type="dxa"/>
            <w:vAlign w:val="bottom"/>
            <w:gridSpan w:val="2"/>
          </w:tcPr>
          <w:p>
            <w:pPr>
              <w:jc w:val="right"/>
              <w:spacing w:after="0"/>
              <w:rPr>
                <w:rFonts w:ascii="Arial" w:cs="Arial" w:eastAsia="Arial" w:hAnsi="Arial"/>
                <w:sz w:val="18"/>
                <w:szCs w:val="18"/>
                <w:color w:val="0000EE"/>
                <w:w w:val="79"/>
              </w:rPr>
            </w:pPr>
            <w:hyperlink w:anchor="page34">
              <w:r>
                <w:rPr>
                  <w:rFonts w:ascii="Arial" w:cs="Arial" w:eastAsia="Arial" w:hAnsi="Arial"/>
                  <w:sz w:val="18"/>
                  <w:szCs w:val="18"/>
                  <w:color w:val="0000EE"/>
                  <w:w w:val="79"/>
                </w:rPr>
                <w:t>34</w:t>
              </w:r>
            </w:hyperlink>
          </w:p>
        </w:tc>
      </w:tr>
      <w:tr>
        <w:trPr>
          <w:trHeight w:val="20"/>
        </w:trPr>
        <w:tc>
          <w:tcPr>
            <w:tcW w:w="110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820" w:type="dxa"/>
            <w:vAlign w:val="bottom"/>
            <w:shd w:val="clear" w:color="auto" w:fill="0000EE"/>
          </w:tcPr>
          <w:p>
            <w:pPr>
              <w:spacing w:after="0" w:line="20" w:lineRule="exact"/>
              <w:rPr>
                <w:sz w:val="1"/>
                <w:szCs w:val="1"/>
                <w:color w:val="auto"/>
              </w:rPr>
            </w:pPr>
          </w:p>
        </w:tc>
        <w:tc>
          <w:tcPr>
            <w:tcW w:w="420" w:type="dxa"/>
            <w:vAlign w:val="bottom"/>
            <w:gridSpan w:val="2"/>
            <w:shd w:val="clear" w:color="auto" w:fill="0000EE"/>
          </w:tcPr>
          <w:p>
            <w:pPr>
              <w:spacing w:after="0" w:line="20" w:lineRule="exact"/>
              <w:rPr>
                <w:sz w:val="1"/>
                <w:szCs w:val="1"/>
                <w:color w:val="auto"/>
              </w:rPr>
            </w:pPr>
          </w:p>
        </w:tc>
        <w:tc>
          <w:tcPr>
            <w:tcW w:w="640" w:type="dxa"/>
            <w:vAlign w:val="bottom"/>
            <w:gridSpan w:val="2"/>
          </w:tcPr>
          <w:p>
            <w:pPr>
              <w:spacing w:after="0" w:line="20" w:lineRule="exact"/>
              <w:rPr>
                <w:sz w:val="1"/>
                <w:szCs w:val="1"/>
                <w:color w:val="auto"/>
              </w:rPr>
            </w:pPr>
          </w:p>
        </w:tc>
        <w:tc>
          <w:tcPr>
            <w:tcW w:w="560" w:type="dxa"/>
            <w:vAlign w:val="bottom"/>
            <w:gridSpan w:val="2"/>
          </w:tcPr>
          <w:p>
            <w:pPr>
              <w:spacing w:after="0" w:line="20" w:lineRule="exact"/>
              <w:rPr>
                <w:sz w:val="1"/>
                <w:szCs w:val="1"/>
                <w:color w:val="auto"/>
              </w:rPr>
            </w:pPr>
          </w:p>
        </w:tc>
        <w:tc>
          <w:tcPr>
            <w:tcW w:w="740" w:type="dxa"/>
            <w:vAlign w:val="bottom"/>
            <w:gridSpan w:val="2"/>
          </w:tcPr>
          <w:p>
            <w:pPr>
              <w:spacing w:after="0" w:line="20" w:lineRule="exact"/>
              <w:rPr>
                <w:sz w:val="1"/>
                <w:szCs w:val="1"/>
                <w:color w:val="auto"/>
              </w:rPr>
            </w:pPr>
          </w:p>
        </w:tc>
        <w:tc>
          <w:tcPr>
            <w:tcW w:w="2900" w:type="dxa"/>
            <w:vAlign w:val="bottom"/>
          </w:tcPr>
          <w:p>
            <w:pPr>
              <w:spacing w:after="0" w:line="20" w:lineRule="exact"/>
              <w:rPr>
                <w:sz w:val="1"/>
                <w:szCs w:val="1"/>
                <w:color w:val="auto"/>
              </w:rPr>
            </w:pPr>
          </w:p>
        </w:tc>
        <w:tc>
          <w:tcPr>
            <w:tcW w:w="3620" w:type="dxa"/>
            <w:vAlign w:val="bottom"/>
            <w:gridSpan w:val="3"/>
          </w:tcPr>
          <w:p>
            <w:pPr>
              <w:spacing w:after="0" w:line="20" w:lineRule="exact"/>
              <w:rPr>
                <w:sz w:val="1"/>
                <w:szCs w:val="1"/>
                <w:color w:val="auto"/>
              </w:rPr>
            </w:pPr>
          </w:p>
        </w:tc>
        <w:tc>
          <w:tcPr>
            <w:tcW w:w="180" w:type="dxa"/>
            <w:vAlign w:val="bottom"/>
            <w:gridSpan w:val="2"/>
            <w:shd w:val="clear" w:color="auto" w:fill="0000EE"/>
          </w:tcPr>
          <w:p>
            <w:pPr>
              <w:spacing w:after="0" w:line="20" w:lineRule="exact"/>
              <w:rPr>
                <w:sz w:val="1"/>
                <w:szCs w:val="1"/>
                <w:color w:val="auto"/>
              </w:rPr>
            </w:pPr>
          </w:p>
        </w:tc>
      </w:tr>
      <w:tr>
        <w:trPr>
          <w:trHeight w:val="250"/>
        </w:trPr>
        <w:tc>
          <w:tcPr>
            <w:tcW w:w="1480" w:type="dxa"/>
            <w:vAlign w:val="bottom"/>
            <w:gridSpan w:val="2"/>
          </w:tcPr>
          <w:p>
            <w:pPr>
              <w:ind w:left="340"/>
              <w:spacing w:after="0"/>
              <w:rPr>
                <w:sz w:val="20"/>
                <w:szCs w:val="20"/>
                <w:color w:val="auto"/>
              </w:rPr>
            </w:pPr>
            <w:r>
              <w:rPr>
                <w:rFonts w:ascii="Arial" w:cs="Arial" w:eastAsia="Arial" w:hAnsi="Arial"/>
                <w:sz w:val="18"/>
                <w:szCs w:val="18"/>
                <w:color w:val="auto"/>
              </w:rPr>
              <w:t>ITEM 2.</w:t>
            </w:r>
          </w:p>
        </w:tc>
        <w:tc>
          <w:tcPr>
            <w:tcW w:w="6080" w:type="dxa"/>
            <w:vAlign w:val="bottom"/>
            <w:tcBorders>
              <w:bottom w:val="single" w:sz="8" w:color="0000EE"/>
            </w:tcBorders>
            <w:gridSpan w:val="10"/>
          </w:tcPr>
          <w:p>
            <w:pPr>
              <w:spacing w:after="0"/>
              <w:rPr>
                <w:rFonts w:ascii="Arial" w:cs="Arial" w:eastAsia="Arial" w:hAnsi="Arial"/>
                <w:sz w:val="18"/>
                <w:szCs w:val="18"/>
                <w:color w:val="0000EE"/>
                <w:w w:val="94"/>
              </w:rPr>
            </w:pPr>
            <w:hyperlink w:anchor="page51">
              <w:r>
                <w:rPr>
                  <w:rFonts w:ascii="Arial" w:cs="Arial" w:eastAsia="Arial" w:hAnsi="Arial"/>
                  <w:sz w:val="18"/>
                  <w:szCs w:val="18"/>
                  <w:color w:val="0000EE"/>
                  <w:w w:val="94"/>
                </w:rPr>
                <w:t>UNREGISTERED SALES OF EQUITY SECURITIES AND USE OF PROCEEDS</w:t>
              </w:r>
            </w:hyperlink>
          </w:p>
        </w:tc>
        <w:tc>
          <w:tcPr>
            <w:tcW w:w="3620" w:type="dxa"/>
            <w:vAlign w:val="bottom"/>
            <w:gridSpan w:val="3"/>
          </w:tcPr>
          <w:p>
            <w:pPr>
              <w:spacing w:after="0"/>
              <w:rPr>
                <w:sz w:val="21"/>
                <w:szCs w:val="21"/>
                <w:color w:val="auto"/>
              </w:rPr>
            </w:pPr>
          </w:p>
        </w:tc>
        <w:tc>
          <w:tcPr>
            <w:tcW w:w="180" w:type="dxa"/>
            <w:vAlign w:val="bottom"/>
            <w:tcBorders>
              <w:bottom w:val="single" w:sz="8" w:color="0000EE"/>
            </w:tcBorders>
            <w:gridSpan w:val="2"/>
          </w:tcPr>
          <w:p>
            <w:pPr>
              <w:jc w:val="right"/>
              <w:spacing w:after="0"/>
              <w:rPr>
                <w:rFonts w:ascii="Arial" w:cs="Arial" w:eastAsia="Arial" w:hAnsi="Arial"/>
                <w:sz w:val="18"/>
                <w:szCs w:val="18"/>
                <w:color w:val="0000EE"/>
                <w:w w:val="79"/>
              </w:rPr>
            </w:pPr>
            <w:hyperlink w:anchor="page51">
              <w:r>
                <w:rPr>
                  <w:rFonts w:ascii="Arial" w:cs="Arial" w:eastAsia="Arial" w:hAnsi="Arial"/>
                  <w:sz w:val="18"/>
                  <w:szCs w:val="18"/>
                  <w:color w:val="0000EE"/>
                  <w:w w:val="79"/>
                </w:rPr>
                <w:t>51</w:t>
              </w:r>
            </w:hyperlink>
          </w:p>
        </w:tc>
      </w:tr>
      <w:tr>
        <w:trPr>
          <w:trHeight w:val="250"/>
        </w:trPr>
        <w:tc>
          <w:tcPr>
            <w:tcW w:w="1480" w:type="dxa"/>
            <w:vAlign w:val="bottom"/>
            <w:gridSpan w:val="2"/>
          </w:tcPr>
          <w:p>
            <w:pPr>
              <w:ind w:left="340"/>
              <w:spacing w:after="0"/>
              <w:rPr>
                <w:sz w:val="20"/>
                <w:szCs w:val="20"/>
                <w:color w:val="auto"/>
              </w:rPr>
            </w:pPr>
            <w:r>
              <w:rPr>
                <w:rFonts w:ascii="Arial" w:cs="Arial" w:eastAsia="Arial" w:hAnsi="Arial"/>
                <w:sz w:val="18"/>
                <w:szCs w:val="18"/>
                <w:color w:val="auto"/>
              </w:rPr>
              <w:t>ITEM 3.</w:t>
            </w:r>
          </w:p>
        </w:tc>
        <w:tc>
          <w:tcPr>
            <w:tcW w:w="9700" w:type="dxa"/>
            <w:vAlign w:val="bottom"/>
            <w:gridSpan w:val="13"/>
          </w:tcPr>
          <w:p>
            <w:pPr>
              <w:spacing w:after="0"/>
              <w:rPr>
                <w:rFonts w:ascii="Arial" w:cs="Arial" w:eastAsia="Arial" w:hAnsi="Arial"/>
                <w:sz w:val="18"/>
                <w:szCs w:val="18"/>
                <w:color w:val="0000EE"/>
              </w:rPr>
            </w:pPr>
            <w:hyperlink w:anchor="page51">
              <w:r>
                <w:rPr>
                  <w:rFonts w:ascii="Arial" w:cs="Arial" w:eastAsia="Arial" w:hAnsi="Arial"/>
                  <w:sz w:val="18"/>
                  <w:szCs w:val="18"/>
                  <w:color w:val="0000EE"/>
                </w:rPr>
                <w:t>DEFAULTS UPON SENIOR SECURITIES</w:t>
              </w:r>
            </w:hyperlink>
          </w:p>
        </w:tc>
        <w:tc>
          <w:tcPr>
            <w:tcW w:w="180" w:type="dxa"/>
            <w:vAlign w:val="bottom"/>
            <w:gridSpan w:val="2"/>
          </w:tcPr>
          <w:p>
            <w:pPr>
              <w:jc w:val="right"/>
              <w:spacing w:after="0"/>
              <w:rPr>
                <w:rFonts w:ascii="Arial" w:cs="Arial" w:eastAsia="Arial" w:hAnsi="Arial"/>
                <w:sz w:val="18"/>
                <w:szCs w:val="18"/>
                <w:color w:val="0000EE"/>
                <w:w w:val="79"/>
              </w:rPr>
            </w:pPr>
            <w:hyperlink w:anchor="page51">
              <w:r>
                <w:rPr>
                  <w:rFonts w:ascii="Arial" w:cs="Arial" w:eastAsia="Arial" w:hAnsi="Arial"/>
                  <w:sz w:val="18"/>
                  <w:szCs w:val="18"/>
                  <w:color w:val="0000EE"/>
                  <w:w w:val="79"/>
                </w:rPr>
                <w:t>51</w:t>
              </w:r>
            </w:hyperlink>
          </w:p>
        </w:tc>
      </w:tr>
      <w:tr>
        <w:trPr>
          <w:trHeight w:val="250"/>
        </w:trPr>
        <w:tc>
          <w:tcPr>
            <w:tcW w:w="1480" w:type="dxa"/>
            <w:vAlign w:val="bottom"/>
            <w:gridSpan w:val="2"/>
          </w:tcPr>
          <w:p>
            <w:pPr>
              <w:ind w:left="340"/>
              <w:spacing w:after="0"/>
              <w:rPr>
                <w:sz w:val="20"/>
                <w:szCs w:val="20"/>
                <w:color w:val="auto"/>
              </w:rPr>
            </w:pPr>
            <w:r>
              <w:rPr>
                <w:rFonts w:ascii="Arial" w:cs="Arial" w:eastAsia="Arial" w:hAnsi="Arial"/>
                <w:sz w:val="18"/>
                <w:szCs w:val="18"/>
                <w:color w:val="auto"/>
              </w:rPr>
              <w:t>ITEM 4.</w:t>
            </w:r>
          </w:p>
        </w:tc>
        <w:tc>
          <w:tcPr>
            <w:tcW w:w="3180" w:type="dxa"/>
            <w:vAlign w:val="bottom"/>
            <w:tcBorders>
              <w:top w:val="single" w:sz="8" w:color="0000EE"/>
            </w:tcBorders>
            <w:gridSpan w:val="9"/>
          </w:tcPr>
          <w:p>
            <w:pPr>
              <w:spacing w:after="0"/>
              <w:rPr>
                <w:rFonts w:ascii="Arial" w:cs="Arial" w:eastAsia="Arial" w:hAnsi="Arial"/>
                <w:sz w:val="18"/>
                <w:szCs w:val="18"/>
                <w:color w:val="0000EE"/>
              </w:rPr>
            </w:pPr>
            <w:hyperlink w:anchor="page51">
              <w:r>
                <w:rPr>
                  <w:rFonts w:ascii="Arial" w:cs="Arial" w:eastAsia="Arial" w:hAnsi="Arial"/>
                  <w:sz w:val="18"/>
                  <w:szCs w:val="18"/>
                  <w:color w:val="0000EE"/>
                </w:rPr>
                <w:t>MINE SAFETY DISCLOSURES</w:t>
              </w:r>
            </w:hyperlink>
          </w:p>
        </w:tc>
        <w:tc>
          <w:tcPr>
            <w:tcW w:w="6520" w:type="dxa"/>
            <w:vAlign w:val="bottom"/>
            <w:gridSpan w:val="4"/>
          </w:tcPr>
          <w:p>
            <w:pPr>
              <w:spacing w:after="0"/>
              <w:rPr>
                <w:sz w:val="21"/>
                <w:szCs w:val="21"/>
                <w:color w:val="auto"/>
              </w:rPr>
            </w:pPr>
          </w:p>
        </w:tc>
        <w:tc>
          <w:tcPr>
            <w:tcW w:w="180" w:type="dxa"/>
            <w:vAlign w:val="bottom"/>
            <w:tcBorders>
              <w:top w:val="single" w:sz="8" w:color="0000EE"/>
            </w:tcBorders>
            <w:gridSpan w:val="2"/>
          </w:tcPr>
          <w:p>
            <w:pPr>
              <w:jc w:val="right"/>
              <w:spacing w:after="0"/>
              <w:rPr>
                <w:rFonts w:ascii="Arial" w:cs="Arial" w:eastAsia="Arial" w:hAnsi="Arial"/>
                <w:sz w:val="18"/>
                <w:szCs w:val="18"/>
                <w:color w:val="0000EE"/>
                <w:w w:val="79"/>
              </w:rPr>
            </w:pPr>
            <w:hyperlink w:anchor="page51">
              <w:r>
                <w:rPr>
                  <w:rFonts w:ascii="Arial" w:cs="Arial" w:eastAsia="Arial" w:hAnsi="Arial"/>
                  <w:sz w:val="18"/>
                  <w:szCs w:val="18"/>
                  <w:color w:val="0000EE"/>
                  <w:w w:val="79"/>
                </w:rPr>
                <w:t>51</w:t>
              </w:r>
            </w:hyperlink>
          </w:p>
        </w:tc>
      </w:tr>
      <w:tr>
        <w:trPr>
          <w:trHeight w:val="250"/>
        </w:trPr>
        <w:tc>
          <w:tcPr>
            <w:tcW w:w="1480" w:type="dxa"/>
            <w:vAlign w:val="bottom"/>
            <w:gridSpan w:val="2"/>
          </w:tcPr>
          <w:p>
            <w:pPr>
              <w:ind w:left="340"/>
              <w:spacing w:after="0"/>
              <w:rPr>
                <w:sz w:val="20"/>
                <w:szCs w:val="20"/>
                <w:color w:val="auto"/>
              </w:rPr>
            </w:pPr>
            <w:r>
              <w:rPr>
                <w:rFonts w:ascii="Arial" w:cs="Arial" w:eastAsia="Arial" w:hAnsi="Arial"/>
                <w:sz w:val="18"/>
                <w:szCs w:val="18"/>
                <w:color w:val="auto"/>
              </w:rPr>
              <w:t>ITEM 5.</w:t>
            </w:r>
          </w:p>
        </w:tc>
        <w:tc>
          <w:tcPr>
            <w:tcW w:w="2440" w:type="dxa"/>
            <w:vAlign w:val="bottom"/>
            <w:tcBorders>
              <w:top w:val="single" w:sz="8" w:color="0000EE"/>
            </w:tcBorders>
            <w:gridSpan w:val="7"/>
          </w:tcPr>
          <w:p>
            <w:pPr>
              <w:spacing w:after="0"/>
              <w:rPr>
                <w:rFonts w:ascii="Arial" w:cs="Arial" w:eastAsia="Arial" w:hAnsi="Arial"/>
                <w:sz w:val="18"/>
                <w:szCs w:val="18"/>
                <w:color w:val="0000EE"/>
              </w:rPr>
            </w:pPr>
            <w:hyperlink w:anchor="page52">
              <w:r>
                <w:rPr>
                  <w:rFonts w:ascii="Arial" w:cs="Arial" w:eastAsia="Arial" w:hAnsi="Arial"/>
                  <w:sz w:val="18"/>
                  <w:szCs w:val="18"/>
                  <w:color w:val="0000EE"/>
                </w:rPr>
                <w:t>OTHER INFORMATION</w:t>
              </w:r>
            </w:hyperlink>
          </w:p>
        </w:tc>
        <w:tc>
          <w:tcPr>
            <w:tcW w:w="7260" w:type="dxa"/>
            <w:vAlign w:val="bottom"/>
            <w:gridSpan w:val="6"/>
          </w:tcPr>
          <w:p>
            <w:pPr>
              <w:spacing w:after="0"/>
              <w:rPr>
                <w:sz w:val="21"/>
                <w:szCs w:val="21"/>
                <w:color w:val="auto"/>
              </w:rPr>
            </w:pPr>
          </w:p>
        </w:tc>
        <w:tc>
          <w:tcPr>
            <w:tcW w:w="180" w:type="dxa"/>
            <w:vAlign w:val="bottom"/>
            <w:tcBorders>
              <w:top w:val="single" w:sz="8" w:color="0000EE"/>
            </w:tcBorders>
            <w:gridSpan w:val="2"/>
          </w:tcPr>
          <w:p>
            <w:pPr>
              <w:jc w:val="right"/>
              <w:spacing w:after="0"/>
              <w:rPr>
                <w:rFonts w:ascii="Arial" w:cs="Arial" w:eastAsia="Arial" w:hAnsi="Arial"/>
                <w:sz w:val="18"/>
                <w:szCs w:val="18"/>
                <w:color w:val="0000EE"/>
                <w:w w:val="79"/>
              </w:rPr>
            </w:pPr>
            <w:hyperlink w:anchor="page52">
              <w:r>
                <w:rPr>
                  <w:rFonts w:ascii="Arial" w:cs="Arial" w:eastAsia="Arial" w:hAnsi="Arial"/>
                  <w:sz w:val="18"/>
                  <w:szCs w:val="18"/>
                  <w:color w:val="0000EE"/>
                  <w:w w:val="79"/>
                </w:rPr>
                <w:t>52</w:t>
              </w:r>
            </w:hyperlink>
          </w:p>
        </w:tc>
      </w:tr>
      <w:tr>
        <w:trPr>
          <w:trHeight w:val="250"/>
        </w:trPr>
        <w:tc>
          <w:tcPr>
            <w:tcW w:w="1480" w:type="dxa"/>
            <w:vAlign w:val="bottom"/>
            <w:gridSpan w:val="2"/>
          </w:tcPr>
          <w:p>
            <w:pPr>
              <w:ind w:left="340"/>
              <w:spacing w:after="0"/>
              <w:rPr>
                <w:sz w:val="20"/>
                <w:szCs w:val="20"/>
                <w:color w:val="auto"/>
              </w:rPr>
            </w:pPr>
            <w:r>
              <w:rPr>
                <w:rFonts w:ascii="Arial" w:cs="Arial" w:eastAsia="Arial" w:hAnsi="Arial"/>
                <w:sz w:val="18"/>
                <w:szCs w:val="18"/>
                <w:color w:val="auto"/>
              </w:rPr>
              <w:t>ITEM 6.</w:t>
            </w:r>
          </w:p>
        </w:tc>
        <w:tc>
          <w:tcPr>
            <w:tcW w:w="1880" w:type="dxa"/>
            <w:vAlign w:val="bottom"/>
            <w:tcBorders>
              <w:top w:val="single" w:sz="8" w:color="0000EE"/>
            </w:tcBorders>
            <w:gridSpan w:val="5"/>
          </w:tcPr>
          <w:p>
            <w:pPr>
              <w:spacing w:after="0"/>
              <w:rPr>
                <w:rFonts w:ascii="Arial" w:cs="Arial" w:eastAsia="Arial" w:hAnsi="Arial"/>
                <w:sz w:val="18"/>
                <w:szCs w:val="18"/>
                <w:color w:val="0000EE"/>
              </w:rPr>
            </w:pPr>
            <w:hyperlink w:anchor="page52">
              <w:r>
                <w:rPr>
                  <w:rFonts w:ascii="Arial" w:cs="Arial" w:eastAsia="Arial" w:hAnsi="Arial"/>
                  <w:sz w:val="18"/>
                  <w:szCs w:val="18"/>
                  <w:color w:val="0000EE"/>
                </w:rPr>
                <w:t>EXHIBITS</w:t>
              </w:r>
            </w:hyperlink>
          </w:p>
        </w:tc>
        <w:tc>
          <w:tcPr>
            <w:tcW w:w="7820" w:type="dxa"/>
            <w:vAlign w:val="bottom"/>
            <w:gridSpan w:val="8"/>
          </w:tcPr>
          <w:p>
            <w:pPr>
              <w:spacing w:after="0"/>
              <w:rPr>
                <w:sz w:val="21"/>
                <w:szCs w:val="21"/>
                <w:color w:val="auto"/>
              </w:rPr>
            </w:pPr>
          </w:p>
        </w:tc>
        <w:tc>
          <w:tcPr>
            <w:tcW w:w="180" w:type="dxa"/>
            <w:vAlign w:val="bottom"/>
            <w:tcBorders>
              <w:top w:val="single" w:sz="8" w:color="0000EE"/>
            </w:tcBorders>
            <w:gridSpan w:val="2"/>
          </w:tcPr>
          <w:p>
            <w:pPr>
              <w:jc w:val="right"/>
              <w:spacing w:after="0"/>
              <w:rPr>
                <w:rFonts w:ascii="Arial" w:cs="Arial" w:eastAsia="Arial" w:hAnsi="Arial"/>
                <w:sz w:val="18"/>
                <w:szCs w:val="18"/>
                <w:color w:val="0000EE"/>
                <w:w w:val="79"/>
              </w:rPr>
            </w:pPr>
            <w:hyperlink w:anchor="page52">
              <w:r>
                <w:rPr>
                  <w:rFonts w:ascii="Arial" w:cs="Arial" w:eastAsia="Arial" w:hAnsi="Arial"/>
                  <w:sz w:val="18"/>
                  <w:szCs w:val="18"/>
                  <w:color w:val="0000EE"/>
                  <w:w w:val="79"/>
                </w:rPr>
                <w:t>52</w:t>
              </w:r>
            </w:hyperlink>
          </w:p>
        </w:tc>
      </w:tr>
      <w:tr>
        <w:trPr>
          <w:trHeight w:val="250"/>
        </w:trPr>
        <w:tc>
          <w:tcPr>
            <w:tcW w:w="1100" w:type="dxa"/>
            <w:vAlign w:val="bottom"/>
            <w:tcBorders>
              <w:bottom w:val="single" w:sz="8" w:color="0000EE"/>
            </w:tcBorders>
          </w:tcPr>
          <w:p>
            <w:pPr>
              <w:spacing w:after="0"/>
              <w:rPr>
                <w:rFonts w:ascii="Arial" w:cs="Arial" w:eastAsia="Arial" w:hAnsi="Arial"/>
                <w:sz w:val="18"/>
                <w:szCs w:val="18"/>
                <w:color w:val="0000EE"/>
                <w:w w:val="92"/>
              </w:rPr>
            </w:pPr>
            <w:hyperlink w:anchor="page54">
              <w:r>
                <w:rPr>
                  <w:rFonts w:ascii="Arial" w:cs="Arial" w:eastAsia="Arial" w:hAnsi="Arial"/>
                  <w:sz w:val="18"/>
                  <w:szCs w:val="18"/>
                  <w:color w:val="0000EE"/>
                  <w:w w:val="92"/>
                </w:rPr>
                <w:t>SIGNATURES</w:t>
              </w:r>
            </w:hyperlink>
          </w:p>
        </w:tc>
        <w:tc>
          <w:tcPr>
            <w:tcW w:w="380" w:type="dxa"/>
            <w:vAlign w:val="bottom"/>
          </w:tcPr>
          <w:p>
            <w:pPr>
              <w:spacing w:after="0"/>
              <w:rPr>
                <w:sz w:val="21"/>
                <w:szCs w:val="21"/>
                <w:color w:val="auto"/>
              </w:rPr>
            </w:pPr>
          </w:p>
        </w:tc>
        <w:tc>
          <w:tcPr>
            <w:tcW w:w="820" w:type="dxa"/>
            <w:vAlign w:val="bottom"/>
            <w:tcBorders>
              <w:top w:val="single" w:sz="8" w:color="0000EE"/>
            </w:tcBorders>
          </w:tcPr>
          <w:p>
            <w:pPr>
              <w:spacing w:after="0"/>
              <w:rPr>
                <w:sz w:val="21"/>
                <w:szCs w:val="21"/>
                <w:color w:val="auto"/>
              </w:rPr>
            </w:pPr>
          </w:p>
        </w:tc>
        <w:tc>
          <w:tcPr>
            <w:tcW w:w="26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48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580" w:type="dxa"/>
            <w:vAlign w:val="bottom"/>
          </w:tcPr>
          <w:p>
            <w:pPr>
              <w:spacing w:after="0"/>
              <w:rPr>
                <w:sz w:val="21"/>
                <w:szCs w:val="21"/>
                <w:color w:val="auto"/>
              </w:rPr>
            </w:pPr>
          </w:p>
        </w:tc>
        <w:tc>
          <w:tcPr>
            <w:tcW w:w="290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2780" w:type="dxa"/>
            <w:vAlign w:val="bottom"/>
          </w:tcPr>
          <w:p>
            <w:pPr>
              <w:spacing w:after="0"/>
              <w:rPr>
                <w:sz w:val="21"/>
                <w:szCs w:val="21"/>
                <w:color w:val="auto"/>
              </w:rPr>
            </w:pPr>
          </w:p>
        </w:tc>
        <w:tc>
          <w:tcPr>
            <w:tcW w:w="780" w:type="dxa"/>
            <w:vAlign w:val="bottom"/>
          </w:tcPr>
          <w:p>
            <w:pPr>
              <w:spacing w:after="0"/>
              <w:rPr>
                <w:sz w:val="21"/>
                <w:szCs w:val="21"/>
                <w:color w:val="auto"/>
              </w:rPr>
            </w:pPr>
          </w:p>
        </w:tc>
        <w:tc>
          <w:tcPr>
            <w:tcW w:w="180" w:type="dxa"/>
            <w:vAlign w:val="bottom"/>
            <w:tcBorders>
              <w:top w:val="single" w:sz="8" w:color="0000EE"/>
              <w:bottom w:val="single" w:sz="8" w:color="0000EE"/>
            </w:tcBorders>
            <w:gridSpan w:val="2"/>
          </w:tcPr>
          <w:p>
            <w:pPr>
              <w:jc w:val="right"/>
              <w:spacing w:after="0"/>
              <w:rPr>
                <w:rFonts w:ascii="Arial" w:cs="Arial" w:eastAsia="Arial" w:hAnsi="Arial"/>
                <w:sz w:val="18"/>
                <w:szCs w:val="18"/>
                <w:color w:val="0000EE"/>
                <w:w w:val="79"/>
              </w:rPr>
            </w:pPr>
            <w:hyperlink w:anchor="page54">
              <w:r>
                <w:rPr>
                  <w:rFonts w:ascii="Arial" w:cs="Arial" w:eastAsia="Arial" w:hAnsi="Arial"/>
                  <w:sz w:val="18"/>
                  <w:szCs w:val="18"/>
                  <w:color w:val="0000EE"/>
                  <w:w w:val="79"/>
                </w:rPr>
                <w:t>54</w:t>
              </w:r>
            </w:hyperlink>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w:t>
      </w:r>
    </w:p>
    <w:p>
      <w:pPr>
        <w:sectPr>
          <w:pgSz w:w="11900" w:h="16838" w:orient="portrait"/>
          <w:cols w:equalWidth="0" w:num="1">
            <w:col w:w="11400"/>
          </w:cols>
          <w:pgMar w:left="240" w:top="118" w:right="259" w:bottom="1440" w:gutter="0" w:footer="0" w:header="0"/>
        </w:sectPr>
      </w:pPr>
    </w:p>
    <w:bookmarkStart w:id="2" w:name="page3"/>
    <w:bookmarkEnd w:id="2"/>
    <w:p>
      <w:pPr>
        <w:spacing w:after="0"/>
        <w:rPr>
          <w:rFonts w:ascii="Arial" w:cs="Arial" w:eastAsia="Arial" w:hAnsi="Arial"/>
          <w:sz w:val="14"/>
          <w:szCs w:val="14"/>
          <w:b w:val="1"/>
          <w:bCs w:val="1"/>
          <w:u w:val="single" w:color="auto"/>
          <w:color w:val="0000EE"/>
        </w:rPr>
      </w:pPr>
      <w:hyperlink w:anchor="page2">
        <w:r>
          <w:rPr>
            <w:rFonts w:ascii="Arial" w:cs="Arial" w:eastAsia="Arial" w:hAnsi="Arial"/>
            <w:sz w:val="14"/>
            <w:szCs w:val="14"/>
            <w:b w:val="1"/>
            <w:bCs w:val="1"/>
            <w:u w:val="single" w:color="auto"/>
            <w:color w:val="0000EE"/>
          </w:rPr>
          <w:t>Table of Contents</w:t>
        </w:r>
      </w:hyperlink>
    </w:p>
    <w:p>
      <w:pPr>
        <w:spacing w:after="0" w:line="248"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1260" w:type="dxa"/>
            <w:vAlign w:val="bottom"/>
          </w:tcPr>
          <w:p>
            <w:pPr>
              <w:spacing w:after="0"/>
              <w:rPr>
                <w:sz w:val="20"/>
                <w:szCs w:val="20"/>
                <w:color w:val="auto"/>
              </w:rPr>
            </w:pPr>
          </w:p>
        </w:tc>
        <w:tc>
          <w:tcPr>
            <w:tcW w:w="7080" w:type="dxa"/>
            <w:vAlign w:val="bottom"/>
          </w:tcPr>
          <w:p>
            <w:pPr>
              <w:jc w:val="center"/>
              <w:ind w:left="1730"/>
              <w:spacing w:after="0"/>
              <w:rPr>
                <w:sz w:val="20"/>
                <w:szCs w:val="20"/>
                <w:color w:val="auto"/>
              </w:rPr>
            </w:pPr>
            <w:r>
              <w:rPr>
                <w:rFonts w:ascii="Arial" w:cs="Arial" w:eastAsia="Arial" w:hAnsi="Arial"/>
                <w:sz w:val="18"/>
                <w:szCs w:val="18"/>
                <w:b w:val="1"/>
                <w:bCs w:val="1"/>
                <w:color w:val="auto"/>
              </w:rPr>
              <w:t>PART I. FINANCIAL INFORMATION</w:t>
            </w:r>
          </w:p>
        </w:tc>
        <w:tc>
          <w:tcPr>
            <w:tcW w:w="200" w:type="dxa"/>
            <w:vAlign w:val="bottom"/>
          </w:tcPr>
          <w:p>
            <w:pPr>
              <w:spacing w:after="0"/>
              <w:rPr>
                <w:sz w:val="20"/>
                <w:szCs w:val="20"/>
                <w:color w:val="auto"/>
              </w:rPr>
            </w:pPr>
          </w:p>
        </w:tc>
        <w:tc>
          <w:tcPr>
            <w:tcW w:w="11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4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635"/>
        </w:trPr>
        <w:tc>
          <w:tcPr>
            <w:tcW w:w="1260" w:type="dxa"/>
            <w:vAlign w:val="bottom"/>
          </w:tcPr>
          <w:p>
            <w:pPr>
              <w:ind w:left="40"/>
              <w:spacing w:after="0"/>
              <w:rPr>
                <w:sz w:val="20"/>
                <w:szCs w:val="20"/>
                <w:color w:val="auto"/>
              </w:rPr>
            </w:pPr>
            <w:r>
              <w:rPr>
                <w:rFonts w:ascii="Arial" w:cs="Arial" w:eastAsia="Arial" w:hAnsi="Arial"/>
                <w:sz w:val="18"/>
                <w:szCs w:val="18"/>
                <w:b w:val="1"/>
                <w:bCs w:val="1"/>
                <w:color w:val="auto"/>
              </w:rPr>
              <w:t>ITEM 1.</w:t>
            </w:r>
          </w:p>
        </w:tc>
        <w:tc>
          <w:tcPr>
            <w:tcW w:w="7080" w:type="dxa"/>
            <w:vAlign w:val="bottom"/>
          </w:tcPr>
          <w:p>
            <w:pPr>
              <w:spacing w:after="0"/>
              <w:rPr>
                <w:sz w:val="20"/>
                <w:szCs w:val="20"/>
                <w:color w:val="auto"/>
              </w:rPr>
            </w:pPr>
            <w:r>
              <w:rPr>
                <w:rFonts w:ascii="Arial" w:cs="Arial" w:eastAsia="Arial" w:hAnsi="Arial"/>
                <w:sz w:val="18"/>
                <w:szCs w:val="18"/>
                <w:b w:val="1"/>
                <w:bCs w:val="1"/>
                <w:i w:val="1"/>
                <w:iCs w:val="1"/>
                <w:color w:val="auto"/>
              </w:rPr>
              <w:t>FINANCIAL STATEMENTS</w:t>
            </w:r>
          </w:p>
        </w:tc>
        <w:tc>
          <w:tcPr>
            <w:tcW w:w="20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4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5"/>
        </w:trPr>
        <w:tc>
          <w:tcPr>
            <w:tcW w:w="1260" w:type="dxa"/>
            <w:vAlign w:val="bottom"/>
          </w:tcPr>
          <w:p>
            <w:pPr>
              <w:spacing w:after="0"/>
              <w:rPr>
                <w:sz w:val="19"/>
                <w:szCs w:val="19"/>
                <w:color w:val="auto"/>
              </w:rPr>
            </w:pPr>
          </w:p>
        </w:tc>
        <w:tc>
          <w:tcPr>
            <w:tcW w:w="7080" w:type="dxa"/>
            <w:vAlign w:val="bottom"/>
          </w:tcPr>
          <w:p>
            <w:pPr>
              <w:jc w:val="center"/>
              <w:ind w:left="1730"/>
              <w:spacing w:after="0"/>
              <w:rPr>
                <w:sz w:val="20"/>
                <w:szCs w:val="20"/>
                <w:color w:val="auto"/>
              </w:rPr>
            </w:pPr>
            <w:r>
              <w:rPr>
                <w:rFonts w:ascii="Arial" w:cs="Arial" w:eastAsia="Arial" w:hAnsi="Arial"/>
                <w:sz w:val="18"/>
                <w:szCs w:val="18"/>
                <w:b w:val="1"/>
                <w:bCs w:val="1"/>
                <w:color w:val="auto"/>
                <w:w w:val="91"/>
              </w:rPr>
              <w:t>Luna Innovations Incorporated</w:t>
            </w:r>
          </w:p>
        </w:tc>
        <w:tc>
          <w:tcPr>
            <w:tcW w:w="200" w:type="dxa"/>
            <w:vAlign w:val="bottom"/>
          </w:tcPr>
          <w:p>
            <w:pPr>
              <w:spacing w:after="0"/>
              <w:rPr>
                <w:sz w:val="19"/>
                <w:szCs w:val="19"/>
                <w:color w:val="auto"/>
              </w:rPr>
            </w:pPr>
          </w:p>
        </w:tc>
        <w:tc>
          <w:tcPr>
            <w:tcW w:w="11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4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4"/>
        </w:trPr>
        <w:tc>
          <w:tcPr>
            <w:tcW w:w="1260" w:type="dxa"/>
            <w:vAlign w:val="bottom"/>
          </w:tcPr>
          <w:p>
            <w:pPr>
              <w:spacing w:after="0"/>
              <w:rPr>
                <w:sz w:val="20"/>
                <w:szCs w:val="20"/>
                <w:color w:val="auto"/>
              </w:rPr>
            </w:pPr>
          </w:p>
        </w:tc>
        <w:tc>
          <w:tcPr>
            <w:tcW w:w="7080" w:type="dxa"/>
            <w:vAlign w:val="bottom"/>
          </w:tcPr>
          <w:p>
            <w:pPr>
              <w:jc w:val="center"/>
              <w:ind w:left="1750"/>
              <w:spacing w:after="0"/>
              <w:rPr>
                <w:sz w:val="20"/>
                <w:szCs w:val="20"/>
                <w:color w:val="auto"/>
              </w:rPr>
            </w:pPr>
            <w:r>
              <w:rPr>
                <w:rFonts w:ascii="Arial" w:cs="Arial" w:eastAsia="Arial" w:hAnsi="Arial"/>
                <w:sz w:val="18"/>
                <w:szCs w:val="18"/>
                <w:b w:val="1"/>
                <w:bCs w:val="1"/>
                <w:color w:val="auto"/>
                <w:w w:val="87"/>
              </w:rPr>
              <w:t>Consolidated Balance Sheets</w:t>
            </w:r>
          </w:p>
        </w:tc>
        <w:tc>
          <w:tcPr>
            <w:tcW w:w="200" w:type="dxa"/>
            <w:vAlign w:val="bottom"/>
          </w:tcPr>
          <w:p>
            <w:pPr>
              <w:spacing w:after="0"/>
              <w:rPr>
                <w:sz w:val="20"/>
                <w:szCs w:val="20"/>
                <w:color w:val="auto"/>
              </w:rPr>
            </w:pPr>
          </w:p>
        </w:tc>
        <w:tc>
          <w:tcPr>
            <w:tcW w:w="11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4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99"/>
        </w:trPr>
        <w:tc>
          <w:tcPr>
            <w:tcW w:w="1260" w:type="dxa"/>
            <w:vAlign w:val="bottom"/>
          </w:tcPr>
          <w:p>
            <w:pPr>
              <w:spacing w:after="0"/>
              <w:rPr>
                <w:sz w:val="24"/>
                <w:szCs w:val="24"/>
                <w:color w:val="auto"/>
              </w:rPr>
            </w:pPr>
          </w:p>
        </w:tc>
        <w:tc>
          <w:tcPr>
            <w:tcW w:w="7080" w:type="dxa"/>
            <w:vAlign w:val="bottom"/>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1180" w:type="dxa"/>
            <w:vAlign w:val="bottom"/>
            <w:tcBorders>
              <w:bottom w:val="single" w:sz="8" w:color="auto"/>
            </w:tcBorders>
          </w:tcPr>
          <w:p>
            <w:pPr>
              <w:jc w:val="center"/>
              <w:ind w:right="111"/>
              <w:spacing w:after="0"/>
              <w:rPr>
                <w:sz w:val="20"/>
                <w:szCs w:val="20"/>
                <w:color w:val="auto"/>
              </w:rPr>
            </w:pPr>
            <w:r>
              <w:rPr>
                <w:rFonts w:ascii="Arial" w:cs="Arial" w:eastAsia="Arial" w:hAnsi="Arial"/>
                <w:sz w:val="14"/>
                <w:szCs w:val="14"/>
                <w:b w:val="1"/>
                <w:bCs w:val="1"/>
                <w:color w:val="auto"/>
                <w:w w:val="90"/>
              </w:rPr>
              <w:t>June 30, 2018</w:t>
            </w:r>
          </w:p>
        </w:tc>
        <w:tc>
          <w:tcPr>
            <w:tcW w:w="100" w:type="dxa"/>
            <w:vAlign w:val="bottom"/>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1420" w:type="dxa"/>
            <w:vAlign w:val="bottom"/>
            <w:tcBorders>
              <w:bottom w:val="single" w:sz="8" w:color="auto"/>
            </w:tcBorders>
          </w:tcPr>
          <w:p>
            <w:pPr>
              <w:jc w:val="right"/>
              <w:ind w:right="131"/>
              <w:spacing w:after="0"/>
              <w:rPr>
                <w:sz w:val="20"/>
                <w:szCs w:val="20"/>
                <w:color w:val="auto"/>
              </w:rPr>
            </w:pPr>
            <w:r>
              <w:rPr>
                <w:rFonts w:ascii="Arial" w:cs="Arial" w:eastAsia="Arial" w:hAnsi="Arial"/>
                <w:sz w:val="14"/>
                <w:szCs w:val="14"/>
                <w:b w:val="1"/>
                <w:bCs w:val="1"/>
                <w:color w:val="auto"/>
                <w:w w:val="93"/>
              </w:rPr>
              <w:t>December 31, 2017</w:t>
            </w:r>
          </w:p>
        </w:tc>
        <w:tc>
          <w:tcPr>
            <w:tcW w:w="0" w:type="dxa"/>
            <w:vAlign w:val="bottom"/>
          </w:tcPr>
          <w:p>
            <w:pPr>
              <w:spacing w:after="0"/>
              <w:rPr>
                <w:sz w:val="1"/>
                <w:szCs w:val="1"/>
                <w:color w:val="auto"/>
              </w:rPr>
            </w:pPr>
          </w:p>
        </w:tc>
      </w:tr>
      <w:tr>
        <w:trPr>
          <w:trHeight w:val="264"/>
        </w:trPr>
        <w:tc>
          <w:tcPr>
            <w:tcW w:w="1260" w:type="dxa"/>
            <w:vAlign w:val="bottom"/>
          </w:tcPr>
          <w:p>
            <w:pPr>
              <w:spacing w:after="0"/>
              <w:rPr>
                <w:sz w:val="22"/>
                <w:szCs w:val="22"/>
                <w:color w:val="auto"/>
              </w:rPr>
            </w:pPr>
          </w:p>
        </w:tc>
        <w:tc>
          <w:tcPr>
            <w:tcW w:w="708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1280" w:type="dxa"/>
            <w:vAlign w:val="bottom"/>
            <w:gridSpan w:val="2"/>
          </w:tcPr>
          <w:p>
            <w:pPr>
              <w:jc w:val="center"/>
              <w:ind w:right="320"/>
              <w:spacing w:after="0"/>
              <w:rPr>
                <w:sz w:val="20"/>
                <w:szCs w:val="20"/>
                <w:color w:val="auto"/>
              </w:rPr>
            </w:pPr>
            <w:r>
              <w:rPr>
                <w:rFonts w:ascii="Arial" w:cs="Arial" w:eastAsia="Arial" w:hAnsi="Arial"/>
                <w:sz w:val="14"/>
                <w:szCs w:val="14"/>
                <w:b w:val="1"/>
                <w:bCs w:val="1"/>
                <w:color w:val="auto"/>
                <w:w w:val="94"/>
              </w:rPr>
              <w:t>(unaudited)</w:t>
            </w:r>
          </w:p>
        </w:tc>
        <w:tc>
          <w:tcPr>
            <w:tcW w:w="180" w:type="dxa"/>
            <w:vAlign w:val="bottom"/>
          </w:tcPr>
          <w:p>
            <w:pPr>
              <w:spacing w:after="0"/>
              <w:rPr>
                <w:sz w:val="22"/>
                <w:szCs w:val="22"/>
                <w:color w:val="auto"/>
              </w:rPr>
            </w:pPr>
          </w:p>
        </w:tc>
        <w:tc>
          <w:tcPr>
            <w:tcW w:w="14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56"/>
        </w:trPr>
        <w:tc>
          <w:tcPr>
            <w:tcW w:w="1260" w:type="dxa"/>
            <w:vAlign w:val="bottom"/>
            <w:tcBorders>
              <w:bottom w:val="single" w:sz="8" w:color="CCEEFF"/>
            </w:tcBorders>
            <w:shd w:val="clear" w:color="auto" w:fill="CCEEFF"/>
          </w:tcPr>
          <w:p>
            <w:pPr>
              <w:spacing w:after="0"/>
              <w:rPr>
                <w:sz w:val="22"/>
                <w:szCs w:val="22"/>
                <w:color w:val="auto"/>
              </w:rPr>
            </w:pPr>
          </w:p>
        </w:tc>
        <w:tc>
          <w:tcPr>
            <w:tcW w:w="7080" w:type="dxa"/>
            <w:vAlign w:val="bottom"/>
            <w:tcBorders>
              <w:bottom w:val="single" w:sz="8" w:color="CCEEFF"/>
            </w:tcBorders>
            <w:shd w:val="clear" w:color="auto" w:fill="CCEEFF"/>
          </w:tcPr>
          <w:p>
            <w:pPr>
              <w:jc w:val="center"/>
              <w:ind w:right="1150"/>
              <w:spacing w:after="0"/>
              <w:rPr>
                <w:sz w:val="20"/>
                <w:szCs w:val="20"/>
                <w:color w:val="auto"/>
              </w:rPr>
            </w:pPr>
            <w:r>
              <w:rPr>
                <w:rFonts w:ascii="Arial" w:cs="Arial" w:eastAsia="Arial" w:hAnsi="Arial"/>
                <w:sz w:val="18"/>
                <w:szCs w:val="18"/>
                <w:b w:val="1"/>
                <w:bCs w:val="1"/>
                <w:color w:val="auto"/>
                <w:w w:val="81"/>
              </w:rPr>
              <w:t>Assets</w:t>
            </w:r>
          </w:p>
        </w:tc>
        <w:tc>
          <w:tcPr>
            <w:tcW w:w="200" w:type="dxa"/>
            <w:vAlign w:val="bottom"/>
            <w:tcBorders>
              <w:bottom w:val="single" w:sz="8" w:color="CCEEFF"/>
            </w:tcBorders>
            <w:shd w:val="clear" w:color="auto" w:fill="CCEEFF"/>
          </w:tcPr>
          <w:p>
            <w:pPr>
              <w:spacing w:after="0"/>
              <w:rPr>
                <w:sz w:val="22"/>
                <w:szCs w:val="22"/>
                <w:color w:val="auto"/>
              </w:rPr>
            </w:pPr>
          </w:p>
        </w:tc>
        <w:tc>
          <w:tcPr>
            <w:tcW w:w="1180" w:type="dxa"/>
            <w:vAlign w:val="bottom"/>
            <w:tcBorders>
              <w:bottom w:val="single" w:sz="8" w:color="CCEEFF"/>
            </w:tcBorders>
            <w:shd w:val="clear" w:color="auto" w:fill="CCEEFF"/>
          </w:tcPr>
          <w:p>
            <w:pPr>
              <w:spacing w:after="0"/>
              <w:rPr>
                <w:sz w:val="22"/>
                <w:szCs w:val="22"/>
                <w:color w:val="auto"/>
              </w:rPr>
            </w:pPr>
          </w:p>
        </w:tc>
        <w:tc>
          <w:tcPr>
            <w:tcW w:w="10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CCEEFF"/>
            </w:tcBorders>
            <w:shd w:val="clear" w:color="auto" w:fill="CCEEFF"/>
          </w:tcPr>
          <w:p>
            <w:pPr>
              <w:spacing w:after="0"/>
              <w:rPr>
                <w:sz w:val="22"/>
                <w:szCs w:val="22"/>
                <w:color w:val="auto"/>
              </w:rPr>
            </w:pPr>
          </w:p>
        </w:tc>
        <w:tc>
          <w:tcPr>
            <w:tcW w:w="1420" w:type="dxa"/>
            <w:vAlign w:val="bottom"/>
            <w:tcBorders>
              <w:bottom w:val="single" w:sz="8" w:color="CCEEFF"/>
            </w:tcBorders>
            <w:shd w:val="clear" w:color="auto" w:fill="CCEEFF"/>
          </w:tcPr>
          <w:p>
            <w:pPr>
              <w:spacing w:after="0"/>
              <w:rPr>
                <w:sz w:val="22"/>
                <w:szCs w:val="22"/>
                <w:color w:val="auto"/>
              </w:rPr>
            </w:pPr>
          </w:p>
        </w:tc>
        <w:tc>
          <w:tcPr>
            <w:tcW w:w="0" w:type="dxa"/>
            <w:vAlign w:val="bottom"/>
          </w:tcPr>
          <w:p>
            <w:pPr>
              <w:spacing w:after="0"/>
              <w:rPr>
                <w:sz w:val="1"/>
                <w:szCs w:val="1"/>
                <w:color w:val="auto"/>
              </w:rPr>
            </w:pPr>
          </w:p>
        </w:tc>
      </w:tr>
      <w:tr>
        <w:trPr>
          <w:trHeight w:val="243"/>
        </w:trPr>
        <w:tc>
          <w:tcPr>
            <w:tcW w:w="1260" w:type="dxa"/>
            <w:vAlign w:val="bottom"/>
          </w:tcPr>
          <w:p>
            <w:pPr>
              <w:ind w:left="40"/>
              <w:spacing w:after="0"/>
              <w:rPr>
                <w:sz w:val="20"/>
                <w:szCs w:val="20"/>
                <w:color w:val="auto"/>
              </w:rPr>
            </w:pPr>
            <w:r>
              <w:rPr>
                <w:rFonts w:ascii="Arial" w:cs="Arial" w:eastAsia="Arial" w:hAnsi="Arial"/>
                <w:sz w:val="18"/>
                <w:szCs w:val="18"/>
                <w:color w:val="auto"/>
                <w:w w:val="98"/>
              </w:rPr>
              <w:t>Current assets:</w:t>
            </w:r>
          </w:p>
        </w:tc>
        <w:tc>
          <w:tcPr>
            <w:tcW w:w="708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1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4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8340" w:type="dxa"/>
            <w:vAlign w:val="bottom"/>
            <w:gridSpan w:val="2"/>
          </w:tcPr>
          <w:p>
            <w:pPr>
              <w:spacing w:after="0"/>
              <w:rPr>
                <w:sz w:val="2"/>
                <w:szCs w:val="2"/>
                <w:color w:val="auto"/>
              </w:rPr>
            </w:pPr>
          </w:p>
        </w:tc>
        <w:tc>
          <w:tcPr>
            <w:tcW w:w="20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4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8340" w:type="dxa"/>
            <w:vAlign w:val="bottom"/>
            <w:tcBorders>
              <w:bottom w:val="single" w:sz="8" w:color="CCEEFF"/>
            </w:tcBorders>
            <w:gridSpan w:val="2"/>
            <w:shd w:val="clear" w:color="auto" w:fill="CCEEFF"/>
          </w:tcPr>
          <w:p>
            <w:pPr>
              <w:ind w:left="180"/>
              <w:spacing w:after="0"/>
              <w:rPr>
                <w:sz w:val="20"/>
                <w:szCs w:val="20"/>
                <w:color w:val="auto"/>
              </w:rPr>
            </w:pPr>
            <w:r>
              <w:rPr>
                <w:rFonts w:ascii="Arial" w:cs="Arial" w:eastAsia="Arial" w:hAnsi="Arial"/>
                <w:sz w:val="18"/>
                <w:szCs w:val="18"/>
                <w:color w:val="auto"/>
              </w:rPr>
              <w:t>Cash and cash equivalents</w:t>
            </w:r>
          </w:p>
        </w:tc>
        <w:tc>
          <w:tcPr>
            <w:tcW w:w="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18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33,292,800</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4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36,981,533</w:t>
            </w:r>
          </w:p>
        </w:tc>
        <w:tc>
          <w:tcPr>
            <w:tcW w:w="0" w:type="dxa"/>
            <w:vAlign w:val="bottom"/>
          </w:tcPr>
          <w:p>
            <w:pPr>
              <w:spacing w:after="0"/>
              <w:rPr>
                <w:sz w:val="1"/>
                <w:szCs w:val="1"/>
                <w:color w:val="auto"/>
              </w:rPr>
            </w:pPr>
          </w:p>
        </w:tc>
      </w:tr>
      <w:tr>
        <w:trPr>
          <w:trHeight w:val="243"/>
        </w:trPr>
        <w:tc>
          <w:tcPr>
            <w:tcW w:w="8340" w:type="dxa"/>
            <w:vAlign w:val="bottom"/>
            <w:gridSpan w:val="2"/>
          </w:tcPr>
          <w:p>
            <w:pPr>
              <w:ind w:left="180"/>
              <w:spacing w:after="0"/>
              <w:rPr>
                <w:sz w:val="20"/>
                <w:szCs w:val="20"/>
                <w:color w:val="auto"/>
              </w:rPr>
            </w:pPr>
            <w:r>
              <w:rPr>
                <w:rFonts w:ascii="Arial" w:cs="Arial" w:eastAsia="Arial" w:hAnsi="Arial"/>
                <w:sz w:val="18"/>
                <w:szCs w:val="18"/>
                <w:color w:val="auto"/>
              </w:rPr>
              <w:t>Accounts receivable, net</w:t>
            </w:r>
          </w:p>
        </w:tc>
        <w:tc>
          <w:tcPr>
            <w:tcW w:w="200" w:type="dxa"/>
            <w:vAlign w:val="bottom"/>
          </w:tcPr>
          <w:p>
            <w:pPr>
              <w:spacing w:after="0"/>
              <w:rPr>
                <w:sz w:val="21"/>
                <w:szCs w:val="21"/>
                <w:color w:val="auto"/>
              </w:rPr>
            </w:pPr>
          </w:p>
        </w:tc>
        <w:tc>
          <w:tcPr>
            <w:tcW w:w="1180" w:type="dxa"/>
            <w:vAlign w:val="bottom"/>
          </w:tcPr>
          <w:p>
            <w:pPr>
              <w:jc w:val="right"/>
              <w:ind w:right="11"/>
              <w:spacing w:after="0"/>
              <w:rPr>
                <w:sz w:val="20"/>
                <w:szCs w:val="20"/>
                <w:color w:val="auto"/>
              </w:rPr>
            </w:pPr>
            <w:r>
              <w:rPr>
                <w:rFonts w:ascii="Arial" w:cs="Arial" w:eastAsia="Arial" w:hAnsi="Arial"/>
                <w:sz w:val="18"/>
                <w:szCs w:val="18"/>
                <w:color w:val="auto"/>
              </w:rPr>
              <w:t>9,385,772</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420" w:type="dxa"/>
            <w:vAlign w:val="bottom"/>
          </w:tcPr>
          <w:p>
            <w:pPr>
              <w:jc w:val="right"/>
              <w:ind w:right="11"/>
              <w:spacing w:after="0"/>
              <w:rPr>
                <w:sz w:val="20"/>
                <w:szCs w:val="20"/>
                <w:color w:val="auto"/>
              </w:rPr>
            </w:pPr>
            <w:r>
              <w:rPr>
                <w:rFonts w:ascii="Arial" w:cs="Arial" w:eastAsia="Arial" w:hAnsi="Arial"/>
                <w:sz w:val="18"/>
                <w:szCs w:val="18"/>
                <w:color w:val="auto"/>
              </w:rPr>
              <w:t>7,869,168</w:t>
            </w:r>
          </w:p>
        </w:tc>
        <w:tc>
          <w:tcPr>
            <w:tcW w:w="0" w:type="dxa"/>
            <w:vAlign w:val="bottom"/>
          </w:tcPr>
          <w:p>
            <w:pPr>
              <w:spacing w:after="0"/>
              <w:rPr>
                <w:sz w:val="1"/>
                <w:szCs w:val="1"/>
                <w:color w:val="auto"/>
              </w:rPr>
            </w:pPr>
          </w:p>
        </w:tc>
      </w:tr>
      <w:tr>
        <w:trPr>
          <w:trHeight w:val="27"/>
        </w:trPr>
        <w:tc>
          <w:tcPr>
            <w:tcW w:w="8340" w:type="dxa"/>
            <w:vAlign w:val="bottom"/>
            <w:gridSpan w:val="2"/>
          </w:tcPr>
          <w:p>
            <w:pPr>
              <w:spacing w:after="0"/>
              <w:rPr>
                <w:sz w:val="2"/>
                <w:szCs w:val="2"/>
                <w:color w:val="auto"/>
              </w:rPr>
            </w:pPr>
          </w:p>
        </w:tc>
        <w:tc>
          <w:tcPr>
            <w:tcW w:w="20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4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8340" w:type="dxa"/>
            <w:vAlign w:val="bottom"/>
            <w:tcBorders>
              <w:bottom w:val="single" w:sz="8" w:color="CCEEFF"/>
            </w:tcBorders>
            <w:gridSpan w:val="2"/>
            <w:shd w:val="clear" w:color="auto" w:fill="CCEEFF"/>
          </w:tcPr>
          <w:p>
            <w:pPr>
              <w:ind w:left="180"/>
              <w:spacing w:after="0"/>
              <w:rPr>
                <w:sz w:val="20"/>
                <w:szCs w:val="20"/>
                <w:color w:val="auto"/>
              </w:rPr>
            </w:pPr>
            <w:r>
              <w:rPr>
                <w:rFonts w:ascii="Arial" w:cs="Arial" w:eastAsia="Arial" w:hAnsi="Arial"/>
                <w:sz w:val="18"/>
                <w:szCs w:val="18"/>
                <w:color w:val="auto"/>
              </w:rPr>
              <w:t>Receivable from sale of HSOR business</w:t>
            </w:r>
          </w:p>
        </w:tc>
        <w:tc>
          <w:tcPr>
            <w:tcW w:w="20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4,001,833</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4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4,000,976</w:t>
            </w:r>
          </w:p>
        </w:tc>
        <w:tc>
          <w:tcPr>
            <w:tcW w:w="0" w:type="dxa"/>
            <w:vAlign w:val="bottom"/>
          </w:tcPr>
          <w:p>
            <w:pPr>
              <w:spacing w:after="0"/>
              <w:rPr>
                <w:sz w:val="1"/>
                <w:szCs w:val="1"/>
                <w:color w:val="auto"/>
              </w:rPr>
            </w:pPr>
          </w:p>
        </w:tc>
      </w:tr>
      <w:tr>
        <w:trPr>
          <w:trHeight w:val="243"/>
        </w:trPr>
        <w:tc>
          <w:tcPr>
            <w:tcW w:w="1260" w:type="dxa"/>
            <w:vAlign w:val="bottom"/>
          </w:tcPr>
          <w:p>
            <w:pPr>
              <w:ind w:left="180"/>
              <w:spacing w:after="0"/>
              <w:rPr>
                <w:sz w:val="20"/>
                <w:szCs w:val="20"/>
                <w:color w:val="auto"/>
              </w:rPr>
            </w:pPr>
            <w:r>
              <w:rPr>
                <w:rFonts w:ascii="Arial" w:cs="Arial" w:eastAsia="Arial" w:hAnsi="Arial"/>
                <w:sz w:val="18"/>
                <w:szCs w:val="18"/>
                <w:color w:val="auto"/>
                <w:w w:val="84"/>
              </w:rPr>
              <w:t>Contract assets</w:t>
            </w:r>
          </w:p>
        </w:tc>
        <w:tc>
          <w:tcPr>
            <w:tcW w:w="708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180" w:type="dxa"/>
            <w:vAlign w:val="bottom"/>
          </w:tcPr>
          <w:p>
            <w:pPr>
              <w:jc w:val="right"/>
              <w:ind w:right="11"/>
              <w:spacing w:after="0"/>
              <w:rPr>
                <w:sz w:val="20"/>
                <w:szCs w:val="20"/>
                <w:color w:val="auto"/>
              </w:rPr>
            </w:pPr>
            <w:r>
              <w:rPr>
                <w:rFonts w:ascii="Arial" w:cs="Arial" w:eastAsia="Arial" w:hAnsi="Arial"/>
                <w:sz w:val="18"/>
                <w:szCs w:val="18"/>
                <w:color w:val="auto"/>
              </w:rPr>
              <w:t>3,231,770</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420" w:type="dxa"/>
            <w:vAlign w:val="bottom"/>
          </w:tcPr>
          <w:p>
            <w:pPr>
              <w:jc w:val="right"/>
              <w:ind w:right="11"/>
              <w:spacing w:after="0"/>
              <w:rPr>
                <w:sz w:val="20"/>
                <w:szCs w:val="20"/>
                <w:color w:val="auto"/>
              </w:rPr>
            </w:pPr>
            <w:r>
              <w:rPr>
                <w:rFonts w:ascii="Arial" w:cs="Arial" w:eastAsia="Arial" w:hAnsi="Arial"/>
                <w:sz w:val="18"/>
                <w:szCs w:val="18"/>
                <w:color w:val="auto"/>
              </w:rPr>
              <w:t>1,778,142</w:t>
            </w:r>
          </w:p>
        </w:tc>
        <w:tc>
          <w:tcPr>
            <w:tcW w:w="0" w:type="dxa"/>
            <w:vAlign w:val="bottom"/>
          </w:tcPr>
          <w:p>
            <w:pPr>
              <w:spacing w:after="0"/>
              <w:rPr>
                <w:sz w:val="1"/>
                <w:szCs w:val="1"/>
                <w:color w:val="auto"/>
              </w:rPr>
            </w:pPr>
          </w:p>
        </w:tc>
      </w:tr>
      <w:tr>
        <w:trPr>
          <w:trHeight w:val="27"/>
        </w:trPr>
        <w:tc>
          <w:tcPr>
            <w:tcW w:w="1260" w:type="dxa"/>
            <w:vAlign w:val="bottom"/>
          </w:tcPr>
          <w:p>
            <w:pPr>
              <w:spacing w:after="0"/>
              <w:rPr>
                <w:sz w:val="2"/>
                <w:szCs w:val="2"/>
                <w:color w:val="auto"/>
              </w:rPr>
            </w:pPr>
          </w:p>
        </w:tc>
        <w:tc>
          <w:tcPr>
            <w:tcW w:w="7080" w:type="dxa"/>
            <w:vAlign w:val="bottom"/>
          </w:tcPr>
          <w:p>
            <w:pPr>
              <w:spacing w:after="0"/>
              <w:rPr>
                <w:sz w:val="2"/>
                <w:szCs w:val="2"/>
                <w:color w:val="auto"/>
              </w:rPr>
            </w:pPr>
          </w:p>
        </w:tc>
        <w:tc>
          <w:tcPr>
            <w:tcW w:w="20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4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126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Inventory</w:t>
            </w:r>
          </w:p>
        </w:tc>
        <w:tc>
          <w:tcPr>
            <w:tcW w:w="708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6,906,998</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4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6,951,110</w:t>
            </w:r>
          </w:p>
        </w:tc>
        <w:tc>
          <w:tcPr>
            <w:tcW w:w="0" w:type="dxa"/>
            <w:vAlign w:val="bottom"/>
          </w:tcPr>
          <w:p>
            <w:pPr>
              <w:spacing w:after="0"/>
              <w:rPr>
                <w:sz w:val="1"/>
                <w:szCs w:val="1"/>
                <w:color w:val="auto"/>
              </w:rPr>
            </w:pPr>
          </w:p>
        </w:tc>
      </w:tr>
      <w:tr>
        <w:trPr>
          <w:trHeight w:val="243"/>
        </w:trPr>
        <w:tc>
          <w:tcPr>
            <w:tcW w:w="8340" w:type="dxa"/>
            <w:vAlign w:val="bottom"/>
            <w:gridSpan w:val="2"/>
          </w:tcPr>
          <w:p>
            <w:pPr>
              <w:ind w:left="180"/>
              <w:spacing w:after="0"/>
              <w:rPr>
                <w:sz w:val="20"/>
                <w:szCs w:val="20"/>
                <w:color w:val="auto"/>
              </w:rPr>
            </w:pPr>
            <w:r>
              <w:rPr>
                <w:rFonts w:ascii="Arial" w:cs="Arial" w:eastAsia="Arial" w:hAnsi="Arial"/>
                <w:sz w:val="18"/>
                <w:szCs w:val="18"/>
                <w:color w:val="auto"/>
              </w:rPr>
              <w:t>Prepaid expenses and other current assets</w:t>
            </w:r>
          </w:p>
        </w:tc>
        <w:tc>
          <w:tcPr>
            <w:tcW w:w="200" w:type="dxa"/>
            <w:vAlign w:val="bottom"/>
          </w:tcPr>
          <w:p>
            <w:pPr>
              <w:spacing w:after="0"/>
              <w:rPr>
                <w:sz w:val="21"/>
                <w:szCs w:val="21"/>
                <w:color w:val="auto"/>
              </w:rPr>
            </w:pPr>
          </w:p>
        </w:tc>
        <w:tc>
          <w:tcPr>
            <w:tcW w:w="1180" w:type="dxa"/>
            <w:vAlign w:val="bottom"/>
          </w:tcPr>
          <w:p>
            <w:pPr>
              <w:jc w:val="right"/>
              <w:ind w:right="11"/>
              <w:spacing w:after="0"/>
              <w:rPr>
                <w:sz w:val="20"/>
                <w:szCs w:val="20"/>
                <w:color w:val="auto"/>
              </w:rPr>
            </w:pPr>
            <w:r>
              <w:rPr>
                <w:rFonts w:ascii="Arial" w:cs="Arial" w:eastAsia="Arial" w:hAnsi="Arial"/>
                <w:sz w:val="18"/>
                <w:szCs w:val="18"/>
                <w:color w:val="auto"/>
              </w:rPr>
              <w:t>1,054,984</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420" w:type="dxa"/>
            <w:vAlign w:val="bottom"/>
          </w:tcPr>
          <w:p>
            <w:pPr>
              <w:jc w:val="right"/>
              <w:ind w:right="11"/>
              <w:spacing w:after="0"/>
              <w:rPr>
                <w:sz w:val="20"/>
                <w:szCs w:val="20"/>
                <w:color w:val="auto"/>
              </w:rPr>
            </w:pPr>
            <w:r>
              <w:rPr>
                <w:rFonts w:ascii="Arial" w:cs="Arial" w:eastAsia="Arial" w:hAnsi="Arial"/>
                <w:sz w:val="18"/>
                <w:szCs w:val="18"/>
                <w:color w:val="auto"/>
              </w:rPr>
              <w:t>1,220,650</w:t>
            </w:r>
          </w:p>
        </w:tc>
        <w:tc>
          <w:tcPr>
            <w:tcW w:w="0" w:type="dxa"/>
            <w:vAlign w:val="bottom"/>
          </w:tcPr>
          <w:p>
            <w:pPr>
              <w:spacing w:after="0"/>
              <w:rPr>
                <w:sz w:val="1"/>
                <w:szCs w:val="1"/>
                <w:color w:val="auto"/>
              </w:rPr>
            </w:pPr>
          </w:p>
        </w:tc>
      </w:tr>
      <w:tr>
        <w:trPr>
          <w:trHeight w:val="27"/>
        </w:trPr>
        <w:tc>
          <w:tcPr>
            <w:tcW w:w="8340" w:type="dxa"/>
            <w:vAlign w:val="bottom"/>
            <w:tcBorders>
              <w:bottom w:val="single" w:sz="8" w:color="CCEEFF"/>
            </w:tcBorders>
            <w:gridSpan w:val="2"/>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4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8340" w:type="dxa"/>
            <w:vAlign w:val="bottom"/>
            <w:tcBorders>
              <w:bottom w:val="single" w:sz="8" w:color="CCEEFF"/>
            </w:tcBorders>
            <w:gridSpan w:val="2"/>
            <w:shd w:val="clear" w:color="auto" w:fill="CCEEFF"/>
          </w:tcPr>
          <w:p>
            <w:pPr>
              <w:ind w:left="380"/>
              <w:spacing w:after="0"/>
              <w:rPr>
                <w:sz w:val="20"/>
                <w:szCs w:val="20"/>
                <w:color w:val="auto"/>
              </w:rPr>
            </w:pPr>
            <w:r>
              <w:rPr>
                <w:rFonts w:ascii="Arial" w:cs="Arial" w:eastAsia="Arial" w:hAnsi="Arial"/>
                <w:sz w:val="18"/>
                <w:szCs w:val="18"/>
                <w:color w:val="auto"/>
              </w:rPr>
              <w:t>Total current assets</w:t>
            </w:r>
          </w:p>
        </w:tc>
        <w:tc>
          <w:tcPr>
            <w:tcW w:w="20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57,874,157</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4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58,801,579</w:t>
            </w:r>
          </w:p>
        </w:tc>
        <w:tc>
          <w:tcPr>
            <w:tcW w:w="0" w:type="dxa"/>
            <w:vAlign w:val="bottom"/>
          </w:tcPr>
          <w:p>
            <w:pPr>
              <w:spacing w:after="0"/>
              <w:rPr>
                <w:sz w:val="1"/>
                <w:szCs w:val="1"/>
                <w:color w:val="auto"/>
              </w:rPr>
            </w:pPr>
          </w:p>
        </w:tc>
      </w:tr>
      <w:tr>
        <w:trPr>
          <w:trHeight w:val="243"/>
        </w:trPr>
        <w:tc>
          <w:tcPr>
            <w:tcW w:w="8340" w:type="dxa"/>
            <w:vAlign w:val="bottom"/>
            <w:gridSpan w:val="2"/>
          </w:tcPr>
          <w:p>
            <w:pPr>
              <w:ind w:left="40"/>
              <w:spacing w:after="0"/>
              <w:rPr>
                <w:sz w:val="20"/>
                <w:szCs w:val="20"/>
                <w:color w:val="auto"/>
              </w:rPr>
            </w:pPr>
            <w:r>
              <w:rPr>
                <w:rFonts w:ascii="Arial" w:cs="Arial" w:eastAsia="Arial" w:hAnsi="Arial"/>
                <w:sz w:val="18"/>
                <w:szCs w:val="18"/>
                <w:color w:val="auto"/>
              </w:rPr>
              <w:t>Long-term contract assets</w:t>
            </w:r>
          </w:p>
        </w:tc>
        <w:tc>
          <w:tcPr>
            <w:tcW w:w="200" w:type="dxa"/>
            <w:vAlign w:val="bottom"/>
          </w:tcPr>
          <w:p>
            <w:pPr>
              <w:spacing w:after="0"/>
              <w:rPr>
                <w:sz w:val="21"/>
                <w:szCs w:val="21"/>
                <w:color w:val="auto"/>
              </w:rPr>
            </w:pPr>
          </w:p>
        </w:tc>
        <w:tc>
          <w:tcPr>
            <w:tcW w:w="1180" w:type="dxa"/>
            <w:vAlign w:val="bottom"/>
          </w:tcPr>
          <w:p>
            <w:pPr>
              <w:jc w:val="right"/>
              <w:ind w:right="11"/>
              <w:spacing w:after="0"/>
              <w:rPr>
                <w:sz w:val="20"/>
                <w:szCs w:val="20"/>
                <w:color w:val="auto"/>
              </w:rPr>
            </w:pPr>
            <w:r>
              <w:rPr>
                <w:rFonts w:ascii="Arial" w:cs="Arial" w:eastAsia="Arial" w:hAnsi="Arial"/>
                <w:sz w:val="18"/>
                <w:szCs w:val="18"/>
                <w:color w:val="auto"/>
              </w:rPr>
              <w:t>308,093</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420" w:type="dxa"/>
            <w:vAlign w:val="bottom"/>
          </w:tcPr>
          <w:p>
            <w:pPr>
              <w:jc w:val="right"/>
              <w:ind w:right="11"/>
              <w:spacing w:after="0"/>
              <w:rPr>
                <w:sz w:val="20"/>
                <w:szCs w:val="20"/>
                <w:color w:val="auto"/>
              </w:rPr>
            </w:pPr>
            <w:r>
              <w:rPr>
                <w:rFonts w:ascii="Arial" w:cs="Arial" w:eastAsia="Arial" w:hAnsi="Arial"/>
                <w:sz w:val="18"/>
                <w:szCs w:val="18"/>
                <w:color w:val="auto"/>
              </w:rPr>
              <w:t>209,699</w:t>
            </w:r>
          </w:p>
        </w:tc>
        <w:tc>
          <w:tcPr>
            <w:tcW w:w="0" w:type="dxa"/>
            <w:vAlign w:val="bottom"/>
          </w:tcPr>
          <w:p>
            <w:pPr>
              <w:spacing w:after="0"/>
              <w:rPr>
                <w:sz w:val="1"/>
                <w:szCs w:val="1"/>
                <w:color w:val="auto"/>
              </w:rPr>
            </w:pPr>
          </w:p>
        </w:tc>
      </w:tr>
      <w:tr>
        <w:trPr>
          <w:trHeight w:val="27"/>
        </w:trPr>
        <w:tc>
          <w:tcPr>
            <w:tcW w:w="8340" w:type="dxa"/>
            <w:vAlign w:val="bottom"/>
            <w:gridSpan w:val="2"/>
          </w:tcPr>
          <w:p>
            <w:pPr>
              <w:spacing w:after="0"/>
              <w:rPr>
                <w:sz w:val="2"/>
                <w:szCs w:val="2"/>
                <w:color w:val="auto"/>
              </w:rPr>
            </w:pPr>
          </w:p>
        </w:tc>
        <w:tc>
          <w:tcPr>
            <w:tcW w:w="20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4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834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Property and equipment, net</w:t>
            </w:r>
          </w:p>
        </w:tc>
        <w:tc>
          <w:tcPr>
            <w:tcW w:w="20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3,323,749</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4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3,453,741</w:t>
            </w:r>
          </w:p>
        </w:tc>
        <w:tc>
          <w:tcPr>
            <w:tcW w:w="0" w:type="dxa"/>
            <w:vAlign w:val="bottom"/>
          </w:tcPr>
          <w:p>
            <w:pPr>
              <w:spacing w:after="0"/>
              <w:rPr>
                <w:sz w:val="1"/>
                <w:szCs w:val="1"/>
                <w:color w:val="auto"/>
              </w:rPr>
            </w:pPr>
          </w:p>
        </w:tc>
      </w:tr>
      <w:tr>
        <w:trPr>
          <w:trHeight w:val="243"/>
        </w:trPr>
        <w:tc>
          <w:tcPr>
            <w:tcW w:w="8340" w:type="dxa"/>
            <w:vAlign w:val="bottom"/>
            <w:gridSpan w:val="2"/>
          </w:tcPr>
          <w:p>
            <w:pPr>
              <w:ind w:left="40"/>
              <w:spacing w:after="0"/>
              <w:rPr>
                <w:sz w:val="20"/>
                <w:szCs w:val="20"/>
                <w:color w:val="auto"/>
              </w:rPr>
            </w:pPr>
            <w:r>
              <w:rPr>
                <w:rFonts w:ascii="Arial" w:cs="Arial" w:eastAsia="Arial" w:hAnsi="Arial"/>
                <w:sz w:val="18"/>
                <w:szCs w:val="18"/>
                <w:color w:val="auto"/>
              </w:rPr>
              <w:t>Intangible assets, net</w:t>
            </w:r>
          </w:p>
        </w:tc>
        <w:tc>
          <w:tcPr>
            <w:tcW w:w="200" w:type="dxa"/>
            <w:vAlign w:val="bottom"/>
          </w:tcPr>
          <w:p>
            <w:pPr>
              <w:spacing w:after="0"/>
              <w:rPr>
                <w:sz w:val="21"/>
                <w:szCs w:val="21"/>
                <w:color w:val="auto"/>
              </w:rPr>
            </w:pPr>
          </w:p>
        </w:tc>
        <w:tc>
          <w:tcPr>
            <w:tcW w:w="1180" w:type="dxa"/>
            <w:vAlign w:val="bottom"/>
          </w:tcPr>
          <w:p>
            <w:pPr>
              <w:jc w:val="right"/>
              <w:ind w:right="11"/>
              <w:spacing w:after="0"/>
              <w:rPr>
                <w:sz w:val="20"/>
                <w:szCs w:val="20"/>
                <w:color w:val="auto"/>
              </w:rPr>
            </w:pPr>
            <w:r>
              <w:rPr>
                <w:rFonts w:ascii="Arial" w:cs="Arial" w:eastAsia="Arial" w:hAnsi="Arial"/>
                <w:sz w:val="18"/>
                <w:szCs w:val="18"/>
                <w:color w:val="auto"/>
              </w:rPr>
              <w:t>3,137,083</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420" w:type="dxa"/>
            <w:vAlign w:val="bottom"/>
          </w:tcPr>
          <w:p>
            <w:pPr>
              <w:jc w:val="right"/>
              <w:ind w:right="11"/>
              <w:spacing w:after="0"/>
              <w:rPr>
                <w:sz w:val="20"/>
                <w:szCs w:val="20"/>
                <w:color w:val="auto"/>
              </w:rPr>
            </w:pPr>
            <w:r>
              <w:rPr>
                <w:rFonts w:ascii="Arial" w:cs="Arial" w:eastAsia="Arial" w:hAnsi="Arial"/>
                <w:sz w:val="18"/>
                <w:szCs w:val="18"/>
                <w:color w:val="auto"/>
              </w:rPr>
              <w:t>3,237,593</w:t>
            </w:r>
          </w:p>
        </w:tc>
        <w:tc>
          <w:tcPr>
            <w:tcW w:w="0" w:type="dxa"/>
            <w:vAlign w:val="bottom"/>
          </w:tcPr>
          <w:p>
            <w:pPr>
              <w:spacing w:after="0"/>
              <w:rPr>
                <w:sz w:val="1"/>
                <w:szCs w:val="1"/>
                <w:color w:val="auto"/>
              </w:rPr>
            </w:pPr>
          </w:p>
        </w:tc>
      </w:tr>
      <w:tr>
        <w:trPr>
          <w:trHeight w:val="27"/>
        </w:trPr>
        <w:tc>
          <w:tcPr>
            <w:tcW w:w="1260" w:type="dxa"/>
            <w:vAlign w:val="bottom"/>
          </w:tcPr>
          <w:p>
            <w:pPr>
              <w:spacing w:after="0"/>
              <w:rPr>
                <w:sz w:val="2"/>
                <w:szCs w:val="2"/>
                <w:color w:val="auto"/>
              </w:rPr>
            </w:pPr>
          </w:p>
        </w:tc>
        <w:tc>
          <w:tcPr>
            <w:tcW w:w="7080" w:type="dxa"/>
            <w:vAlign w:val="bottom"/>
          </w:tcPr>
          <w:p>
            <w:pPr>
              <w:spacing w:after="0"/>
              <w:rPr>
                <w:sz w:val="2"/>
                <w:szCs w:val="2"/>
                <w:color w:val="auto"/>
              </w:rPr>
            </w:pPr>
          </w:p>
        </w:tc>
        <w:tc>
          <w:tcPr>
            <w:tcW w:w="20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4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12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Goodwill</w:t>
            </w:r>
          </w:p>
        </w:tc>
        <w:tc>
          <w:tcPr>
            <w:tcW w:w="708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502,000</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4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502,000</w:t>
            </w:r>
          </w:p>
        </w:tc>
        <w:tc>
          <w:tcPr>
            <w:tcW w:w="0" w:type="dxa"/>
            <w:vAlign w:val="bottom"/>
          </w:tcPr>
          <w:p>
            <w:pPr>
              <w:spacing w:after="0"/>
              <w:rPr>
                <w:sz w:val="1"/>
                <w:szCs w:val="1"/>
                <w:color w:val="auto"/>
              </w:rPr>
            </w:pPr>
          </w:p>
        </w:tc>
      </w:tr>
      <w:tr>
        <w:trPr>
          <w:trHeight w:val="243"/>
        </w:trPr>
        <w:tc>
          <w:tcPr>
            <w:tcW w:w="1260" w:type="dxa"/>
            <w:vAlign w:val="bottom"/>
          </w:tcPr>
          <w:p>
            <w:pPr>
              <w:ind w:left="40"/>
              <w:spacing w:after="0"/>
              <w:rPr>
                <w:sz w:val="20"/>
                <w:szCs w:val="20"/>
                <w:color w:val="auto"/>
              </w:rPr>
            </w:pPr>
            <w:r>
              <w:rPr>
                <w:rFonts w:ascii="Arial" w:cs="Arial" w:eastAsia="Arial" w:hAnsi="Arial"/>
                <w:sz w:val="18"/>
                <w:szCs w:val="18"/>
                <w:color w:val="auto"/>
              </w:rPr>
              <w:t>Other assets</w:t>
            </w:r>
          </w:p>
        </w:tc>
        <w:tc>
          <w:tcPr>
            <w:tcW w:w="708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180" w:type="dxa"/>
            <w:vAlign w:val="bottom"/>
          </w:tcPr>
          <w:p>
            <w:pPr>
              <w:jc w:val="right"/>
              <w:ind w:right="11"/>
              <w:spacing w:after="0"/>
              <w:rPr>
                <w:sz w:val="20"/>
                <w:szCs w:val="20"/>
                <w:color w:val="auto"/>
              </w:rPr>
            </w:pPr>
            <w:r>
              <w:rPr>
                <w:rFonts w:ascii="Arial" w:cs="Arial" w:eastAsia="Arial" w:hAnsi="Arial"/>
                <w:sz w:val="18"/>
                <w:szCs w:val="18"/>
                <w:color w:val="auto"/>
              </w:rPr>
              <w:t>18,024</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420" w:type="dxa"/>
            <w:vAlign w:val="bottom"/>
          </w:tcPr>
          <w:p>
            <w:pPr>
              <w:jc w:val="right"/>
              <w:ind w:right="11"/>
              <w:spacing w:after="0"/>
              <w:rPr>
                <w:sz w:val="20"/>
                <w:szCs w:val="20"/>
                <w:color w:val="auto"/>
              </w:rPr>
            </w:pPr>
            <w:r>
              <w:rPr>
                <w:rFonts w:ascii="Arial" w:cs="Arial" w:eastAsia="Arial" w:hAnsi="Arial"/>
                <w:sz w:val="18"/>
                <w:szCs w:val="18"/>
                <w:color w:val="auto"/>
              </w:rPr>
              <w:t>18,024</w:t>
            </w:r>
          </w:p>
        </w:tc>
        <w:tc>
          <w:tcPr>
            <w:tcW w:w="0" w:type="dxa"/>
            <w:vAlign w:val="bottom"/>
          </w:tcPr>
          <w:p>
            <w:pPr>
              <w:spacing w:after="0"/>
              <w:rPr>
                <w:sz w:val="1"/>
                <w:szCs w:val="1"/>
                <w:color w:val="auto"/>
              </w:rPr>
            </w:pPr>
          </w:p>
        </w:tc>
      </w:tr>
      <w:tr>
        <w:trPr>
          <w:trHeight w:val="27"/>
        </w:trPr>
        <w:tc>
          <w:tcPr>
            <w:tcW w:w="8340" w:type="dxa"/>
            <w:vAlign w:val="bottom"/>
            <w:tcBorders>
              <w:bottom w:val="single" w:sz="8" w:color="CCEEFF"/>
            </w:tcBorders>
            <w:gridSpan w:val="2"/>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4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9"/>
        </w:trPr>
        <w:tc>
          <w:tcPr>
            <w:tcW w:w="8340" w:type="dxa"/>
            <w:vAlign w:val="bottom"/>
            <w:tcBorders>
              <w:bottom w:val="single" w:sz="8" w:color="CCEEFF"/>
            </w:tcBorders>
            <w:gridSpan w:val="2"/>
            <w:shd w:val="clear" w:color="auto" w:fill="CCEEFF"/>
          </w:tcPr>
          <w:p>
            <w:pPr>
              <w:ind w:left="600"/>
              <w:spacing w:after="0"/>
              <w:rPr>
                <w:sz w:val="20"/>
                <w:szCs w:val="20"/>
                <w:color w:val="auto"/>
              </w:rPr>
            </w:pPr>
            <w:r>
              <w:rPr>
                <w:rFonts w:ascii="Arial" w:cs="Arial" w:eastAsia="Arial" w:hAnsi="Arial"/>
                <w:sz w:val="18"/>
                <w:szCs w:val="18"/>
                <w:b w:val="1"/>
                <w:bCs w:val="1"/>
                <w:color w:val="auto"/>
              </w:rPr>
              <w:t>Total assets</w:t>
            </w:r>
          </w:p>
        </w:tc>
        <w:tc>
          <w:tcPr>
            <w:tcW w:w="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18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65,163,106</w:t>
            </w:r>
          </w:p>
        </w:tc>
        <w:tc>
          <w:tcPr>
            <w:tcW w:w="10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4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66,222,636</w:t>
            </w:r>
          </w:p>
        </w:tc>
        <w:tc>
          <w:tcPr>
            <w:tcW w:w="0" w:type="dxa"/>
            <w:vAlign w:val="bottom"/>
          </w:tcPr>
          <w:p>
            <w:pPr>
              <w:spacing w:after="0"/>
              <w:rPr>
                <w:sz w:val="1"/>
                <w:szCs w:val="1"/>
                <w:color w:val="auto"/>
              </w:rPr>
            </w:pPr>
          </w:p>
        </w:tc>
      </w:tr>
      <w:tr>
        <w:trPr>
          <w:trHeight w:val="20"/>
        </w:trPr>
        <w:tc>
          <w:tcPr>
            <w:tcW w:w="1260" w:type="dxa"/>
            <w:vAlign w:val="bottom"/>
            <w:tcBorders>
              <w:top w:val="single" w:sz="8" w:color="CCEEFF"/>
            </w:tcBorders>
          </w:tcPr>
          <w:p>
            <w:pPr>
              <w:spacing w:after="0" w:line="20" w:lineRule="exact"/>
              <w:rPr>
                <w:sz w:val="1"/>
                <w:szCs w:val="1"/>
                <w:color w:val="auto"/>
              </w:rPr>
            </w:pPr>
          </w:p>
        </w:tc>
        <w:tc>
          <w:tcPr>
            <w:tcW w:w="7080" w:type="dxa"/>
            <w:vAlign w:val="bottom"/>
            <w:tcBorders>
              <w:top w:val="single" w:sz="8" w:color="CCEEFF"/>
              <w:bottom w:val="single" w:sz="8" w:color="CCEEFF"/>
            </w:tcBorders>
            <w:vMerge w:val="restart"/>
          </w:tcPr>
          <w:p>
            <w:pPr>
              <w:jc w:val="center"/>
              <w:ind w:right="1170"/>
              <w:spacing w:after="0"/>
              <w:rPr>
                <w:sz w:val="20"/>
                <w:szCs w:val="20"/>
                <w:color w:val="auto"/>
              </w:rPr>
            </w:pPr>
            <w:r>
              <w:rPr>
                <w:rFonts w:ascii="Arial" w:cs="Arial" w:eastAsia="Arial" w:hAnsi="Arial"/>
                <w:sz w:val="18"/>
                <w:szCs w:val="18"/>
                <w:b w:val="1"/>
                <w:bCs w:val="1"/>
                <w:color w:val="auto"/>
                <w:w w:val="89"/>
              </w:rPr>
              <w:t>Liabilities and stockholders’ equity</w:t>
            </w:r>
          </w:p>
        </w:tc>
        <w:tc>
          <w:tcPr>
            <w:tcW w:w="200" w:type="dxa"/>
            <w:vAlign w:val="bottom"/>
            <w:tcBorders>
              <w:top w:val="single" w:sz="8" w:color="auto"/>
              <w:bottom w:val="single" w:sz="8" w:color="auto"/>
            </w:tcBorders>
          </w:tcPr>
          <w:p>
            <w:pPr>
              <w:spacing w:after="0" w:line="20" w:lineRule="exact"/>
              <w:rPr>
                <w:sz w:val="1"/>
                <w:szCs w:val="1"/>
                <w:color w:val="auto"/>
              </w:rPr>
            </w:pPr>
          </w:p>
        </w:tc>
        <w:tc>
          <w:tcPr>
            <w:tcW w:w="11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142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7"/>
        </w:trPr>
        <w:tc>
          <w:tcPr>
            <w:tcW w:w="1260" w:type="dxa"/>
            <w:vAlign w:val="bottom"/>
          </w:tcPr>
          <w:p>
            <w:pPr>
              <w:spacing w:after="0"/>
              <w:rPr>
                <w:sz w:val="17"/>
                <w:szCs w:val="17"/>
                <w:color w:val="auto"/>
              </w:rPr>
            </w:pPr>
          </w:p>
        </w:tc>
        <w:tc>
          <w:tcPr>
            <w:tcW w:w="7080" w:type="dxa"/>
            <w:vAlign w:val="bottom"/>
            <w:vMerge w:val="continue"/>
          </w:tcPr>
          <w:p>
            <w:pPr>
              <w:spacing w:after="0"/>
              <w:rPr>
                <w:sz w:val="17"/>
                <w:szCs w:val="17"/>
                <w:color w:val="auto"/>
              </w:rPr>
            </w:pPr>
          </w:p>
        </w:tc>
        <w:tc>
          <w:tcPr>
            <w:tcW w:w="200" w:type="dxa"/>
            <w:vAlign w:val="bottom"/>
          </w:tcPr>
          <w:p>
            <w:pPr>
              <w:spacing w:after="0"/>
              <w:rPr>
                <w:sz w:val="17"/>
                <w:szCs w:val="17"/>
                <w:color w:val="auto"/>
              </w:rPr>
            </w:pPr>
          </w:p>
        </w:tc>
        <w:tc>
          <w:tcPr>
            <w:tcW w:w="11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4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54"/>
        </w:trPr>
        <w:tc>
          <w:tcPr>
            <w:tcW w:w="1260" w:type="dxa"/>
            <w:vAlign w:val="bottom"/>
          </w:tcPr>
          <w:p>
            <w:pPr>
              <w:spacing w:after="0"/>
              <w:rPr>
                <w:sz w:val="4"/>
                <w:szCs w:val="4"/>
                <w:color w:val="auto"/>
              </w:rPr>
            </w:pPr>
          </w:p>
        </w:tc>
        <w:tc>
          <w:tcPr>
            <w:tcW w:w="7080" w:type="dxa"/>
            <w:vAlign w:val="bottom"/>
          </w:tcPr>
          <w:p>
            <w:pPr>
              <w:spacing w:after="0"/>
              <w:rPr>
                <w:sz w:val="4"/>
                <w:szCs w:val="4"/>
                <w:color w:val="auto"/>
              </w:rPr>
            </w:pPr>
          </w:p>
        </w:tc>
        <w:tc>
          <w:tcPr>
            <w:tcW w:w="200" w:type="dxa"/>
            <w:vAlign w:val="bottom"/>
          </w:tcPr>
          <w:p>
            <w:pPr>
              <w:spacing w:after="0"/>
              <w:rPr>
                <w:sz w:val="4"/>
                <w:szCs w:val="4"/>
                <w:color w:val="auto"/>
              </w:rPr>
            </w:pPr>
          </w:p>
        </w:tc>
        <w:tc>
          <w:tcPr>
            <w:tcW w:w="1180" w:type="dxa"/>
            <w:vAlign w:val="bottom"/>
          </w:tcPr>
          <w:p>
            <w:pPr>
              <w:spacing w:after="0"/>
              <w:rPr>
                <w:sz w:val="4"/>
                <w:szCs w:val="4"/>
                <w:color w:val="auto"/>
              </w:rPr>
            </w:pPr>
          </w:p>
        </w:tc>
        <w:tc>
          <w:tcPr>
            <w:tcW w:w="100" w:type="dxa"/>
            <w:vAlign w:val="bottom"/>
          </w:tcPr>
          <w:p>
            <w:pPr>
              <w:spacing w:after="0"/>
              <w:rPr>
                <w:sz w:val="4"/>
                <w:szCs w:val="4"/>
                <w:color w:val="auto"/>
              </w:rPr>
            </w:pPr>
          </w:p>
        </w:tc>
        <w:tc>
          <w:tcPr>
            <w:tcW w:w="180" w:type="dxa"/>
            <w:vAlign w:val="bottom"/>
          </w:tcPr>
          <w:p>
            <w:pPr>
              <w:spacing w:after="0"/>
              <w:rPr>
                <w:sz w:val="4"/>
                <w:szCs w:val="4"/>
                <w:color w:val="auto"/>
              </w:rPr>
            </w:pPr>
          </w:p>
        </w:tc>
        <w:tc>
          <w:tcPr>
            <w:tcW w:w="14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50"/>
        </w:trPr>
        <w:tc>
          <w:tcPr>
            <w:tcW w:w="12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Liabilities:</w:t>
            </w:r>
          </w:p>
        </w:tc>
        <w:tc>
          <w:tcPr>
            <w:tcW w:w="708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42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8340" w:type="dxa"/>
            <w:vAlign w:val="bottom"/>
            <w:gridSpan w:val="2"/>
          </w:tcPr>
          <w:p>
            <w:pPr>
              <w:ind w:left="40"/>
              <w:spacing w:after="0"/>
              <w:rPr>
                <w:sz w:val="20"/>
                <w:szCs w:val="20"/>
                <w:color w:val="auto"/>
              </w:rPr>
            </w:pPr>
            <w:r>
              <w:rPr>
                <w:rFonts w:ascii="Arial" w:cs="Arial" w:eastAsia="Arial" w:hAnsi="Arial"/>
                <w:sz w:val="18"/>
                <w:szCs w:val="18"/>
                <w:color w:val="auto"/>
              </w:rPr>
              <w:t>Current liabilities:</w:t>
            </w:r>
          </w:p>
        </w:tc>
        <w:tc>
          <w:tcPr>
            <w:tcW w:w="200" w:type="dxa"/>
            <w:vAlign w:val="bottom"/>
          </w:tcPr>
          <w:p>
            <w:pPr>
              <w:spacing w:after="0"/>
              <w:rPr>
                <w:sz w:val="21"/>
                <w:szCs w:val="21"/>
                <w:color w:val="auto"/>
              </w:rPr>
            </w:pPr>
          </w:p>
        </w:tc>
        <w:tc>
          <w:tcPr>
            <w:tcW w:w="11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4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8340" w:type="dxa"/>
            <w:vAlign w:val="bottom"/>
            <w:gridSpan w:val="2"/>
          </w:tcPr>
          <w:p>
            <w:pPr>
              <w:spacing w:after="0"/>
              <w:rPr>
                <w:sz w:val="2"/>
                <w:szCs w:val="2"/>
                <w:color w:val="auto"/>
              </w:rPr>
            </w:pPr>
          </w:p>
        </w:tc>
        <w:tc>
          <w:tcPr>
            <w:tcW w:w="20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4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8340" w:type="dxa"/>
            <w:vAlign w:val="bottom"/>
            <w:tcBorders>
              <w:bottom w:val="single" w:sz="8" w:color="CCEEFF"/>
            </w:tcBorders>
            <w:gridSpan w:val="2"/>
            <w:shd w:val="clear" w:color="auto" w:fill="CCEEFF"/>
          </w:tcPr>
          <w:p>
            <w:pPr>
              <w:ind w:left="180"/>
              <w:spacing w:after="0"/>
              <w:rPr>
                <w:sz w:val="20"/>
                <w:szCs w:val="20"/>
                <w:color w:val="auto"/>
              </w:rPr>
            </w:pPr>
            <w:r>
              <w:rPr>
                <w:rFonts w:ascii="Arial" w:cs="Arial" w:eastAsia="Arial" w:hAnsi="Arial"/>
                <w:sz w:val="18"/>
                <w:szCs w:val="18"/>
                <w:color w:val="auto"/>
              </w:rPr>
              <w:t>Current portion of long-term debt obligations</w:t>
            </w:r>
          </w:p>
        </w:tc>
        <w:tc>
          <w:tcPr>
            <w:tcW w:w="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18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1,527,828</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4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1,833,333</w:t>
            </w:r>
          </w:p>
        </w:tc>
        <w:tc>
          <w:tcPr>
            <w:tcW w:w="0" w:type="dxa"/>
            <w:vAlign w:val="bottom"/>
          </w:tcPr>
          <w:p>
            <w:pPr>
              <w:spacing w:after="0"/>
              <w:rPr>
                <w:sz w:val="1"/>
                <w:szCs w:val="1"/>
                <w:color w:val="auto"/>
              </w:rPr>
            </w:pPr>
          </w:p>
        </w:tc>
      </w:tr>
      <w:tr>
        <w:trPr>
          <w:trHeight w:val="243"/>
        </w:trPr>
        <w:tc>
          <w:tcPr>
            <w:tcW w:w="8340" w:type="dxa"/>
            <w:vAlign w:val="bottom"/>
            <w:gridSpan w:val="2"/>
          </w:tcPr>
          <w:p>
            <w:pPr>
              <w:ind w:left="180"/>
              <w:spacing w:after="0"/>
              <w:rPr>
                <w:sz w:val="20"/>
                <w:szCs w:val="20"/>
                <w:color w:val="auto"/>
              </w:rPr>
            </w:pPr>
            <w:r>
              <w:rPr>
                <w:rFonts w:ascii="Arial" w:cs="Arial" w:eastAsia="Arial" w:hAnsi="Arial"/>
                <w:sz w:val="18"/>
                <w:szCs w:val="18"/>
                <w:color w:val="auto"/>
              </w:rPr>
              <w:t>Current portion of capital lease obligations</w:t>
            </w:r>
          </w:p>
        </w:tc>
        <w:tc>
          <w:tcPr>
            <w:tcW w:w="200" w:type="dxa"/>
            <w:vAlign w:val="bottom"/>
          </w:tcPr>
          <w:p>
            <w:pPr>
              <w:spacing w:after="0"/>
              <w:rPr>
                <w:sz w:val="21"/>
                <w:szCs w:val="21"/>
                <w:color w:val="auto"/>
              </w:rPr>
            </w:pPr>
          </w:p>
        </w:tc>
        <w:tc>
          <w:tcPr>
            <w:tcW w:w="1180" w:type="dxa"/>
            <w:vAlign w:val="bottom"/>
          </w:tcPr>
          <w:p>
            <w:pPr>
              <w:jc w:val="right"/>
              <w:ind w:right="11"/>
              <w:spacing w:after="0"/>
              <w:rPr>
                <w:sz w:val="20"/>
                <w:szCs w:val="20"/>
                <w:color w:val="auto"/>
              </w:rPr>
            </w:pPr>
            <w:r>
              <w:rPr>
                <w:rFonts w:ascii="Arial" w:cs="Arial" w:eastAsia="Arial" w:hAnsi="Arial"/>
                <w:sz w:val="18"/>
                <w:szCs w:val="18"/>
                <w:color w:val="auto"/>
              </w:rPr>
              <w:t>34,661</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420" w:type="dxa"/>
            <w:vAlign w:val="bottom"/>
          </w:tcPr>
          <w:p>
            <w:pPr>
              <w:jc w:val="right"/>
              <w:ind w:right="11"/>
              <w:spacing w:after="0"/>
              <w:rPr>
                <w:sz w:val="20"/>
                <w:szCs w:val="20"/>
                <w:color w:val="auto"/>
              </w:rPr>
            </w:pPr>
            <w:r>
              <w:rPr>
                <w:rFonts w:ascii="Arial" w:cs="Arial" w:eastAsia="Arial" w:hAnsi="Arial"/>
                <w:sz w:val="18"/>
                <w:szCs w:val="18"/>
                <w:color w:val="auto"/>
              </w:rPr>
              <w:t>43,665</w:t>
            </w:r>
          </w:p>
        </w:tc>
        <w:tc>
          <w:tcPr>
            <w:tcW w:w="0" w:type="dxa"/>
            <w:vAlign w:val="bottom"/>
          </w:tcPr>
          <w:p>
            <w:pPr>
              <w:spacing w:after="0"/>
              <w:rPr>
                <w:sz w:val="1"/>
                <w:szCs w:val="1"/>
                <w:color w:val="auto"/>
              </w:rPr>
            </w:pPr>
          </w:p>
        </w:tc>
      </w:tr>
      <w:tr>
        <w:trPr>
          <w:trHeight w:val="27"/>
        </w:trPr>
        <w:tc>
          <w:tcPr>
            <w:tcW w:w="8340" w:type="dxa"/>
            <w:vAlign w:val="bottom"/>
            <w:gridSpan w:val="2"/>
          </w:tcPr>
          <w:p>
            <w:pPr>
              <w:spacing w:after="0"/>
              <w:rPr>
                <w:sz w:val="2"/>
                <w:szCs w:val="2"/>
                <w:color w:val="auto"/>
              </w:rPr>
            </w:pPr>
          </w:p>
        </w:tc>
        <w:tc>
          <w:tcPr>
            <w:tcW w:w="20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4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8340" w:type="dxa"/>
            <w:vAlign w:val="bottom"/>
            <w:tcBorders>
              <w:bottom w:val="single" w:sz="8" w:color="CCEEFF"/>
            </w:tcBorders>
            <w:gridSpan w:val="2"/>
            <w:shd w:val="clear" w:color="auto" w:fill="CCEEFF"/>
          </w:tcPr>
          <w:p>
            <w:pPr>
              <w:ind w:left="180"/>
              <w:spacing w:after="0"/>
              <w:rPr>
                <w:sz w:val="20"/>
                <w:szCs w:val="20"/>
                <w:color w:val="auto"/>
              </w:rPr>
            </w:pPr>
            <w:r>
              <w:rPr>
                <w:rFonts w:ascii="Arial" w:cs="Arial" w:eastAsia="Arial" w:hAnsi="Arial"/>
                <w:sz w:val="18"/>
                <w:szCs w:val="18"/>
                <w:color w:val="auto"/>
              </w:rPr>
              <w:t>Accounts payable</w:t>
            </w:r>
          </w:p>
        </w:tc>
        <w:tc>
          <w:tcPr>
            <w:tcW w:w="20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3,787,701</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4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2,962,863</w:t>
            </w:r>
          </w:p>
        </w:tc>
        <w:tc>
          <w:tcPr>
            <w:tcW w:w="0" w:type="dxa"/>
            <w:vAlign w:val="bottom"/>
          </w:tcPr>
          <w:p>
            <w:pPr>
              <w:spacing w:after="0"/>
              <w:rPr>
                <w:sz w:val="1"/>
                <w:szCs w:val="1"/>
                <w:color w:val="auto"/>
              </w:rPr>
            </w:pPr>
          </w:p>
        </w:tc>
      </w:tr>
      <w:tr>
        <w:trPr>
          <w:trHeight w:val="243"/>
        </w:trPr>
        <w:tc>
          <w:tcPr>
            <w:tcW w:w="8340" w:type="dxa"/>
            <w:vAlign w:val="bottom"/>
            <w:gridSpan w:val="2"/>
          </w:tcPr>
          <w:p>
            <w:pPr>
              <w:ind w:left="180"/>
              <w:spacing w:after="0"/>
              <w:rPr>
                <w:sz w:val="20"/>
                <w:szCs w:val="20"/>
                <w:color w:val="auto"/>
              </w:rPr>
            </w:pPr>
            <w:r>
              <w:rPr>
                <w:rFonts w:ascii="Arial" w:cs="Arial" w:eastAsia="Arial" w:hAnsi="Arial"/>
                <w:sz w:val="18"/>
                <w:szCs w:val="18"/>
                <w:color w:val="auto"/>
              </w:rPr>
              <w:t>Accrued liabilities</w:t>
            </w:r>
          </w:p>
        </w:tc>
        <w:tc>
          <w:tcPr>
            <w:tcW w:w="200" w:type="dxa"/>
            <w:vAlign w:val="bottom"/>
          </w:tcPr>
          <w:p>
            <w:pPr>
              <w:spacing w:after="0"/>
              <w:rPr>
                <w:sz w:val="21"/>
                <w:szCs w:val="21"/>
                <w:color w:val="auto"/>
              </w:rPr>
            </w:pPr>
          </w:p>
        </w:tc>
        <w:tc>
          <w:tcPr>
            <w:tcW w:w="1180" w:type="dxa"/>
            <w:vAlign w:val="bottom"/>
          </w:tcPr>
          <w:p>
            <w:pPr>
              <w:jc w:val="right"/>
              <w:ind w:right="11"/>
              <w:spacing w:after="0"/>
              <w:rPr>
                <w:sz w:val="20"/>
                <w:szCs w:val="20"/>
                <w:color w:val="auto"/>
              </w:rPr>
            </w:pPr>
            <w:r>
              <w:rPr>
                <w:rFonts w:ascii="Arial" w:cs="Arial" w:eastAsia="Arial" w:hAnsi="Arial"/>
                <w:sz w:val="18"/>
                <w:szCs w:val="18"/>
                <w:color w:val="auto"/>
              </w:rPr>
              <w:t>5,554,481</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420" w:type="dxa"/>
            <w:vAlign w:val="bottom"/>
          </w:tcPr>
          <w:p>
            <w:pPr>
              <w:jc w:val="right"/>
              <w:ind w:right="11"/>
              <w:spacing w:after="0"/>
              <w:rPr>
                <w:sz w:val="20"/>
                <w:szCs w:val="20"/>
                <w:color w:val="auto"/>
              </w:rPr>
            </w:pPr>
            <w:r>
              <w:rPr>
                <w:rFonts w:ascii="Arial" w:cs="Arial" w:eastAsia="Arial" w:hAnsi="Arial"/>
                <w:sz w:val="18"/>
                <w:szCs w:val="18"/>
                <w:color w:val="auto"/>
              </w:rPr>
              <w:t>6,557,649</w:t>
            </w:r>
          </w:p>
        </w:tc>
        <w:tc>
          <w:tcPr>
            <w:tcW w:w="0" w:type="dxa"/>
            <w:vAlign w:val="bottom"/>
          </w:tcPr>
          <w:p>
            <w:pPr>
              <w:spacing w:after="0"/>
              <w:rPr>
                <w:sz w:val="1"/>
                <w:szCs w:val="1"/>
                <w:color w:val="auto"/>
              </w:rPr>
            </w:pPr>
          </w:p>
        </w:tc>
      </w:tr>
      <w:tr>
        <w:trPr>
          <w:trHeight w:val="27"/>
        </w:trPr>
        <w:tc>
          <w:tcPr>
            <w:tcW w:w="8340" w:type="dxa"/>
            <w:vAlign w:val="bottom"/>
            <w:gridSpan w:val="2"/>
          </w:tcPr>
          <w:p>
            <w:pPr>
              <w:spacing w:after="0"/>
              <w:rPr>
                <w:sz w:val="2"/>
                <w:szCs w:val="2"/>
                <w:color w:val="auto"/>
              </w:rPr>
            </w:pPr>
          </w:p>
        </w:tc>
        <w:tc>
          <w:tcPr>
            <w:tcW w:w="20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4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8340" w:type="dxa"/>
            <w:vAlign w:val="bottom"/>
            <w:tcBorders>
              <w:bottom w:val="single" w:sz="8" w:color="CCEEFF"/>
            </w:tcBorders>
            <w:gridSpan w:val="2"/>
            <w:shd w:val="clear" w:color="auto" w:fill="CCEEFF"/>
          </w:tcPr>
          <w:p>
            <w:pPr>
              <w:ind w:left="180"/>
              <w:spacing w:after="0"/>
              <w:rPr>
                <w:sz w:val="20"/>
                <w:szCs w:val="20"/>
                <w:color w:val="auto"/>
              </w:rPr>
            </w:pPr>
            <w:r>
              <w:rPr>
                <w:rFonts w:ascii="Arial" w:cs="Arial" w:eastAsia="Arial" w:hAnsi="Arial"/>
                <w:sz w:val="18"/>
                <w:szCs w:val="18"/>
                <w:color w:val="auto"/>
              </w:rPr>
              <w:t>Contract liabilities</w:t>
            </w:r>
          </w:p>
        </w:tc>
        <w:tc>
          <w:tcPr>
            <w:tcW w:w="200" w:type="dxa"/>
            <w:vAlign w:val="bottom"/>
            <w:tcBorders>
              <w:bottom w:val="single" w:sz="8" w:color="CCEEFF"/>
            </w:tcBorders>
            <w:shd w:val="clear" w:color="auto" w:fill="CCEEFF"/>
          </w:tcPr>
          <w:p>
            <w:pPr>
              <w:spacing w:after="0"/>
              <w:rPr>
                <w:sz w:val="23"/>
                <w:szCs w:val="23"/>
                <w:color w:val="auto"/>
              </w:rPr>
            </w:pPr>
          </w:p>
        </w:tc>
        <w:tc>
          <w:tcPr>
            <w:tcW w:w="118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1,400,922</w:t>
            </w:r>
          </w:p>
        </w:tc>
        <w:tc>
          <w:tcPr>
            <w:tcW w:w="100" w:type="dxa"/>
            <w:vAlign w:val="bottom"/>
            <w:tcBorders>
              <w:bottom w:val="single" w:sz="8" w:color="CCEEFF"/>
            </w:tcBorders>
            <w:shd w:val="clear" w:color="auto" w:fill="CCEEFF"/>
          </w:tcPr>
          <w:p>
            <w:pPr>
              <w:spacing w:after="0"/>
              <w:rPr>
                <w:sz w:val="23"/>
                <w:szCs w:val="23"/>
                <w:color w:val="auto"/>
              </w:rPr>
            </w:pPr>
          </w:p>
        </w:tc>
        <w:tc>
          <w:tcPr>
            <w:tcW w:w="180" w:type="dxa"/>
            <w:vAlign w:val="bottom"/>
            <w:tcBorders>
              <w:bottom w:val="single" w:sz="8" w:color="CCEEFF"/>
            </w:tcBorders>
            <w:shd w:val="clear" w:color="auto" w:fill="CCEEFF"/>
          </w:tcPr>
          <w:p>
            <w:pPr>
              <w:spacing w:after="0"/>
              <w:rPr>
                <w:sz w:val="23"/>
                <w:szCs w:val="23"/>
                <w:color w:val="auto"/>
              </w:rPr>
            </w:pPr>
          </w:p>
        </w:tc>
        <w:tc>
          <w:tcPr>
            <w:tcW w:w="14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3,428,625</w:t>
            </w:r>
          </w:p>
        </w:tc>
        <w:tc>
          <w:tcPr>
            <w:tcW w:w="0" w:type="dxa"/>
            <w:vAlign w:val="bottom"/>
          </w:tcPr>
          <w:p>
            <w:pPr>
              <w:spacing w:after="0"/>
              <w:rPr>
                <w:sz w:val="1"/>
                <w:szCs w:val="1"/>
                <w:color w:val="auto"/>
              </w:rPr>
            </w:pPr>
          </w:p>
        </w:tc>
      </w:tr>
      <w:tr>
        <w:trPr>
          <w:trHeight w:val="237"/>
        </w:trPr>
        <w:tc>
          <w:tcPr>
            <w:tcW w:w="8340" w:type="dxa"/>
            <w:vAlign w:val="bottom"/>
            <w:gridSpan w:val="2"/>
          </w:tcPr>
          <w:p>
            <w:pPr>
              <w:ind w:left="380"/>
              <w:spacing w:after="0"/>
              <w:rPr>
                <w:sz w:val="20"/>
                <w:szCs w:val="20"/>
                <w:color w:val="auto"/>
              </w:rPr>
            </w:pPr>
            <w:r>
              <w:rPr>
                <w:rFonts w:ascii="Arial" w:cs="Arial" w:eastAsia="Arial" w:hAnsi="Arial"/>
                <w:sz w:val="18"/>
                <w:szCs w:val="18"/>
                <w:color w:val="auto"/>
              </w:rPr>
              <w:t>Total current liabilities</w:t>
            </w:r>
          </w:p>
        </w:tc>
        <w:tc>
          <w:tcPr>
            <w:tcW w:w="200" w:type="dxa"/>
            <w:vAlign w:val="bottom"/>
            <w:tcBorders>
              <w:top w:val="single" w:sz="8" w:color="auto"/>
            </w:tcBorders>
          </w:tcPr>
          <w:p>
            <w:pPr>
              <w:spacing w:after="0"/>
              <w:rPr>
                <w:sz w:val="20"/>
                <w:szCs w:val="20"/>
                <w:color w:val="auto"/>
              </w:rPr>
            </w:pPr>
          </w:p>
        </w:tc>
        <w:tc>
          <w:tcPr>
            <w:tcW w:w="118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12,305,593</w:t>
            </w:r>
          </w:p>
        </w:tc>
        <w:tc>
          <w:tcPr>
            <w:tcW w:w="100" w:type="dxa"/>
            <w:vAlign w:val="bottom"/>
          </w:tcPr>
          <w:p>
            <w:pPr>
              <w:spacing w:after="0"/>
              <w:rPr>
                <w:sz w:val="20"/>
                <w:szCs w:val="20"/>
                <w:color w:val="auto"/>
              </w:rPr>
            </w:pPr>
          </w:p>
        </w:tc>
        <w:tc>
          <w:tcPr>
            <w:tcW w:w="180" w:type="dxa"/>
            <w:vAlign w:val="bottom"/>
            <w:tcBorders>
              <w:top w:val="single" w:sz="8" w:color="auto"/>
            </w:tcBorders>
          </w:tcPr>
          <w:p>
            <w:pPr>
              <w:spacing w:after="0"/>
              <w:rPr>
                <w:sz w:val="20"/>
                <w:szCs w:val="20"/>
                <w:color w:val="auto"/>
              </w:rPr>
            </w:pPr>
          </w:p>
        </w:tc>
        <w:tc>
          <w:tcPr>
            <w:tcW w:w="142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14,826,135</w:t>
            </w:r>
          </w:p>
        </w:tc>
        <w:tc>
          <w:tcPr>
            <w:tcW w:w="0" w:type="dxa"/>
            <w:vAlign w:val="bottom"/>
          </w:tcPr>
          <w:p>
            <w:pPr>
              <w:spacing w:after="0"/>
              <w:rPr>
                <w:sz w:val="1"/>
                <w:szCs w:val="1"/>
                <w:color w:val="auto"/>
              </w:rPr>
            </w:pPr>
          </w:p>
        </w:tc>
      </w:tr>
      <w:tr>
        <w:trPr>
          <w:trHeight w:val="27"/>
        </w:trPr>
        <w:tc>
          <w:tcPr>
            <w:tcW w:w="8340" w:type="dxa"/>
            <w:vAlign w:val="bottom"/>
            <w:gridSpan w:val="2"/>
          </w:tcPr>
          <w:p>
            <w:pPr>
              <w:spacing w:after="0"/>
              <w:rPr>
                <w:sz w:val="2"/>
                <w:szCs w:val="2"/>
                <w:color w:val="auto"/>
              </w:rPr>
            </w:pPr>
          </w:p>
        </w:tc>
        <w:tc>
          <w:tcPr>
            <w:tcW w:w="20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4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834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Long-term deferred rent</w:t>
            </w:r>
          </w:p>
        </w:tc>
        <w:tc>
          <w:tcPr>
            <w:tcW w:w="20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1,109,397</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4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1,184,438</w:t>
            </w:r>
          </w:p>
        </w:tc>
        <w:tc>
          <w:tcPr>
            <w:tcW w:w="0" w:type="dxa"/>
            <w:vAlign w:val="bottom"/>
          </w:tcPr>
          <w:p>
            <w:pPr>
              <w:spacing w:after="0"/>
              <w:rPr>
                <w:sz w:val="1"/>
                <w:szCs w:val="1"/>
                <w:color w:val="auto"/>
              </w:rPr>
            </w:pPr>
          </w:p>
        </w:tc>
      </w:tr>
      <w:tr>
        <w:trPr>
          <w:trHeight w:val="243"/>
        </w:trPr>
        <w:tc>
          <w:tcPr>
            <w:tcW w:w="8340" w:type="dxa"/>
            <w:vAlign w:val="bottom"/>
            <w:gridSpan w:val="2"/>
          </w:tcPr>
          <w:p>
            <w:pPr>
              <w:ind w:left="40"/>
              <w:spacing w:after="0"/>
              <w:rPr>
                <w:sz w:val="20"/>
                <w:szCs w:val="20"/>
                <w:color w:val="auto"/>
              </w:rPr>
            </w:pPr>
            <w:r>
              <w:rPr>
                <w:rFonts w:ascii="Arial" w:cs="Arial" w:eastAsia="Arial" w:hAnsi="Arial"/>
                <w:sz w:val="18"/>
                <w:szCs w:val="18"/>
                <w:color w:val="auto"/>
              </w:rPr>
              <w:t>Long-term debt obligations</w:t>
            </w:r>
          </w:p>
        </w:tc>
        <w:tc>
          <w:tcPr>
            <w:tcW w:w="200" w:type="dxa"/>
            <w:vAlign w:val="bottom"/>
          </w:tcPr>
          <w:p>
            <w:pPr>
              <w:spacing w:after="0"/>
              <w:rPr>
                <w:sz w:val="21"/>
                <w:szCs w:val="21"/>
                <w:color w:val="auto"/>
              </w:rPr>
            </w:pPr>
          </w:p>
        </w:tc>
        <w:tc>
          <w:tcPr>
            <w:tcW w:w="128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1"/>
                <w:szCs w:val="21"/>
                <w:color w:val="auto"/>
              </w:rPr>
            </w:pPr>
          </w:p>
        </w:tc>
        <w:tc>
          <w:tcPr>
            <w:tcW w:w="1420" w:type="dxa"/>
            <w:vAlign w:val="bottom"/>
          </w:tcPr>
          <w:p>
            <w:pPr>
              <w:jc w:val="right"/>
              <w:ind w:right="11"/>
              <w:spacing w:after="0"/>
              <w:rPr>
                <w:sz w:val="20"/>
                <w:szCs w:val="20"/>
                <w:color w:val="auto"/>
              </w:rPr>
            </w:pPr>
            <w:r>
              <w:rPr>
                <w:rFonts w:ascii="Arial" w:cs="Arial" w:eastAsia="Arial" w:hAnsi="Arial"/>
                <w:sz w:val="18"/>
                <w:szCs w:val="18"/>
                <w:color w:val="auto"/>
              </w:rPr>
              <w:t>603,007</w:t>
            </w:r>
          </w:p>
        </w:tc>
        <w:tc>
          <w:tcPr>
            <w:tcW w:w="0" w:type="dxa"/>
            <w:vAlign w:val="bottom"/>
          </w:tcPr>
          <w:p>
            <w:pPr>
              <w:spacing w:after="0"/>
              <w:rPr>
                <w:sz w:val="1"/>
                <w:szCs w:val="1"/>
                <w:color w:val="auto"/>
              </w:rPr>
            </w:pPr>
          </w:p>
        </w:tc>
      </w:tr>
      <w:tr>
        <w:trPr>
          <w:trHeight w:val="27"/>
        </w:trPr>
        <w:tc>
          <w:tcPr>
            <w:tcW w:w="8340" w:type="dxa"/>
            <w:vAlign w:val="bottom"/>
            <w:gridSpan w:val="2"/>
          </w:tcPr>
          <w:p>
            <w:pPr>
              <w:spacing w:after="0"/>
              <w:rPr>
                <w:sz w:val="2"/>
                <w:szCs w:val="2"/>
                <w:color w:val="auto"/>
              </w:rPr>
            </w:pPr>
          </w:p>
        </w:tc>
        <w:tc>
          <w:tcPr>
            <w:tcW w:w="20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4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834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Long-term capital lease obligations</w:t>
            </w:r>
          </w:p>
        </w:tc>
        <w:tc>
          <w:tcPr>
            <w:tcW w:w="200" w:type="dxa"/>
            <w:vAlign w:val="bottom"/>
            <w:tcBorders>
              <w:bottom w:val="single" w:sz="8" w:color="CCEEFF"/>
            </w:tcBorders>
            <w:shd w:val="clear" w:color="auto" w:fill="CCEEFF"/>
          </w:tcPr>
          <w:p>
            <w:pPr>
              <w:spacing w:after="0"/>
              <w:rPr>
                <w:sz w:val="23"/>
                <w:szCs w:val="23"/>
                <w:color w:val="auto"/>
              </w:rPr>
            </w:pPr>
          </w:p>
        </w:tc>
        <w:tc>
          <w:tcPr>
            <w:tcW w:w="118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54,970</w:t>
            </w:r>
          </w:p>
        </w:tc>
        <w:tc>
          <w:tcPr>
            <w:tcW w:w="100" w:type="dxa"/>
            <w:vAlign w:val="bottom"/>
            <w:tcBorders>
              <w:bottom w:val="single" w:sz="8" w:color="CCEEFF"/>
            </w:tcBorders>
            <w:shd w:val="clear" w:color="auto" w:fill="CCEEFF"/>
          </w:tcPr>
          <w:p>
            <w:pPr>
              <w:spacing w:after="0"/>
              <w:rPr>
                <w:sz w:val="23"/>
                <w:szCs w:val="23"/>
                <w:color w:val="auto"/>
              </w:rPr>
            </w:pPr>
          </w:p>
        </w:tc>
        <w:tc>
          <w:tcPr>
            <w:tcW w:w="180" w:type="dxa"/>
            <w:vAlign w:val="bottom"/>
            <w:tcBorders>
              <w:bottom w:val="single" w:sz="8" w:color="CCEEFF"/>
            </w:tcBorders>
            <w:shd w:val="clear" w:color="auto" w:fill="CCEEFF"/>
          </w:tcPr>
          <w:p>
            <w:pPr>
              <w:spacing w:after="0"/>
              <w:rPr>
                <w:sz w:val="23"/>
                <w:szCs w:val="23"/>
                <w:color w:val="auto"/>
              </w:rPr>
            </w:pPr>
          </w:p>
        </w:tc>
        <w:tc>
          <w:tcPr>
            <w:tcW w:w="14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71,275</w:t>
            </w:r>
          </w:p>
        </w:tc>
        <w:tc>
          <w:tcPr>
            <w:tcW w:w="0" w:type="dxa"/>
            <w:vAlign w:val="bottom"/>
          </w:tcPr>
          <w:p>
            <w:pPr>
              <w:spacing w:after="0"/>
              <w:rPr>
                <w:sz w:val="1"/>
                <w:szCs w:val="1"/>
                <w:color w:val="auto"/>
              </w:rPr>
            </w:pPr>
          </w:p>
        </w:tc>
      </w:tr>
      <w:tr>
        <w:trPr>
          <w:trHeight w:val="237"/>
        </w:trPr>
        <w:tc>
          <w:tcPr>
            <w:tcW w:w="8340" w:type="dxa"/>
            <w:vAlign w:val="bottom"/>
            <w:gridSpan w:val="2"/>
          </w:tcPr>
          <w:p>
            <w:pPr>
              <w:ind w:left="600"/>
              <w:spacing w:after="0"/>
              <w:rPr>
                <w:sz w:val="20"/>
                <w:szCs w:val="20"/>
                <w:color w:val="auto"/>
              </w:rPr>
            </w:pPr>
            <w:r>
              <w:rPr>
                <w:rFonts w:ascii="Arial" w:cs="Arial" w:eastAsia="Arial" w:hAnsi="Arial"/>
                <w:sz w:val="18"/>
                <w:szCs w:val="18"/>
                <w:b w:val="1"/>
                <w:bCs w:val="1"/>
                <w:color w:val="auto"/>
              </w:rPr>
              <w:t>Total liabilities</w:t>
            </w:r>
          </w:p>
        </w:tc>
        <w:tc>
          <w:tcPr>
            <w:tcW w:w="200" w:type="dxa"/>
            <w:vAlign w:val="bottom"/>
            <w:tcBorders>
              <w:top w:val="single" w:sz="8" w:color="auto"/>
            </w:tcBorders>
          </w:tcPr>
          <w:p>
            <w:pPr>
              <w:spacing w:after="0"/>
              <w:rPr>
                <w:sz w:val="20"/>
                <w:szCs w:val="20"/>
                <w:color w:val="auto"/>
              </w:rPr>
            </w:pPr>
          </w:p>
        </w:tc>
        <w:tc>
          <w:tcPr>
            <w:tcW w:w="118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13,469,960</w:t>
            </w:r>
          </w:p>
        </w:tc>
        <w:tc>
          <w:tcPr>
            <w:tcW w:w="100" w:type="dxa"/>
            <w:vAlign w:val="bottom"/>
          </w:tcPr>
          <w:p>
            <w:pPr>
              <w:spacing w:after="0"/>
              <w:rPr>
                <w:sz w:val="20"/>
                <w:szCs w:val="20"/>
                <w:color w:val="auto"/>
              </w:rPr>
            </w:pPr>
          </w:p>
        </w:tc>
        <w:tc>
          <w:tcPr>
            <w:tcW w:w="180" w:type="dxa"/>
            <w:vAlign w:val="bottom"/>
            <w:tcBorders>
              <w:top w:val="single" w:sz="8" w:color="auto"/>
            </w:tcBorders>
          </w:tcPr>
          <w:p>
            <w:pPr>
              <w:spacing w:after="0"/>
              <w:rPr>
                <w:sz w:val="20"/>
                <w:szCs w:val="20"/>
                <w:color w:val="auto"/>
              </w:rPr>
            </w:pPr>
          </w:p>
        </w:tc>
        <w:tc>
          <w:tcPr>
            <w:tcW w:w="142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16,684,855</w:t>
            </w:r>
          </w:p>
        </w:tc>
        <w:tc>
          <w:tcPr>
            <w:tcW w:w="0" w:type="dxa"/>
            <w:vAlign w:val="bottom"/>
          </w:tcPr>
          <w:p>
            <w:pPr>
              <w:spacing w:after="0"/>
              <w:rPr>
                <w:sz w:val="1"/>
                <w:szCs w:val="1"/>
                <w:color w:val="auto"/>
              </w:rPr>
            </w:pPr>
          </w:p>
        </w:tc>
      </w:tr>
      <w:tr>
        <w:trPr>
          <w:trHeight w:val="27"/>
        </w:trPr>
        <w:tc>
          <w:tcPr>
            <w:tcW w:w="8340" w:type="dxa"/>
            <w:vAlign w:val="bottom"/>
            <w:tcBorders>
              <w:bottom w:val="single" w:sz="8" w:color="CCEEFF"/>
            </w:tcBorders>
            <w:gridSpan w:val="2"/>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4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834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Commitments and contingencies</w:t>
            </w:r>
          </w:p>
        </w:tc>
        <w:tc>
          <w:tcPr>
            <w:tcW w:w="20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42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8340" w:type="dxa"/>
            <w:vAlign w:val="bottom"/>
            <w:gridSpan w:val="2"/>
          </w:tcPr>
          <w:p>
            <w:pPr>
              <w:ind w:left="40"/>
              <w:spacing w:after="0"/>
              <w:rPr>
                <w:sz w:val="20"/>
                <w:szCs w:val="20"/>
                <w:color w:val="auto"/>
              </w:rPr>
            </w:pPr>
            <w:r>
              <w:rPr>
                <w:rFonts w:ascii="Arial" w:cs="Arial" w:eastAsia="Arial" w:hAnsi="Arial"/>
                <w:sz w:val="18"/>
                <w:szCs w:val="18"/>
                <w:color w:val="auto"/>
              </w:rPr>
              <w:t>Stockholders’ equity:</w:t>
            </w:r>
          </w:p>
        </w:tc>
        <w:tc>
          <w:tcPr>
            <w:tcW w:w="200" w:type="dxa"/>
            <w:vAlign w:val="bottom"/>
          </w:tcPr>
          <w:p>
            <w:pPr>
              <w:spacing w:after="0"/>
              <w:rPr>
                <w:sz w:val="21"/>
                <w:szCs w:val="21"/>
                <w:color w:val="auto"/>
              </w:rPr>
            </w:pPr>
          </w:p>
        </w:tc>
        <w:tc>
          <w:tcPr>
            <w:tcW w:w="11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4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8340" w:type="dxa"/>
            <w:vAlign w:val="bottom"/>
            <w:gridSpan w:val="2"/>
          </w:tcPr>
          <w:p>
            <w:pPr>
              <w:spacing w:after="0"/>
              <w:rPr>
                <w:sz w:val="2"/>
                <w:szCs w:val="2"/>
                <w:color w:val="auto"/>
              </w:rPr>
            </w:pPr>
          </w:p>
        </w:tc>
        <w:tc>
          <w:tcPr>
            <w:tcW w:w="20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4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29"/>
        </w:trPr>
        <w:tc>
          <w:tcPr>
            <w:tcW w:w="8340" w:type="dxa"/>
            <w:vAlign w:val="bottom"/>
            <w:gridSpan w:val="2"/>
            <w:shd w:val="clear" w:color="auto" w:fill="CCEEFF"/>
          </w:tcPr>
          <w:p>
            <w:pPr>
              <w:ind w:left="180"/>
              <w:spacing w:after="0"/>
              <w:rPr>
                <w:sz w:val="20"/>
                <w:szCs w:val="20"/>
                <w:color w:val="auto"/>
              </w:rPr>
            </w:pPr>
            <w:r>
              <w:rPr>
                <w:rFonts w:ascii="Arial" w:cs="Arial" w:eastAsia="Arial" w:hAnsi="Arial"/>
                <w:sz w:val="18"/>
                <w:szCs w:val="18"/>
                <w:color w:val="auto"/>
                <w:w w:val="93"/>
              </w:rPr>
              <w:t>Preferred stock, par value $0.001, 1,321,514 shares authorized, issued and outstanding at June 30, 2018 and</w:t>
            </w:r>
          </w:p>
        </w:tc>
        <w:tc>
          <w:tcPr>
            <w:tcW w:w="200" w:type="dxa"/>
            <w:vAlign w:val="bottom"/>
            <w:shd w:val="clear" w:color="auto" w:fill="CCEEFF"/>
          </w:tcPr>
          <w:p>
            <w:pPr>
              <w:spacing w:after="0"/>
              <w:rPr>
                <w:sz w:val="19"/>
                <w:szCs w:val="19"/>
                <w:color w:val="auto"/>
              </w:rPr>
            </w:pPr>
          </w:p>
        </w:tc>
        <w:tc>
          <w:tcPr>
            <w:tcW w:w="118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142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37"/>
        </w:trPr>
        <w:tc>
          <w:tcPr>
            <w:tcW w:w="8340" w:type="dxa"/>
            <w:vAlign w:val="bottom"/>
            <w:tcBorders>
              <w:bottom w:val="single" w:sz="8" w:color="CCEEFF"/>
            </w:tcBorders>
            <w:gridSpan w:val="2"/>
            <w:shd w:val="clear" w:color="auto" w:fill="CCEEFF"/>
          </w:tcPr>
          <w:p>
            <w:pPr>
              <w:ind w:left="180"/>
              <w:spacing w:after="0"/>
              <w:rPr>
                <w:sz w:val="20"/>
                <w:szCs w:val="20"/>
                <w:color w:val="auto"/>
              </w:rPr>
            </w:pPr>
            <w:r>
              <w:rPr>
                <w:rFonts w:ascii="Arial" w:cs="Arial" w:eastAsia="Arial" w:hAnsi="Arial"/>
                <w:sz w:val="18"/>
                <w:szCs w:val="18"/>
                <w:color w:val="auto"/>
              </w:rPr>
              <w:t>December 31, 2017</w:t>
            </w:r>
          </w:p>
        </w:tc>
        <w:tc>
          <w:tcPr>
            <w:tcW w:w="200" w:type="dxa"/>
            <w:vAlign w:val="bottom"/>
            <w:tcBorders>
              <w:bottom w:val="single" w:sz="8" w:color="CCEEFF"/>
            </w:tcBorders>
            <w:shd w:val="clear" w:color="auto" w:fill="CCEEFF"/>
          </w:tcPr>
          <w:p>
            <w:pPr>
              <w:spacing w:after="0"/>
              <w:rPr>
                <w:sz w:val="20"/>
                <w:szCs w:val="20"/>
                <w:color w:val="auto"/>
              </w:rPr>
            </w:pPr>
          </w:p>
        </w:tc>
        <w:tc>
          <w:tcPr>
            <w:tcW w:w="118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1,322</w:t>
            </w:r>
          </w:p>
        </w:tc>
        <w:tc>
          <w:tcPr>
            <w:tcW w:w="100" w:type="dxa"/>
            <w:vAlign w:val="bottom"/>
            <w:tcBorders>
              <w:bottom w:val="single" w:sz="8" w:color="CCEEFF"/>
            </w:tcBorders>
            <w:shd w:val="clear" w:color="auto" w:fill="CCEEFF"/>
          </w:tcPr>
          <w:p>
            <w:pPr>
              <w:spacing w:after="0"/>
              <w:rPr>
                <w:sz w:val="20"/>
                <w:szCs w:val="20"/>
                <w:color w:val="auto"/>
              </w:rPr>
            </w:pPr>
          </w:p>
        </w:tc>
        <w:tc>
          <w:tcPr>
            <w:tcW w:w="180" w:type="dxa"/>
            <w:vAlign w:val="bottom"/>
            <w:tcBorders>
              <w:bottom w:val="single" w:sz="8" w:color="CCEEFF"/>
            </w:tcBorders>
            <w:shd w:val="clear" w:color="auto" w:fill="CCEEFF"/>
          </w:tcPr>
          <w:p>
            <w:pPr>
              <w:spacing w:after="0"/>
              <w:rPr>
                <w:sz w:val="20"/>
                <w:szCs w:val="20"/>
                <w:color w:val="auto"/>
              </w:rPr>
            </w:pPr>
          </w:p>
        </w:tc>
        <w:tc>
          <w:tcPr>
            <w:tcW w:w="14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1,322</w:t>
            </w:r>
          </w:p>
        </w:tc>
        <w:tc>
          <w:tcPr>
            <w:tcW w:w="0" w:type="dxa"/>
            <w:vAlign w:val="bottom"/>
          </w:tcPr>
          <w:p>
            <w:pPr>
              <w:spacing w:after="0"/>
              <w:rPr>
                <w:sz w:val="1"/>
                <w:szCs w:val="1"/>
                <w:color w:val="auto"/>
              </w:rPr>
            </w:pPr>
          </w:p>
        </w:tc>
      </w:tr>
      <w:tr>
        <w:trPr>
          <w:trHeight w:val="229"/>
        </w:trPr>
        <w:tc>
          <w:tcPr>
            <w:tcW w:w="8340" w:type="dxa"/>
            <w:vAlign w:val="bottom"/>
            <w:gridSpan w:val="2"/>
          </w:tcPr>
          <w:p>
            <w:pPr>
              <w:ind w:left="180"/>
              <w:spacing w:after="0"/>
              <w:rPr>
                <w:sz w:val="20"/>
                <w:szCs w:val="20"/>
                <w:color w:val="auto"/>
              </w:rPr>
            </w:pPr>
            <w:r>
              <w:rPr>
                <w:rFonts w:ascii="Arial" w:cs="Arial" w:eastAsia="Arial" w:hAnsi="Arial"/>
                <w:sz w:val="18"/>
                <w:szCs w:val="18"/>
                <w:color w:val="auto"/>
                <w:w w:val="93"/>
              </w:rPr>
              <w:t>Common stock, par value $0.001, 100,000,000 shares authorized, 29,025,529 and 28,354,822 shares issued,</w:t>
            </w:r>
          </w:p>
        </w:tc>
        <w:tc>
          <w:tcPr>
            <w:tcW w:w="200" w:type="dxa"/>
            <w:vAlign w:val="bottom"/>
          </w:tcPr>
          <w:p>
            <w:pPr>
              <w:spacing w:after="0"/>
              <w:rPr>
                <w:sz w:val="19"/>
                <w:szCs w:val="19"/>
                <w:color w:val="auto"/>
              </w:rPr>
            </w:pPr>
          </w:p>
        </w:tc>
        <w:tc>
          <w:tcPr>
            <w:tcW w:w="11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4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8340" w:type="dxa"/>
            <w:vAlign w:val="bottom"/>
            <w:gridSpan w:val="2"/>
          </w:tcPr>
          <w:p>
            <w:pPr>
              <w:ind w:left="180"/>
              <w:spacing w:after="0"/>
              <w:rPr>
                <w:sz w:val="20"/>
                <w:szCs w:val="20"/>
                <w:color w:val="auto"/>
              </w:rPr>
            </w:pPr>
            <w:r>
              <w:rPr>
                <w:rFonts w:ascii="Arial" w:cs="Arial" w:eastAsia="Arial" w:hAnsi="Arial"/>
                <w:sz w:val="18"/>
                <w:szCs w:val="18"/>
                <w:color w:val="auto"/>
              </w:rPr>
              <w:t>27,772,424 and 27,283,918 shares outstanding at June 30, 2018 and December 31, 2017</w:t>
            </w:r>
          </w:p>
        </w:tc>
        <w:tc>
          <w:tcPr>
            <w:tcW w:w="200" w:type="dxa"/>
            <w:vAlign w:val="bottom"/>
          </w:tcPr>
          <w:p>
            <w:pPr>
              <w:spacing w:after="0"/>
              <w:rPr>
                <w:sz w:val="20"/>
                <w:szCs w:val="20"/>
                <w:color w:val="auto"/>
              </w:rPr>
            </w:pPr>
          </w:p>
        </w:tc>
        <w:tc>
          <w:tcPr>
            <w:tcW w:w="1180" w:type="dxa"/>
            <w:vAlign w:val="bottom"/>
          </w:tcPr>
          <w:p>
            <w:pPr>
              <w:jc w:val="right"/>
              <w:ind w:right="11"/>
              <w:spacing w:after="0"/>
              <w:rPr>
                <w:sz w:val="20"/>
                <w:szCs w:val="20"/>
                <w:color w:val="auto"/>
              </w:rPr>
            </w:pPr>
            <w:r>
              <w:rPr>
                <w:rFonts w:ascii="Arial" w:cs="Arial" w:eastAsia="Arial" w:hAnsi="Arial"/>
                <w:sz w:val="18"/>
                <w:szCs w:val="18"/>
                <w:color w:val="auto"/>
              </w:rPr>
              <w:t>29,897</w:t>
            </w:r>
          </w:p>
        </w:tc>
        <w:tc>
          <w:tcPr>
            <w:tcW w:w="1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420" w:type="dxa"/>
            <w:vAlign w:val="bottom"/>
          </w:tcPr>
          <w:p>
            <w:pPr>
              <w:jc w:val="right"/>
              <w:ind w:right="11"/>
              <w:spacing w:after="0"/>
              <w:rPr>
                <w:sz w:val="20"/>
                <w:szCs w:val="20"/>
                <w:color w:val="auto"/>
              </w:rPr>
            </w:pPr>
            <w:r>
              <w:rPr>
                <w:rFonts w:ascii="Arial" w:cs="Arial" w:eastAsia="Arial" w:hAnsi="Arial"/>
                <w:sz w:val="18"/>
                <w:szCs w:val="18"/>
                <w:color w:val="auto"/>
              </w:rPr>
              <w:t>29,186</w:t>
            </w:r>
          </w:p>
        </w:tc>
        <w:tc>
          <w:tcPr>
            <w:tcW w:w="0" w:type="dxa"/>
            <w:vAlign w:val="bottom"/>
          </w:tcPr>
          <w:p>
            <w:pPr>
              <w:spacing w:after="0"/>
              <w:rPr>
                <w:sz w:val="1"/>
                <w:szCs w:val="1"/>
                <w:color w:val="auto"/>
              </w:rPr>
            </w:pPr>
          </w:p>
        </w:tc>
      </w:tr>
      <w:tr>
        <w:trPr>
          <w:trHeight w:val="27"/>
        </w:trPr>
        <w:tc>
          <w:tcPr>
            <w:tcW w:w="8340" w:type="dxa"/>
            <w:vAlign w:val="bottom"/>
            <w:gridSpan w:val="2"/>
          </w:tcPr>
          <w:p>
            <w:pPr>
              <w:spacing w:after="0"/>
              <w:rPr>
                <w:sz w:val="2"/>
                <w:szCs w:val="2"/>
                <w:color w:val="auto"/>
              </w:rPr>
            </w:pPr>
          </w:p>
        </w:tc>
        <w:tc>
          <w:tcPr>
            <w:tcW w:w="20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4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8340" w:type="dxa"/>
            <w:vAlign w:val="bottom"/>
            <w:tcBorders>
              <w:bottom w:val="single" w:sz="8" w:color="CCEEFF"/>
            </w:tcBorders>
            <w:gridSpan w:val="2"/>
            <w:shd w:val="clear" w:color="auto" w:fill="CCEEFF"/>
          </w:tcPr>
          <w:p>
            <w:pPr>
              <w:ind w:left="180"/>
              <w:spacing w:after="0"/>
              <w:rPr>
                <w:sz w:val="20"/>
                <w:szCs w:val="20"/>
                <w:color w:val="auto"/>
              </w:rPr>
            </w:pPr>
            <w:r>
              <w:rPr>
                <w:rFonts w:ascii="Arial" w:cs="Arial" w:eastAsia="Arial" w:hAnsi="Arial"/>
                <w:sz w:val="18"/>
                <w:szCs w:val="18"/>
                <w:color w:val="auto"/>
              </w:rPr>
              <w:t>Treasury stock at cost, 1,253,105 and 1,070,904 shares at June 30, 2018 and December 31, 2017</w:t>
            </w:r>
          </w:p>
        </w:tc>
        <w:tc>
          <w:tcPr>
            <w:tcW w:w="20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(2,116,640)</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4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(1,649,746)</w:t>
            </w:r>
          </w:p>
        </w:tc>
        <w:tc>
          <w:tcPr>
            <w:tcW w:w="0" w:type="dxa"/>
            <w:vAlign w:val="bottom"/>
          </w:tcPr>
          <w:p>
            <w:pPr>
              <w:spacing w:after="0"/>
              <w:rPr>
                <w:sz w:val="1"/>
                <w:szCs w:val="1"/>
                <w:color w:val="auto"/>
              </w:rPr>
            </w:pPr>
          </w:p>
        </w:tc>
      </w:tr>
      <w:tr>
        <w:trPr>
          <w:trHeight w:val="243"/>
        </w:trPr>
        <w:tc>
          <w:tcPr>
            <w:tcW w:w="8340" w:type="dxa"/>
            <w:vAlign w:val="bottom"/>
            <w:gridSpan w:val="2"/>
          </w:tcPr>
          <w:p>
            <w:pPr>
              <w:ind w:left="180"/>
              <w:spacing w:after="0"/>
              <w:rPr>
                <w:sz w:val="20"/>
                <w:szCs w:val="20"/>
                <w:color w:val="auto"/>
              </w:rPr>
            </w:pPr>
            <w:r>
              <w:rPr>
                <w:rFonts w:ascii="Arial" w:cs="Arial" w:eastAsia="Arial" w:hAnsi="Arial"/>
                <w:sz w:val="18"/>
                <w:szCs w:val="18"/>
                <w:color w:val="auto"/>
              </w:rPr>
              <w:t>Additional paid-in capital</w:t>
            </w:r>
          </w:p>
        </w:tc>
        <w:tc>
          <w:tcPr>
            <w:tcW w:w="200" w:type="dxa"/>
            <w:vAlign w:val="bottom"/>
          </w:tcPr>
          <w:p>
            <w:pPr>
              <w:spacing w:after="0"/>
              <w:rPr>
                <w:sz w:val="21"/>
                <w:szCs w:val="21"/>
                <w:color w:val="auto"/>
              </w:rPr>
            </w:pPr>
          </w:p>
        </w:tc>
        <w:tc>
          <w:tcPr>
            <w:tcW w:w="1180" w:type="dxa"/>
            <w:vAlign w:val="bottom"/>
          </w:tcPr>
          <w:p>
            <w:pPr>
              <w:jc w:val="right"/>
              <w:ind w:right="11"/>
              <w:spacing w:after="0"/>
              <w:rPr>
                <w:sz w:val="20"/>
                <w:szCs w:val="20"/>
                <w:color w:val="auto"/>
              </w:rPr>
            </w:pPr>
            <w:r>
              <w:rPr>
                <w:rFonts w:ascii="Arial" w:cs="Arial" w:eastAsia="Arial" w:hAnsi="Arial"/>
                <w:sz w:val="18"/>
                <w:szCs w:val="18"/>
                <w:color w:val="auto"/>
              </w:rPr>
              <w:t>84,742,385</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420" w:type="dxa"/>
            <w:vAlign w:val="bottom"/>
          </w:tcPr>
          <w:p>
            <w:pPr>
              <w:jc w:val="right"/>
              <w:ind w:right="11"/>
              <w:spacing w:after="0"/>
              <w:rPr>
                <w:sz w:val="20"/>
                <w:szCs w:val="20"/>
                <w:color w:val="auto"/>
              </w:rPr>
            </w:pPr>
            <w:r>
              <w:rPr>
                <w:rFonts w:ascii="Arial" w:cs="Arial" w:eastAsia="Arial" w:hAnsi="Arial"/>
                <w:sz w:val="18"/>
                <w:szCs w:val="18"/>
                <w:color w:val="auto"/>
              </w:rPr>
              <w:t>83,563,208</w:t>
            </w:r>
          </w:p>
        </w:tc>
        <w:tc>
          <w:tcPr>
            <w:tcW w:w="0" w:type="dxa"/>
            <w:vAlign w:val="bottom"/>
          </w:tcPr>
          <w:p>
            <w:pPr>
              <w:spacing w:after="0"/>
              <w:rPr>
                <w:sz w:val="1"/>
                <w:szCs w:val="1"/>
                <w:color w:val="auto"/>
              </w:rPr>
            </w:pPr>
          </w:p>
        </w:tc>
      </w:tr>
      <w:tr>
        <w:trPr>
          <w:trHeight w:val="27"/>
        </w:trPr>
        <w:tc>
          <w:tcPr>
            <w:tcW w:w="8340" w:type="dxa"/>
            <w:vAlign w:val="bottom"/>
            <w:gridSpan w:val="2"/>
          </w:tcPr>
          <w:p>
            <w:pPr>
              <w:spacing w:after="0"/>
              <w:rPr>
                <w:sz w:val="2"/>
                <w:szCs w:val="2"/>
                <w:color w:val="auto"/>
              </w:rPr>
            </w:pPr>
          </w:p>
        </w:tc>
        <w:tc>
          <w:tcPr>
            <w:tcW w:w="20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4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8340" w:type="dxa"/>
            <w:vAlign w:val="bottom"/>
            <w:tcBorders>
              <w:bottom w:val="single" w:sz="8" w:color="CCEEFF"/>
            </w:tcBorders>
            <w:gridSpan w:val="2"/>
            <w:shd w:val="clear" w:color="auto" w:fill="CCEEFF"/>
          </w:tcPr>
          <w:p>
            <w:pPr>
              <w:ind w:left="180"/>
              <w:spacing w:after="0"/>
              <w:rPr>
                <w:sz w:val="20"/>
                <w:szCs w:val="20"/>
                <w:color w:val="auto"/>
              </w:rPr>
            </w:pPr>
            <w:r>
              <w:rPr>
                <w:rFonts w:ascii="Arial" w:cs="Arial" w:eastAsia="Arial" w:hAnsi="Arial"/>
                <w:sz w:val="18"/>
                <w:szCs w:val="18"/>
                <w:color w:val="auto"/>
              </w:rPr>
              <w:t>Accumulated deficit</w:t>
            </w:r>
          </w:p>
        </w:tc>
        <w:tc>
          <w:tcPr>
            <w:tcW w:w="200" w:type="dxa"/>
            <w:vAlign w:val="bottom"/>
            <w:tcBorders>
              <w:bottom w:val="single" w:sz="8" w:color="CCEEFF"/>
            </w:tcBorders>
            <w:shd w:val="clear" w:color="auto" w:fill="CCEEFF"/>
          </w:tcPr>
          <w:p>
            <w:pPr>
              <w:spacing w:after="0"/>
              <w:rPr>
                <w:sz w:val="23"/>
                <w:szCs w:val="23"/>
                <w:color w:val="auto"/>
              </w:rPr>
            </w:pPr>
          </w:p>
        </w:tc>
        <w:tc>
          <w:tcPr>
            <w:tcW w:w="1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(30,963,818)</w:t>
            </w:r>
          </w:p>
        </w:tc>
        <w:tc>
          <w:tcPr>
            <w:tcW w:w="100" w:type="dxa"/>
            <w:vAlign w:val="bottom"/>
            <w:tcBorders>
              <w:bottom w:val="single" w:sz="8" w:color="CCEEFF"/>
            </w:tcBorders>
            <w:shd w:val="clear" w:color="auto" w:fill="CCEEFF"/>
          </w:tcPr>
          <w:p>
            <w:pPr>
              <w:spacing w:after="0"/>
              <w:rPr>
                <w:sz w:val="23"/>
                <w:szCs w:val="23"/>
                <w:color w:val="auto"/>
              </w:rPr>
            </w:pPr>
          </w:p>
        </w:tc>
        <w:tc>
          <w:tcPr>
            <w:tcW w:w="180" w:type="dxa"/>
            <w:vAlign w:val="bottom"/>
            <w:tcBorders>
              <w:bottom w:val="single" w:sz="8" w:color="CCEEFF"/>
            </w:tcBorders>
            <w:shd w:val="clear" w:color="auto" w:fill="CCEEFF"/>
          </w:tcPr>
          <w:p>
            <w:pPr>
              <w:spacing w:after="0"/>
              <w:rPr>
                <w:sz w:val="23"/>
                <w:szCs w:val="23"/>
                <w:color w:val="auto"/>
              </w:rPr>
            </w:pPr>
          </w:p>
        </w:tc>
        <w:tc>
          <w:tcPr>
            <w:tcW w:w="14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(32,406,189)</w:t>
            </w:r>
          </w:p>
        </w:tc>
        <w:tc>
          <w:tcPr>
            <w:tcW w:w="0" w:type="dxa"/>
            <w:vAlign w:val="bottom"/>
          </w:tcPr>
          <w:p>
            <w:pPr>
              <w:spacing w:after="0"/>
              <w:rPr>
                <w:sz w:val="1"/>
                <w:szCs w:val="1"/>
                <w:color w:val="auto"/>
              </w:rPr>
            </w:pPr>
          </w:p>
        </w:tc>
      </w:tr>
      <w:tr>
        <w:trPr>
          <w:trHeight w:val="237"/>
        </w:trPr>
        <w:tc>
          <w:tcPr>
            <w:tcW w:w="8340" w:type="dxa"/>
            <w:vAlign w:val="bottom"/>
            <w:gridSpan w:val="2"/>
          </w:tcPr>
          <w:p>
            <w:pPr>
              <w:ind w:left="380"/>
              <w:spacing w:after="0"/>
              <w:rPr>
                <w:sz w:val="20"/>
                <w:szCs w:val="20"/>
                <w:color w:val="auto"/>
              </w:rPr>
            </w:pPr>
            <w:r>
              <w:rPr>
                <w:rFonts w:ascii="Arial" w:cs="Arial" w:eastAsia="Arial" w:hAnsi="Arial"/>
                <w:sz w:val="18"/>
                <w:szCs w:val="18"/>
                <w:b w:val="1"/>
                <w:bCs w:val="1"/>
                <w:color w:val="auto"/>
              </w:rPr>
              <w:t>Total stockholders’ equity</w:t>
            </w:r>
          </w:p>
        </w:tc>
        <w:tc>
          <w:tcPr>
            <w:tcW w:w="200" w:type="dxa"/>
            <w:vAlign w:val="bottom"/>
            <w:tcBorders>
              <w:top w:val="single" w:sz="8" w:color="auto"/>
            </w:tcBorders>
          </w:tcPr>
          <w:p>
            <w:pPr>
              <w:spacing w:after="0"/>
              <w:rPr>
                <w:sz w:val="20"/>
                <w:szCs w:val="20"/>
                <w:color w:val="auto"/>
              </w:rPr>
            </w:pPr>
          </w:p>
        </w:tc>
        <w:tc>
          <w:tcPr>
            <w:tcW w:w="118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51,693,146</w:t>
            </w:r>
          </w:p>
        </w:tc>
        <w:tc>
          <w:tcPr>
            <w:tcW w:w="100" w:type="dxa"/>
            <w:vAlign w:val="bottom"/>
          </w:tcPr>
          <w:p>
            <w:pPr>
              <w:spacing w:after="0"/>
              <w:rPr>
                <w:sz w:val="20"/>
                <w:szCs w:val="20"/>
                <w:color w:val="auto"/>
              </w:rPr>
            </w:pPr>
          </w:p>
        </w:tc>
        <w:tc>
          <w:tcPr>
            <w:tcW w:w="180" w:type="dxa"/>
            <w:vAlign w:val="bottom"/>
            <w:tcBorders>
              <w:top w:val="single" w:sz="8" w:color="auto"/>
            </w:tcBorders>
          </w:tcPr>
          <w:p>
            <w:pPr>
              <w:spacing w:after="0"/>
              <w:rPr>
                <w:sz w:val="20"/>
                <w:szCs w:val="20"/>
                <w:color w:val="auto"/>
              </w:rPr>
            </w:pPr>
          </w:p>
        </w:tc>
        <w:tc>
          <w:tcPr>
            <w:tcW w:w="142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49,537,781</w:t>
            </w:r>
          </w:p>
        </w:tc>
        <w:tc>
          <w:tcPr>
            <w:tcW w:w="0" w:type="dxa"/>
            <w:vAlign w:val="bottom"/>
          </w:tcPr>
          <w:p>
            <w:pPr>
              <w:spacing w:after="0"/>
              <w:rPr>
                <w:sz w:val="1"/>
                <w:szCs w:val="1"/>
                <w:color w:val="auto"/>
              </w:rPr>
            </w:pPr>
          </w:p>
        </w:tc>
      </w:tr>
      <w:tr>
        <w:trPr>
          <w:trHeight w:val="27"/>
        </w:trPr>
        <w:tc>
          <w:tcPr>
            <w:tcW w:w="8340" w:type="dxa"/>
            <w:vAlign w:val="bottom"/>
            <w:tcBorders>
              <w:bottom w:val="single" w:sz="8" w:color="CCEEFF"/>
            </w:tcBorders>
            <w:gridSpan w:val="2"/>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4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9"/>
        </w:trPr>
        <w:tc>
          <w:tcPr>
            <w:tcW w:w="8340" w:type="dxa"/>
            <w:vAlign w:val="bottom"/>
            <w:tcBorders>
              <w:bottom w:val="single" w:sz="8" w:color="CCEEFF"/>
            </w:tcBorders>
            <w:gridSpan w:val="2"/>
            <w:shd w:val="clear" w:color="auto" w:fill="CCEEFF"/>
          </w:tcPr>
          <w:p>
            <w:pPr>
              <w:ind w:left="600"/>
              <w:spacing w:after="0"/>
              <w:rPr>
                <w:sz w:val="20"/>
                <w:szCs w:val="20"/>
                <w:color w:val="auto"/>
              </w:rPr>
            </w:pPr>
            <w:r>
              <w:rPr>
                <w:rFonts w:ascii="Arial" w:cs="Arial" w:eastAsia="Arial" w:hAnsi="Arial"/>
                <w:sz w:val="18"/>
                <w:szCs w:val="18"/>
                <w:b w:val="1"/>
                <w:bCs w:val="1"/>
                <w:color w:val="auto"/>
              </w:rPr>
              <w:t>Total liabilities and stockholders’ equity</w:t>
            </w:r>
          </w:p>
        </w:tc>
        <w:tc>
          <w:tcPr>
            <w:tcW w:w="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18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65,163,106</w:t>
            </w:r>
          </w:p>
        </w:tc>
        <w:tc>
          <w:tcPr>
            <w:tcW w:w="10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4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66,222,636</w:t>
            </w:r>
          </w:p>
        </w:tc>
        <w:tc>
          <w:tcPr>
            <w:tcW w:w="0" w:type="dxa"/>
            <w:vAlign w:val="bottom"/>
          </w:tcPr>
          <w:p>
            <w:pPr>
              <w:spacing w:after="0"/>
              <w:rPr>
                <w:sz w:val="1"/>
                <w:szCs w:val="1"/>
                <w:color w:val="auto"/>
              </w:rPr>
            </w:pPr>
          </w:p>
        </w:tc>
      </w:tr>
      <w:tr>
        <w:trPr>
          <w:trHeight w:val="20"/>
        </w:trPr>
        <w:tc>
          <w:tcPr>
            <w:tcW w:w="1260" w:type="dxa"/>
            <w:vAlign w:val="bottom"/>
            <w:tcBorders>
              <w:top w:val="single" w:sz="8" w:color="CCEEFF"/>
            </w:tcBorders>
          </w:tcPr>
          <w:p>
            <w:pPr>
              <w:spacing w:after="0" w:line="20" w:lineRule="exact"/>
              <w:rPr>
                <w:sz w:val="1"/>
                <w:szCs w:val="1"/>
                <w:color w:val="auto"/>
              </w:rPr>
            </w:pPr>
          </w:p>
        </w:tc>
        <w:tc>
          <w:tcPr>
            <w:tcW w:w="708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11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142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The accompanying notes are an integral part of these consolidated financial statements.</w:t>
      </w:r>
    </w:p>
    <w:p>
      <w:pPr>
        <w:sectPr>
          <w:pgSz w:w="11900" w:h="16838" w:orient="portrait"/>
          <w:cols w:equalWidth="0" w:num="1">
            <w:col w:w="11420"/>
          </w:cols>
          <w:pgMar w:left="240" w:top="118" w:right="239" w:bottom="1440" w:gutter="0" w:footer="0" w:header="0"/>
        </w:sectPr>
      </w:pPr>
    </w:p>
    <w:p>
      <w:pPr>
        <w:spacing w:after="0" w:line="252"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3</w:t>
      </w:r>
    </w:p>
    <w:p>
      <w:pPr>
        <w:sectPr>
          <w:pgSz w:w="11900" w:h="16838" w:orient="portrait"/>
          <w:cols w:equalWidth="0" w:num="1">
            <w:col w:w="11420"/>
          </w:cols>
          <w:pgMar w:left="240" w:top="118" w:right="239" w:bottom="1440" w:gutter="0" w:footer="0" w:header="0"/>
          <w:type w:val="continuous"/>
        </w:sectPr>
      </w:pPr>
    </w:p>
    <w:bookmarkStart w:id="3" w:name="page4"/>
    <w:bookmarkEnd w:id="3"/>
    <w:p>
      <w:pPr>
        <w:spacing w:after="0"/>
        <w:rPr>
          <w:rFonts w:ascii="Arial" w:cs="Arial" w:eastAsia="Arial" w:hAnsi="Arial"/>
          <w:sz w:val="14"/>
          <w:szCs w:val="14"/>
          <w:b w:val="1"/>
          <w:bCs w:val="1"/>
          <w:u w:val="single" w:color="auto"/>
          <w:color w:val="0000EE"/>
        </w:rPr>
      </w:pPr>
      <w:hyperlink w:anchor="page2">
        <w:r>
          <w:rPr>
            <w:rFonts w:ascii="Arial" w:cs="Arial" w:eastAsia="Arial" w:hAnsi="Arial"/>
            <w:sz w:val="14"/>
            <w:szCs w:val="14"/>
            <w:b w:val="1"/>
            <w:bCs w:val="1"/>
            <w:u w:val="single" w:color="auto"/>
            <w:color w:val="0000EE"/>
          </w:rPr>
          <w:t>Table of Contents</w:t>
        </w:r>
      </w:hyperlink>
    </w:p>
    <w:p>
      <w:pPr>
        <w:spacing w:after="0" w:line="248" w:lineRule="exact"/>
        <w:rPr>
          <w:sz w:val="20"/>
          <w:szCs w:val="20"/>
          <w:color w:val="auto"/>
        </w:rPr>
      </w:pPr>
    </w:p>
    <w:p>
      <w:pPr>
        <w:jc w:val="center"/>
        <w:ind w:right="-259"/>
        <w:spacing w:after="0"/>
        <w:rPr>
          <w:sz w:val="20"/>
          <w:szCs w:val="20"/>
          <w:color w:val="auto"/>
        </w:rPr>
      </w:pPr>
      <w:r>
        <w:rPr>
          <w:rFonts w:ascii="Arial" w:cs="Arial" w:eastAsia="Arial" w:hAnsi="Arial"/>
          <w:sz w:val="18"/>
          <w:szCs w:val="18"/>
          <w:b w:val="1"/>
          <w:bCs w:val="1"/>
          <w:color w:val="auto"/>
        </w:rPr>
        <w:t>Luna Innovations Incorporated</w:t>
      </w:r>
    </w:p>
    <w:p>
      <w:pPr>
        <w:spacing w:after="0" w:line="27" w:lineRule="exact"/>
        <w:rPr>
          <w:sz w:val="20"/>
          <w:szCs w:val="20"/>
          <w:color w:val="auto"/>
        </w:rPr>
      </w:pPr>
    </w:p>
    <w:p>
      <w:pPr>
        <w:jc w:val="center"/>
        <w:ind w:right="-259"/>
        <w:spacing w:after="0"/>
        <w:rPr>
          <w:sz w:val="20"/>
          <w:szCs w:val="20"/>
          <w:color w:val="auto"/>
        </w:rPr>
      </w:pPr>
      <w:r>
        <w:rPr>
          <w:rFonts w:ascii="Arial" w:cs="Arial" w:eastAsia="Arial" w:hAnsi="Arial"/>
          <w:sz w:val="18"/>
          <w:szCs w:val="18"/>
          <w:b w:val="1"/>
          <w:bCs w:val="1"/>
          <w:color w:val="auto"/>
        </w:rPr>
        <w:t>Consolidated Statements of Operations</w:t>
      </w:r>
    </w:p>
    <w:p>
      <w:pPr>
        <w:spacing w:after="0" w:line="175" w:lineRule="exact"/>
        <w:rPr>
          <w:sz w:val="20"/>
          <w:szCs w:val="20"/>
          <w:color w:val="auto"/>
        </w:rPr>
      </w:pPr>
    </w:p>
    <w:tbl>
      <w:tblPr>
        <w:tblLayout w:type="fixed"/>
        <w:tblInd w:w="260" w:type="dxa"/>
        <w:tblCellMar>
          <w:top w:w="0" w:type="dxa"/>
          <w:left w:w="0" w:type="dxa"/>
          <w:bottom w:w="0" w:type="dxa"/>
          <w:right w:w="0" w:type="dxa"/>
        </w:tblCellMar>
      </w:tblPr>
      <w:tr>
        <w:trPr>
          <w:trHeight w:val="186"/>
        </w:trPr>
        <w:tc>
          <w:tcPr>
            <w:tcW w:w="458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2960" w:type="dxa"/>
            <w:vAlign w:val="bottom"/>
            <w:gridSpan w:val="5"/>
          </w:tcPr>
          <w:p>
            <w:pPr>
              <w:ind w:left="300"/>
              <w:spacing w:after="0"/>
              <w:rPr>
                <w:sz w:val="20"/>
                <w:szCs w:val="20"/>
                <w:color w:val="auto"/>
              </w:rPr>
            </w:pPr>
            <w:r>
              <w:rPr>
                <w:rFonts w:ascii="Arial" w:cs="Arial" w:eastAsia="Arial" w:hAnsi="Arial"/>
                <w:sz w:val="14"/>
                <w:szCs w:val="14"/>
                <w:b w:val="1"/>
                <w:bCs w:val="1"/>
                <w:color w:val="auto"/>
              </w:rPr>
              <w:t>Three Months Ended June 30,</w:t>
            </w:r>
          </w:p>
        </w:tc>
        <w:tc>
          <w:tcPr>
            <w:tcW w:w="300" w:type="dxa"/>
            <w:vAlign w:val="bottom"/>
          </w:tcPr>
          <w:p>
            <w:pPr>
              <w:spacing w:after="0"/>
              <w:rPr>
                <w:sz w:val="16"/>
                <w:szCs w:val="16"/>
                <w:color w:val="auto"/>
              </w:rPr>
            </w:pPr>
          </w:p>
        </w:tc>
        <w:tc>
          <w:tcPr>
            <w:tcW w:w="2740" w:type="dxa"/>
            <w:vAlign w:val="bottom"/>
            <w:gridSpan w:val="4"/>
          </w:tcPr>
          <w:p>
            <w:pPr>
              <w:jc w:val="right"/>
              <w:ind w:right="571"/>
              <w:spacing w:after="0"/>
              <w:rPr>
                <w:sz w:val="20"/>
                <w:szCs w:val="20"/>
                <w:color w:val="auto"/>
              </w:rPr>
            </w:pPr>
            <w:r>
              <w:rPr>
                <w:rFonts w:ascii="Arial" w:cs="Arial" w:eastAsia="Arial" w:hAnsi="Arial"/>
                <w:sz w:val="14"/>
                <w:szCs w:val="14"/>
                <w:b w:val="1"/>
                <w:bCs w:val="1"/>
                <w:color w:val="auto"/>
              </w:rPr>
              <w:t>Six Months Ended June 30,</w:t>
            </w:r>
          </w:p>
        </w:tc>
        <w:tc>
          <w:tcPr>
            <w:tcW w:w="0" w:type="dxa"/>
            <w:vAlign w:val="bottom"/>
          </w:tcPr>
          <w:p>
            <w:pPr>
              <w:spacing w:after="0"/>
              <w:rPr>
                <w:sz w:val="1"/>
                <w:szCs w:val="1"/>
                <w:color w:val="auto"/>
              </w:rPr>
            </w:pPr>
          </w:p>
        </w:tc>
      </w:tr>
      <w:tr>
        <w:trPr>
          <w:trHeight w:val="53"/>
        </w:trPr>
        <w:tc>
          <w:tcPr>
            <w:tcW w:w="4580" w:type="dxa"/>
            <w:vAlign w:val="bottom"/>
          </w:tcPr>
          <w:p>
            <w:pPr>
              <w:spacing w:after="0"/>
              <w:rPr>
                <w:sz w:val="4"/>
                <w:szCs w:val="4"/>
                <w:color w:val="auto"/>
              </w:rPr>
            </w:pPr>
          </w:p>
        </w:tc>
        <w:tc>
          <w:tcPr>
            <w:tcW w:w="320" w:type="dxa"/>
            <w:vAlign w:val="bottom"/>
            <w:tcBorders>
              <w:bottom w:val="single" w:sz="8" w:color="auto"/>
            </w:tcBorders>
          </w:tcPr>
          <w:p>
            <w:pPr>
              <w:spacing w:after="0"/>
              <w:rPr>
                <w:sz w:val="4"/>
                <w:szCs w:val="4"/>
                <w:color w:val="auto"/>
              </w:rPr>
            </w:pPr>
          </w:p>
        </w:tc>
        <w:tc>
          <w:tcPr>
            <w:tcW w:w="1100" w:type="dxa"/>
            <w:vAlign w:val="bottom"/>
            <w:tcBorders>
              <w:bottom w:val="single" w:sz="8" w:color="auto"/>
            </w:tcBorders>
          </w:tcPr>
          <w:p>
            <w:pPr>
              <w:spacing w:after="0"/>
              <w:rPr>
                <w:sz w:val="4"/>
                <w:szCs w:val="4"/>
                <w:color w:val="auto"/>
              </w:rPr>
            </w:pPr>
          </w:p>
        </w:tc>
        <w:tc>
          <w:tcPr>
            <w:tcW w:w="220" w:type="dxa"/>
            <w:vAlign w:val="bottom"/>
            <w:tcBorders>
              <w:bottom w:val="single" w:sz="8" w:color="auto"/>
            </w:tcBorders>
          </w:tcPr>
          <w:p>
            <w:pPr>
              <w:spacing w:after="0"/>
              <w:rPr>
                <w:sz w:val="4"/>
                <w:szCs w:val="4"/>
                <w:color w:val="auto"/>
              </w:rPr>
            </w:pPr>
          </w:p>
        </w:tc>
        <w:tc>
          <w:tcPr>
            <w:tcW w:w="380" w:type="dxa"/>
            <w:vAlign w:val="bottom"/>
            <w:tcBorders>
              <w:bottom w:val="single" w:sz="8" w:color="auto"/>
            </w:tcBorders>
          </w:tcPr>
          <w:p>
            <w:pPr>
              <w:spacing w:after="0"/>
              <w:rPr>
                <w:sz w:val="4"/>
                <w:szCs w:val="4"/>
                <w:color w:val="auto"/>
              </w:rPr>
            </w:pPr>
          </w:p>
        </w:tc>
        <w:tc>
          <w:tcPr>
            <w:tcW w:w="1040" w:type="dxa"/>
            <w:vAlign w:val="bottom"/>
            <w:tcBorders>
              <w:bottom w:val="single" w:sz="8" w:color="auto"/>
            </w:tcBorders>
          </w:tcPr>
          <w:p>
            <w:pPr>
              <w:spacing w:after="0"/>
              <w:rPr>
                <w:sz w:val="4"/>
                <w:szCs w:val="4"/>
                <w:color w:val="auto"/>
              </w:rPr>
            </w:pPr>
          </w:p>
        </w:tc>
        <w:tc>
          <w:tcPr>
            <w:tcW w:w="220" w:type="dxa"/>
            <w:vAlign w:val="bottom"/>
          </w:tcPr>
          <w:p>
            <w:pPr>
              <w:spacing w:after="0"/>
              <w:rPr>
                <w:sz w:val="4"/>
                <w:szCs w:val="4"/>
                <w:color w:val="auto"/>
              </w:rPr>
            </w:pPr>
          </w:p>
        </w:tc>
        <w:tc>
          <w:tcPr>
            <w:tcW w:w="300" w:type="dxa"/>
            <w:vAlign w:val="bottom"/>
            <w:tcBorders>
              <w:bottom w:val="single" w:sz="8" w:color="auto"/>
            </w:tcBorders>
          </w:tcPr>
          <w:p>
            <w:pPr>
              <w:spacing w:after="0"/>
              <w:rPr>
                <w:sz w:val="4"/>
                <w:szCs w:val="4"/>
                <w:color w:val="auto"/>
              </w:rPr>
            </w:pPr>
          </w:p>
        </w:tc>
        <w:tc>
          <w:tcPr>
            <w:tcW w:w="1100" w:type="dxa"/>
            <w:vAlign w:val="bottom"/>
            <w:tcBorders>
              <w:bottom w:val="single" w:sz="8" w:color="auto"/>
            </w:tcBorders>
          </w:tcPr>
          <w:p>
            <w:pPr>
              <w:spacing w:after="0"/>
              <w:rPr>
                <w:sz w:val="4"/>
                <w:szCs w:val="4"/>
                <w:color w:val="auto"/>
              </w:rPr>
            </w:pPr>
          </w:p>
        </w:tc>
        <w:tc>
          <w:tcPr>
            <w:tcW w:w="220" w:type="dxa"/>
            <w:vAlign w:val="bottom"/>
            <w:tcBorders>
              <w:bottom w:val="single" w:sz="8" w:color="auto"/>
            </w:tcBorders>
          </w:tcPr>
          <w:p>
            <w:pPr>
              <w:spacing w:after="0"/>
              <w:rPr>
                <w:sz w:val="4"/>
                <w:szCs w:val="4"/>
                <w:color w:val="auto"/>
              </w:rPr>
            </w:pPr>
          </w:p>
        </w:tc>
        <w:tc>
          <w:tcPr>
            <w:tcW w:w="380" w:type="dxa"/>
            <w:vAlign w:val="bottom"/>
            <w:tcBorders>
              <w:bottom w:val="single" w:sz="8" w:color="auto"/>
            </w:tcBorders>
          </w:tcPr>
          <w:p>
            <w:pPr>
              <w:spacing w:after="0"/>
              <w:rPr>
                <w:sz w:val="4"/>
                <w:szCs w:val="4"/>
                <w:color w:val="auto"/>
              </w:rPr>
            </w:pPr>
          </w:p>
        </w:tc>
        <w:tc>
          <w:tcPr>
            <w:tcW w:w="1040" w:type="dxa"/>
            <w:vAlign w:val="bottom"/>
            <w:tcBorders>
              <w:bottom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8"/>
        </w:trPr>
        <w:tc>
          <w:tcPr>
            <w:tcW w:w="4580" w:type="dxa"/>
            <w:vAlign w:val="bottom"/>
          </w:tcPr>
          <w:p>
            <w:pPr>
              <w:spacing w:after="0"/>
              <w:rPr>
                <w:sz w:val="22"/>
                <w:szCs w:val="22"/>
                <w:color w:val="auto"/>
              </w:rPr>
            </w:pPr>
          </w:p>
        </w:tc>
        <w:tc>
          <w:tcPr>
            <w:tcW w:w="320" w:type="dxa"/>
            <w:vAlign w:val="bottom"/>
            <w:tcBorders>
              <w:bottom w:val="single" w:sz="8" w:color="auto"/>
            </w:tcBorders>
          </w:tcPr>
          <w:p>
            <w:pPr>
              <w:spacing w:after="0"/>
              <w:rPr>
                <w:sz w:val="22"/>
                <w:szCs w:val="22"/>
                <w:color w:val="auto"/>
              </w:rPr>
            </w:pPr>
          </w:p>
        </w:tc>
        <w:tc>
          <w:tcPr>
            <w:tcW w:w="1100" w:type="dxa"/>
            <w:vAlign w:val="bottom"/>
            <w:tcBorders>
              <w:bottom w:val="single" w:sz="8" w:color="auto"/>
            </w:tcBorders>
          </w:tcPr>
          <w:p>
            <w:pPr>
              <w:jc w:val="right"/>
              <w:ind w:right="472"/>
              <w:spacing w:after="0"/>
              <w:rPr>
                <w:sz w:val="20"/>
                <w:szCs w:val="20"/>
                <w:color w:val="auto"/>
              </w:rPr>
            </w:pPr>
            <w:r>
              <w:rPr>
                <w:rFonts w:ascii="Arial" w:cs="Arial" w:eastAsia="Arial" w:hAnsi="Arial"/>
                <w:sz w:val="14"/>
                <w:szCs w:val="14"/>
                <w:b w:val="1"/>
                <w:bCs w:val="1"/>
                <w:color w:val="auto"/>
              </w:rPr>
              <w:t>2018</w:t>
            </w:r>
          </w:p>
        </w:tc>
        <w:tc>
          <w:tcPr>
            <w:tcW w:w="220" w:type="dxa"/>
            <w:vAlign w:val="bottom"/>
            <w:tcBorders>
              <w:bottom w:val="single" w:sz="8" w:color="auto"/>
            </w:tcBorders>
          </w:tcPr>
          <w:p>
            <w:pPr>
              <w:spacing w:after="0"/>
              <w:rPr>
                <w:sz w:val="22"/>
                <w:szCs w:val="22"/>
                <w:color w:val="auto"/>
              </w:rPr>
            </w:pPr>
          </w:p>
        </w:tc>
        <w:tc>
          <w:tcPr>
            <w:tcW w:w="380" w:type="dxa"/>
            <w:vAlign w:val="bottom"/>
            <w:tcBorders>
              <w:bottom w:val="single" w:sz="8" w:color="auto"/>
            </w:tcBorders>
          </w:tcPr>
          <w:p>
            <w:pPr>
              <w:spacing w:after="0"/>
              <w:rPr>
                <w:sz w:val="22"/>
                <w:szCs w:val="22"/>
                <w:color w:val="auto"/>
              </w:rPr>
            </w:pPr>
          </w:p>
        </w:tc>
        <w:tc>
          <w:tcPr>
            <w:tcW w:w="1040" w:type="dxa"/>
            <w:vAlign w:val="bottom"/>
            <w:tcBorders>
              <w:bottom w:val="single" w:sz="8" w:color="auto"/>
            </w:tcBorders>
          </w:tcPr>
          <w:p>
            <w:pPr>
              <w:jc w:val="right"/>
              <w:ind w:right="471"/>
              <w:spacing w:after="0"/>
              <w:rPr>
                <w:sz w:val="20"/>
                <w:szCs w:val="20"/>
                <w:color w:val="auto"/>
              </w:rPr>
            </w:pPr>
            <w:r>
              <w:rPr>
                <w:rFonts w:ascii="Arial" w:cs="Arial" w:eastAsia="Arial" w:hAnsi="Arial"/>
                <w:sz w:val="14"/>
                <w:szCs w:val="14"/>
                <w:b w:val="1"/>
                <w:bCs w:val="1"/>
                <w:color w:val="auto"/>
              </w:rPr>
              <w:t>2017</w:t>
            </w:r>
          </w:p>
        </w:tc>
        <w:tc>
          <w:tcPr>
            <w:tcW w:w="220" w:type="dxa"/>
            <w:vAlign w:val="bottom"/>
          </w:tcPr>
          <w:p>
            <w:pPr>
              <w:spacing w:after="0"/>
              <w:rPr>
                <w:sz w:val="22"/>
                <w:szCs w:val="22"/>
                <w:color w:val="auto"/>
              </w:rPr>
            </w:pPr>
          </w:p>
        </w:tc>
        <w:tc>
          <w:tcPr>
            <w:tcW w:w="300" w:type="dxa"/>
            <w:vAlign w:val="bottom"/>
            <w:tcBorders>
              <w:bottom w:val="single" w:sz="8" w:color="auto"/>
            </w:tcBorders>
          </w:tcPr>
          <w:p>
            <w:pPr>
              <w:spacing w:after="0"/>
              <w:rPr>
                <w:sz w:val="22"/>
                <w:szCs w:val="22"/>
                <w:color w:val="auto"/>
              </w:rPr>
            </w:pPr>
          </w:p>
        </w:tc>
        <w:tc>
          <w:tcPr>
            <w:tcW w:w="1100" w:type="dxa"/>
            <w:vAlign w:val="bottom"/>
            <w:tcBorders>
              <w:bottom w:val="single" w:sz="8" w:color="auto"/>
            </w:tcBorders>
          </w:tcPr>
          <w:p>
            <w:pPr>
              <w:jc w:val="right"/>
              <w:ind w:right="472"/>
              <w:spacing w:after="0"/>
              <w:rPr>
                <w:sz w:val="20"/>
                <w:szCs w:val="20"/>
                <w:color w:val="auto"/>
              </w:rPr>
            </w:pPr>
            <w:r>
              <w:rPr>
                <w:rFonts w:ascii="Arial" w:cs="Arial" w:eastAsia="Arial" w:hAnsi="Arial"/>
                <w:sz w:val="14"/>
                <w:szCs w:val="14"/>
                <w:b w:val="1"/>
                <w:bCs w:val="1"/>
                <w:color w:val="auto"/>
              </w:rPr>
              <w:t>2018</w:t>
            </w:r>
          </w:p>
        </w:tc>
        <w:tc>
          <w:tcPr>
            <w:tcW w:w="220" w:type="dxa"/>
            <w:vAlign w:val="bottom"/>
            <w:tcBorders>
              <w:bottom w:val="single" w:sz="8" w:color="auto"/>
            </w:tcBorders>
          </w:tcPr>
          <w:p>
            <w:pPr>
              <w:spacing w:after="0"/>
              <w:rPr>
                <w:sz w:val="22"/>
                <w:szCs w:val="22"/>
                <w:color w:val="auto"/>
              </w:rPr>
            </w:pPr>
          </w:p>
        </w:tc>
        <w:tc>
          <w:tcPr>
            <w:tcW w:w="380" w:type="dxa"/>
            <w:vAlign w:val="bottom"/>
            <w:tcBorders>
              <w:bottom w:val="single" w:sz="8" w:color="auto"/>
            </w:tcBorders>
          </w:tcPr>
          <w:p>
            <w:pPr>
              <w:spacing w:after="0"/>
              <w:rPr>
                <w:sz w:val="22"/>
                <w:szCs w:val="22"/>
                <w:color w:val="auto"/>
              </w:rPr>
            </w:pPr>
          </w:p>
        </w:tc>
        <w:tc>
          <w:tcPr>
            <w:tcW w:w="1040" w:type="dxa"/>
            <w:vAlign w:val="bottom"/>
            <w:tcBorders>
              <w:bottom w:val="single" w:sz="8" w:color="auto"/>
            </w:tcBorders>
          </w:tcPr>
          <w:p>
            <w:pPr>
              <w:jc w:val="right"/>
              <w:ind w:right="471"/>
              <w:spacing w:after="0"/>
              <w:rPr>
                <w:sz w:val="20"/>
                <w:szCs w:val="20"/>
                <w:color w:val="auto"/>
              </w:rPr>
            </w:pPr>
            <w:r>
              <w:rPr>
                <w:rFonts w:ascii="Arial" w:cs="Arial" w:eastAsia="Arial" w:hAnsi="Arial"/>
                <w:sz w:val="14"/>
                <w:szCs w:val="14"/>
                <w:b w:val="1"/>
                <w:bCs w:val="1"/>
                <w:color w:val="auto"/>
              </w:rPr>
              <w:t>2017</w:t>
            </w:r>
          </w:p>
        </w:tc>
        <w:tc>
          <w:tcPr>
            <w:tcW w:w="0" w:type="dxa"/>
            <w:vAlign w:val="bottom"/>
          </w:tcPr>
          <w:p>
            <w:pPr>
              <w:spacing w:after="0"/>
              <w:rPr>
                <w:sz w:val="1"/>
                <w:szCs w:val="1"/>
                <w:color w:val="auto"/>
              </w:rPr>
            </w:pPr>
          </w:p>
        </w:tc>
      </w:tr>
      <w:tr>
        <w:trPr>
          <w:trHeight w:val="250"/>
        </w:trPr>
        <w:tc>
          <w:tcPr>
            <w:tcW w:w="458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1700" w:type="dxa"/>
            <w:vAlign w:val="bottom"/>
            <w:gridSpan w:val="3"/>
          </w:tcPr>
          <w:p>
            <w:pPr>
              <w:jc w:val="right"/>
              <w:ind w:right="30"/>
              <w:spacing w:after="0"/>
              <w:rPr>
                <w:sz w:val="20"/>
                <w:szCs w:val="20"/>
                <w:color w:val="auto"/>
              </w:rPr>
            </w:pPr>
            <w:r>
              <w:rPr>
                <w:rFonts w:ascii="Arial" w:cs="Arial" w:eastAsia="Arial" w:hAnsi="Arial"/>
                <w:sz w:val="14"/>
                <w:szCs w:val="14"/>
                <w:b w:val="1"/>
                <w:bCs w:val="1"/>
                <w:color w:val="auto"/>
              </w:rPr>
              <w:t>(unaudited)</w:t>
            </w:r>
          </w:p>
        </w:tc>
        <w:tc>
          <w:tcPr>
            <w:tcW w:w="104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700" w:type="dxa"/>
            <w:vAlign w:val="bottom"/>
            <w:gridSpan w:val="3"/>
          </w:tcPr>
          <w:p>
            <w:pPr>
              <w:jc w:val="right"/>
              <w:ind w:right="10"/>
              <w:spacing w:after="0"/>
              <w:rPr>
                <w:sz w:val="20"/>
                <w:szCs w:val="20"/>
                <w:color w:val="auto"/>
              </w:rPr>
            </w:pPr>
            <w:r>
              <w:rPr>
                <w:rFonts w:ascii="Arial" w:cs="Arial" w:eastAsia="Arial" w:hAnsi="Arial"/>
                <w:sz w:val="14"/>
                <w:szCs w:val="14"/>
                <w:b w:val="1"/>
                <w:bCs w:val="1"/>
                <w:color w:val="auto"/>
              </w:rPr>
              <w:t>(unaudited)</w:t>
            </w:r>
          </w:p>
        </w:tc>
        <w:tc>
          <w:tcPr>
            <w:tcW w:w="104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56"/>
        </w:trPr>
        <w:tc>
          <w:tcPr>
            <w:tcW w:w="45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Revenues:</w:t>
            </w:r>
          </w:p>
        </w:tc>
        <w:tc>
          <w:tcPr>
            <w:tcW w:w="320" w:type="dxa"/>
            <w:vAlign w:val="bottom"/>
            <w:tcBorders>
              <w:bottom w:val="single" w:sz="8" w:color="CCEEFF"/>
            </w:tcBorders>
            <w:shd w:val="clear" w:color="auto" w:fill="CCEEFF"/>
          </w:tcPr>
          <w:p>
            <w:pPr>
              <w:spacing w:after="0"/>
              <w:rPr>
                <w:sz w:val="22"/>
                <w:szCs w:val="22"/>
                <w:color w:val="auto"/>
              </w:rPr>
            </w:pPr>
          </w:p>
        </w:tc>
        <w:tc>
          <w:tcPr>
            <w:tcW w:w="1100" w:type="dxa"/>
            <w:vAlign w:val="bottom"/>
            <w:tcBorders>
              <w:bottom w:val="single" w:sz="8" w:color="CCEEFF"/>
            </w:tcBorders>
            <w:shd w:val="clear" w:color="auto" w:fill="CCEEFF"/>
          </w:tcPr>
          <w:p>
            <w:pPr>
              <w:spacing w:after="0"/>
              <w:rPr>
                <w:sz w:val="22"/>
                <w:szCs w:val="22"/>
                <w:color w:val="auto"/>
              </w:rPr>
            </w:pPr>
          </w:p>
        </w:tc>
        <w:tc>
          <w:tcPr>
            <w:tcW w:w="220" w:type="dxa"/>
            <w:vAlign w:val="bottom"/>
            <w:tcBorders>
              <w:bottom w:val="single" w:sz="8" w:color="CCEEFF"/>
            </w:tcBorders>
            <w:shd w:val="clear" w:color="auto" w:fill="CCEEFF"/>
          </w:tcPr>
          <w:p>
            <w:pPr>
              <w:spacing w:after="0"/>
              <w:rPr>
                <w:sz w:val="22"/>
                <w:szCs w:val="22"/>
                <w:color w:val="auto"/>
              </w:rPr>
            </w:pPr>
          </w:p>
        </w:tc>
        <w:tc>
          <w:tcPr>
            <w:tcW w:w="380" w:type="dxa"/>
            <w:vAlign w:val="bottom"/>
            <w:tcBorders>
              <w:bottom w:val="single" w:sz="8" w:color="CCEEFF"/>
            </w:tcBorders>
            <w:shd w:val="clear" w:color="auto" w:fill="CCEEFF"/>
          </w:tcPr>
          <w:p>
            <w:pPr>
              <w:spacing w:after="0"/>
              <w:rPr>
                <w:sz w:val="22"/>
                <w:szCs w:val="22"/>
                <w:color w:val="auto"/>
              </w:rPr>
            </w:pPr>
          </w:p>
        </w:tc>
        <w:tc>
          <w:tcPr>
            <w:tcW w:w="1040" w:type="dxa"/>
            <w:vAlign w:val="bottom"/>
            <w:tcBorders>
              <w:bottom w:val="single" w:sz="8" w:color="CCEEFF"/>
            </w:tcBorders>
            <w:shd w:val="clear" w:color="auto" w:fill="CCEEFF"/>
          </w:tcPr>
          <w:p>
            <w:pPr>
              <w:spacing w:after="0"/>
              <w:rPr>
                <w:sz w:val="22"/>
                <w:szCs w:val="22"/>
                <w:color w:val="auto"/>
              </w:rPr>
            </w:pPr>
          </w:p>
        </w:tc>
        <w:tc>
          <w:tcPr>
            <w:tcW w:w="220" w:type="dxa"/>
            <w:vAlign w:val="bottom"/>
            <w:tcBorders>
              <w:bottom w:val="single" w:sz="8" w:color="CCEEFF"/>
            </w:tcBorders>
            <w:shd w:val="clear" w:color="auto" w:fill="CCEEFF"/>
          </w:tcPr>
          <w:p>
            <w:pPr>
              <w:spacing w:after="0"/>
              <w:rPr>
                <w:sz w:val="22"/>
                <w:szCs w:val="22"/>
                <w:color w:val="auto"/>
              </w:rPr>
            </w:pPr>
          </w:p>
        </w:tc>
        <w:tc>
          <w:tcPr>
            <w:tcW w:w="300" w:type="dxa"/>
            <w:vAlign w:val="bottom"/>
            <w:tcBorders>
              <w:bottom w:val="single" w:sz="8" w:color="CCEEFF"/>
            </w:tcBorders>
            <w:shd w:val="clear" w:color="auto" w:fill="CCEEFF"/>
          </w:tcPr>
          <w:p>
            <w:pPr>
              <w:spacing w:after="0"/>
              <w:rPr>
                <w:sz w:val="22"/>
                <w:szCs w:val="22"/>
                <w:color w:val="auto"/>
              </w:rPr>
            </w:pPr>
          </w:p>
        </w:tc>
        <w:tc>
          <w:tcPr>
            <w:tcW w:w="1100" w:type="dxa"/>
            <w:vAlign w:val="bottom"/>
            <w:tcBorders>
              <w:bottom w:val="single" w:sz="8" w:color="CCEEFF"/>
            </w:tcBorders>
            <w:shd w:val="clear" w:color="auto" w:fill="CCEEFF"/>
          </w:tcPr>
          <w:p>
            <w:pPr>
              <w:spacing w:after="0"/>
              <w:rPr>
                <w:sz w:val="22"/>
                <w:szCs w:val="22"/>
                <w:color w:val="auto"/>
              </w:rPr>
            </w:pPr>
          </w:p>
        </w:tc>
        <w:tc>
          <w:tcPr>
            <w:tcW w:w="220" w:type="dxa"/>
            <w:vAlign w:val="bottom"/>
            <w:tcBorders>
              <w:bottom w:val="single" w:sz="8" w:color="CCEEFF"/>
            </w:tcBorders>
            <w:shd w:val="clear" w:color="auto" w:fill="CCEEFF"/>
          </w:tcPr>
          <w:p>
            <w:pPr>
              <w:spacing w:after="0"/>
              <w:rPr>
                <w:sz w:val="22"/>
                <w:szCs w:val="22"/>
                <w:color w:val="auto"/>
              </w:rPr>
            </w:pPr>
          </w:p>
        </w:tc>
        <w:tc>
          <w:tcPr>
            <w:tcW w:w="380" w:type="dxa"/>
            <w:vAlign w:val="bottom"/>
            <w:tcBorders>
              <w:bottom w:val="single" w:sz="8" w:color="CCEEFF"/>
            </w:tcBorders>
            <w:shd w:val="clear" w:color="auto" w:fill="CCEEFF"/>
          </w:tcPr>
          <w:p>
            <w:pPr>
              <w:spacing w:after="0"/>
              <w:rPr>
                <w:sz w:val="22"/>
                <w:szCs w:val="22"/>
                <w:color w:val="auto"/>
              </w:rPr>
            </w:pPr>
          </w:p>
        </w:tc>
        <w:tc>
          <w:tcPr>
            <w:tcW w:w="1040" w:type="dxa"/>
            <w:vAlign w:val="bottom"/>
            <w:tcBorders>
              <w:bottom w:val="single" w:sz="8" w:color="CCEEFF"/>
            </w:tcBorders>
            <w:shd w:val="clear" w:color="auto" w:fill="CCEEFF"/>
          </w:tcPr>
          <w:p>
            <w:pPr>
              <w:spacing w:after="0"/>
              <w:rPr>
                <w:sz w:val="22"/>
                <w:szCs w:val="22"/>
                <w:color w:val="auto"/>
              </w:rPr>
            </w:pPr>
          </w:p>
        </w:tc>
        <w:tc>
          <w:tcPr>
            <w:tcW w:w="0" w:type="dxa"/>
            <w:vAlign w:val="bottom"/>
          </w:tcPr>
          <w:p>
            <w:pPr>
              <w:spacing w:after="0"/>
              <w:rPr>
                <w:sz w:val="1"/>
                <w:szCs w:val="1"/>
                <w:color w:val="auto"/>
              </w:rPr>
            </w:pPr>
          </w:p>
        </w:tc>
      </w:tr>
      <w:tr>
        <w:trPr>
          <w:trHeight w:val="243"/>
        </w:trPr>
        <w:tc>
          <w:tcPr>
            <w:tcW w:w="4580" w:type="dxa"/>
            <w:vAlign w:val="bottom"/>
          </w:tcPr>
          <w:p>
            <w:pPr>
              <w:ind w:left="160"/>
              <w:spacing w:after="0"/>
              <w:rPr>
                <w:sz w:val="20"/>
                <w:szCs w:val="20"/>
                <w:color w:val="auto"/>
              </w:rPr>
            </w:pPr>
            <w:r>
              <w:rPr>
                <w:rFonts w:ascii="Arial" w:cs="Arial" w:eastAsia="Arial" w:hAnsi="Arial"/>
                <w:sz w:val="18"/>
                <w:szCs w:val="18"/>
                <w:color w:val="auto"/>
              </w:rPr>
              <w:t>Technology development</w:t>
            </w:r>
          </w:p>
        </w:tc>
        <w:tc>
          <w:tcPr>
            <w:tcW w:w="320" w:type="dxa"/>
            <w:vAlign w:val="bottom"/>
          </w:tcPr>
          <w:p>
            <w:pPr>
              <w:jc w:val="right"/>
              <w:ind w:right="110"/>
              <w:spacing w:after="0"/>
              <w:rPr>
                <w:sz w:val="20"/>
                <w:szCs w:val="20"/>
                <w:color w:val="auto"/>
              </w:rPr>
            </w:pPr>
            <w:r>
              <w:rPr>
                <w:rFonts w:ascii="Arial" w:cs="Arial" w:eastAsia="Arial" w:hAnsi="Arial"/>
                <w:sz w:val="18"/>
                <w:szCs w:val="18"/>
                <w:color w:val="auto"/>
                <w:w w:val="99"/>
              </w:rPr>
              <w:t>$</w:t>
            </w:r>
          </w:p>
        </w:tc>
        <w:tc>
          <w:tcPr>
            <w:tcW w:w="1100" w:type="dxa"/>
            <w:vAlign w:val="bottom"/>
          </w:tcPr>
          <w:p>
            <w:pPr>
              <w:jc w:val="right"/>
              <w:ind w:right="12"/>
              <w:spacing w:after="0"/>
              <w:rPr>
                <w:sz w:val="20"/>
                <w:szCs w:val="20"/>
                <w:color w:val="auto"/>
              </w:rPr>
            </w:pPr>
            <w:r>
              <w:rPr>
                <w:rFonts w:ascii="Arial" w:cs="Arial" w:eastAsia="Arial" w:hAnsi="Arial"/>
                <w:sz w:val="18"/>
                <w:szCs w:val="18"/>
                <w:color w:val="auto"/>
              </w:rPr>
              <w:t>5,466,281</w:t>
            </w:r>
          </w:p>
        </w:tc>
        <w:tc>
          <w:tcPr>
            <w:tcW w:w="220" w:type="dxa"/>
            <w:vAlign w:val="bottom"/>
          </w:tcPr>
          <w:p>
            <w:pPr>
              <w:spacing w:after="0"/>
              <w:rPr>
                <w:sz w:val="21"/>
                <w:szCs w:val="21"/>
                <w:color w:val="auto"/>
              </w:rPr>
            </w:pPr>
          </w:p>
        </w:tc>
        <w:tc>
          <w:tcPr>
            <w:tcW w:w="380" w:type="dxa"/>
            <w:vAlign w:val="bottom"/>
          </w:tcPr>
          <w:p>
            <w:pPr>
              <w:jc w:val="right"/>
              <w:ind w:right="170"/>
              <w:spacing w:after="0"/>
              <w:rPr>
                <w:sz w:val="20"/>
                <w:szCs w:val="20"/>
                <w:color w:val="auto"/>
              </w:rPr>
            </w:pPr>
            <w:r>
              <w:rPr>
                <w:rFonts w:ascii="Arial" w:cs="Arial" w:eastAsia="Arial" w:hAnsi="Arial"/>
                <w:sz w:val="18"/>
                <w:szCs w:val="18"/>
                <w:color w:val="auto"/>
                <w:w w:val="99"/>
              </w:rPr>
              <w:t>$</w:t>
            </w:r>
          </w:p>
        </w:tc>
        <w:tc>
          <w:tcPr>
            <w:tcW w:w="1040" w:type="dxa"/>
            <w:vAlign w:val="bottom"/>
          </w:tcPr>
          <w:p>
            <w:pPr>
              <w:jc w:val="right"/>
              <w:ind w:right="31"/>
              <w:spacing w:after="0"/>
              <w:rPr>
                <w:sz w:val="20"/>
                <w:szCs w:val="20"/>
                <w:color w:val="auto"/>
              </w:rPr>
            </w:pPr>
            <w:r>
              <w:rPr>
                <w:rFonts w:ascii="Arial" w:cs="Arial" w:eastAsia="Arial" w:hAnsi="Arial"/>
                <w:sz w:val="18"/>
                <w:szCs w:val="18"/>
                <w:color w:val="auto"/>
              </w:rPr>
              <w:t>4,602,272</w:t>
            </w:r>
          </w:p>
        </w:tc>
        <w:tc>
          <w:tcPr>
            <w:tcW w:w="220" w:type="dxa"/>
            <w:vAlign w:val="bottom"/>
          </w:tcPr>
          <w:p>
            <w:pPr>
              <w:spacing w:after="0"/>
              <w:rPr>
                <w:sz w:val="21"/>
                <w:szCs w:val="21"/>
                <w:color w:val="auto"/>
              </w:rPr>
            </w:pPr>
          </w:p>
        </w:tc>
        <w:tc>
          <w:tcPr>
            <w:tcW w:w="300" w:type="dxa"/>
            <w:vAlign w:val="bottom"/>
          </w:tcPr>
          <w:p>
            <w:pPr>
              <w:jc w:val="right"/>
              <w:ind w:right="110"/>
              <w:spacing w:after="0"/>
              <w:rPr>
                <w:sz w:val="20"/>
                <w:szCs w:val="20"/>
                <w:color w:val="auto"/>
              </w:rPr>
            </w:pPr>
            <w:r>
              <w:rPr>
                <w:rFonts w:ascii="Arial" w:cs="Arial" w:eastAsia="Arial" w:hAnsi="Arial"/>
                <w:sz w:val="18"/>
                <w:szCs w:val="18"/>
                <w:color w:val="auto"/>
                <w:w w:val="79"/>
              </w:rPr>
              <w:t>$</w:t>
            </w:r>
          </w:p>
        </w:tc>
        <w:tc>
          <w:tcPr>
            <w:tcW w:w="1100" w:type="dxa"/>
            <w:vAlign w:val="bottom"/>
          </w:tcPr>
          <w:p>
            <w:pPr>
              <w:jc w:val="right"/>
              <w:ind w:right="12"/>
              <w:spacing w:after="0"/>
              <w:rPr>
                <w:sz w:val="20"/>
                <w:szCs w:val="20"/>
                <w:color w:val="auto"/>
              </w:rPr>
            </w:pPr>
            <w:r>
              <w:rPr>
                <w:rFonts w:ascii="Arial" w:cs="Arial" w:eastAsia="Arial" w:hAnsi="Arial"/>
                <w:sz w:val="18"/>
                <w:szCs w:val="18"/>
                <w:color w:val="auto"/>
              </w:rPr>
              <w:t>10,103,056</w:t>
            </w:r>
          </w:p>
        </w:tc>
        <w:tc>
          <w:tcPr>
            <w:tcW w:w="220" w:type="dxa"/>
            <w:vAlign w:val="bottom"/>
          </w:tcPr>
          <w:p>
            <w:pPr>
              <w:spacing w:after="0"/>
              <w:rPr>
                <w:sz w:val="21"/>
                <w:szCs w:val="21"/>
                <w:color w:val="auto"/>
              </w:rPr>
            </w:pPr>
          </w:p>
        </w:tc>
        <w:tc>
          <w:tcPr>
            <w:tcW w:w="380" w:type="dxa"/>
            <w:vAlign w:val="bottom"/>
          </w:tcPr>
          <w:p>
            <w:pPr>
              <w:jc w:val="right"/>
              <w:ind w:right="170"/>
              <w:spacing w:after="0"/>
              <w:rPr>
                <w:sz w:val="20"/>
                <w:szCs w:val="20"/>
                <w:color w:val="auto"/>
              </w:rPr>
            </w:pPr>
            <w:r>
              <w:rPr>
                <w:rFonts w:ascii="Arial" w:cs="Arial" w:eastAsia="Arial" w:hAnsi="Arial"/>
                <w:sz w:val="18"/>
                <w:szCs w:val="18"/>
                <w:color w:val="auto"/>
                <w:w w:val="99"/>
              </w:rPr>
              <w:t>$</w:t>
            </w:r>
          </w:p>
        </w:tc>
        <w:tc>
          <w:tcPr>
            <w:tcW w:w="1040" w:type="dxa"/>
            <w:vAlign w:val="bottom"/>
          </w:tcPr>
          <w:p>
            <w:pPr>
              <w:jc w:val="right"/>
              <w:ind w:right="11"/>
              <w:spacing w:after="0"/>
              <w:rPr>
                <w:sz w:val="20"/>
                <w:szCs w:val="20"/>
                <w:color w:val="auto"/>
              </w:rPr>
            </w:pPr>
            <w:r>
              <w:rPr>
                <w:rFonts w:ascii="Arial" w:cs="Arial" w:eastAsia="Arial" w:hAnsi="Arial"/>
                <w:sz w:val="18"/>
                <w:szCs w:val="18"/>
                <w:color w:val="auto"/>
              </w:rPr>
              <w:t>8,838,375</w:t>
            </w:r>
          </w:p>
        </w:tc>
        <w:tc>
          <w:tcPr>
            <w:tcW w:w="0" w:type="dxa"/>
            <w:vAlign w:val="bottom"/>
          </w:tcPr>
          <w:p>
            <w:pPr>
              <w:spacing w:after="0"/>
              <w:rPr>
                <w:sz w:val="1"/>
                <w:szCs w:val="1"/>
                <w:color w:val="auto"/>
              </w:rPr>
            </w:pPr>
          </w:p>
        </w:tc>
      </w:tr>
      <w:tr>
        <w:trPr>
          <w:trHeight w:val="27"/>
        </w:trPr>
        <w:tc>
          <w:tcPr>
            <w:tcW w:w="4580" w:type="dxa"/>
            <w:vAlign w:val="bottom"/>
          </w:tcPr>
          <w:p>
            <w:pPr>
              <w:spacing w:after="0"/>
              <w:rPr>
                <w:sz w:val="2"/>
                <w:szCs w:val="2"/>
                <w:color w:val="auto"/>
              </w:rPr>
            </w:pPr>
          </w:p>
        </w:tc>
        <w:tc>
          <w:tcPr>
            <w:tcW w:w="320" w:type="dxa"/>
            <w:vAlign w:val="bottom"/>
          </w:tcPr>
          <w:p>
            <w:pPr>
              <w:spacing w:after="0"/>
              <w:rPr>
                <w:sz w:val="2"/>
                <w:szCs w:val="2"/>
                <w:color w:val="auto"/>
              </w:rPr>
            </w:pPr>
          </w:p>
        </w:tc>
        <w:tc>
          <w:tcPr>
            <w:tcW w:w="1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380" w:type="dxa"/>
            <w:vAlign w:val="bottom"/>
          </w:tcPr>
          <w:p>
            <w:pPr>
              <w:spacing w:after="0"/>
              <w:rPr>
                <w:sz w:val="2"/>
                <w:szCs w:val="2"/>
                <w:color w:val="auto"/>
              </w:rPr>
            </w:pPr>
          </w:p>
        </w:tc>
        <w:tc>
          <w:tcPr>
            <w:tcW w:w="1040" w:type="dxa"/>
            <w:vAlign w:val="bottom"/>
          </w:tcPr>
          <w:p>
            <w:pPr>
              <w:spacing w:after="0"/>
              <w:rPr>
                <w:sz w:val="2"/>
                <w:szCs w:val="2"/>
                <w:color w:val="auto"/>
              </w:rPr>
            </w:pPr>
          </w:p>
        </w:tc>
        <w:tc>
          <w:tcPr>
            <w:tcW w:w="220" w:type="dxa"/>
            <w:vAlign w:val="bottom"/>
          </w:tcPr>
          <w:p>
            <w:pPr>
              <w:spacing w:after="0"/>
              <w:rPr>
                <w:sz w:val="2"/>
                <w:szCs w:val="2"/>
                <w:color w:val="auto"/>
              </w:rPr>
            </w:pPr>
          </w:p>
        </w:tc>
        <w:tc>
          <w:tcPr>
            <w:tcW w:w="300" w:type="dxa"/>
            <w:vAlign w:val="bottom"/>
          </w:tcPr>
          <w:p>
            <w:pPr>
              <w:spacing w:after="0"/>
              <w:rPr>
                <w:sz w:val="2"/>
                <w:szCs w:val="2"/>
                <w:color w:val="auto"/>
              </w:rPr>
            </w:pPr>
          </w:p>
        </w:tc>
        <w:tc>
          <w:tcPr>
            <w:tcW w:w="1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380" w:type="dxa"/>
            <w:vAlign w:val="bottom"/>
          </w:tcPr>
          <w:p>
            <w:pPr>
              <w:spacing w:after="0"/>
              <w:rPr>
                <w:sz w:val="2"/>
                <w:szCs w:val="2"/>
                <w:color w:val="auto"/>
              </w:rPr>
            </w:pPr>
          </w:p>
        </w:tc>
        <w:tc>
          <w:tcPr>
            <w:tcW w:w="10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4580" w:type="dxa"/>
            <w:vAlign w:val="bottom"/>
            <w:tcBorders>
              <w:bottom w:val="single" w:sz="8" w:color="CCEEFF"/>
            </w:tcBorders>
            <w:shd w:val="clear" w:color="auto" w:fill="CCEEFF"/>
          </w:tcPr>
          <w:p>
            <w:pPr>
              <w:ind w:left="160"/>
              <w:spacing w:after="0"/>
              <w:rPr>
                <w:sz w:val="20"/>
                <w:szCs w:val="20"/>
                <w:color w:val="auto"/>
              </w:rPr>
            </w:pPr>
            <w:r>
              <w:rPr>
                <w:rFonts w:ascii="Arial" w:cs="Arial" w:eastAsia="Arial" w:hAnsi="Arial"/>
                <w:sz w:val="18"/>
                <w:szCs w:val="18"/>
                <w:color w:val="auto"/>
              </w:rPr>
              <w:t>Products and licensing</w:t>
            </w:r>
          </w:p>
        </w:tc>
        <w:tc>
          <w:tcPr>
            <w:tcW w:w="320" w:type="dxa"/>
            <w:vAlign w:val="bottom"/>
            <w:tcBorders>
              <w:bottom w:val="single" w:sz="8" w:color="CCEEFF"/>
            </w:tcBorders>
            <w:shd w:val="clear" w:color="auto" w:fill="CCEEFF"/>
          </w:tcPr>
          <w:p>
            <w:pPr>
              <w:spacing w:after="0"/>
              <w:rPr>
                <w:sz w:val="23"/>
                <w:szCs w:val="23"/>
                <w:color w:val="auto"/>
              </w:rPr>
            </w:pPr>
          </w:p>
        </w:tc>
        <w:tc>
          <w:tcPr>
            <w:tcW w:w="110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8,306,367</w:t>
            </w:r>
          </w:p>
        </w:tc>
        <w:tc>
          <w:tcPr>
            <w:tcW w:w="220" w:type="dxa"/>
            <w:vAlign w:val="bottom"/>
            <w:tcBorders>
              <w:bottom w:val="single" w:sz="8" w:color="CCEEFF"/>
            </w:tcBorders>
            <w:shd w:val="clear" w:color="auto" w:fill="CCEEFF"/>
          </w:tcPr>
          <w:p>
            <w:pPr>
              <w:spacing w:after="0"/>
              <w:rPr>
                <w:sz w:val="23"/>
                <w:szCs w:val="23"/>
                <w:color w:val="auto"/>
              </w:rPr>
            </w:pPr>
          </w:p>
        </w:tc>
        <w:tc>
          <w:tcPr>
            <w:tcW w:w="380" w:type="dxa"/>
            <w:vAlign w:val="bottom"/>
            <w:tcBorders>
              <w:bottom w:val="single" w:sz="8" w:color="CCEEFF"/>
            </w:tcBorders>
            <w:shd w:val="clear" w:color="auto" w:fill="CCEEFF"/>
          </w:tcPr>
          <w:p>
            <w:pPr>
              <w:spacing w:after="0"/>
              <w:rPr>
                <w:sz w:val="23"/>
                <w:szCs w:val="23"/>
                <w:color w:val="auto"/>
              </w:rPr>
            </w:pPr>
          </w:p>
        </w:tc>
        <w:tc>
          <w:tcPr>
            <w:tcW w:w="104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6,690,759</w:t>
            </w:r>
          </w:p>
        </w:tc>
        <w:tc>
          <w:tcPr>
            <w:tcW w:w="220" w:type="dxa"/>
            <w:vAlign w:val="bottom"/>
            <w:tcBorders>
              <w:bottom w:val="single" w:sz="8" w:color="CCEEFF"/>
            </w:tcBorders>
            <w:shd w:val="clear" w:color="auto" w:fill="CCEEFF"/>
          </w:tcPr>
          <w:p>
            <w:pPr>
              <w:spacing w:after="0"/>
              <w:rPr>
                <w:sz w:val="23"/>
                <w:szCs w:val="23"/>
                <w:color w:val="auto"/>
              </w:rPr>
            </w:pPr>
          </w:p>
        </w:tc>
        <w:tc>
          <w:tcPr>
            <w:tcW w:w="300" w:type="dxa"/>
            <w:vAlign w:val="bottom"/>
            <w:tcBorders>
              <w:bottom w:val="single" w:sz="8" w:color="CCEEFF"/>
            </w:tcBorders>
            <w:shd w:val="clear" w:color="auto" w:fill="CCEEFF"/>
          </w:tcPr>
          <w:p>
            <w:pPr>
              <w:spacing w:after="0"/>
              <w:rPr>
                <w:sz w:val="23"/>
                <w:szCs w:val="23"/>
                <w:color w:val="auto"/>
              </w:rPr>
            </w:pPr>
          </w:p>
        </w:tc>
        <w:tc>
          <w:tcPr>
            <w:tcW w:w="110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15,862,763</w:t>
            </w:r>
          </w:p>
        </w:tc>
        <w:tc>
          <w:tcPr>
            <w:tcW w:w="220" w:type="dxa"/>
            <w:vAlign w:val="bottom"/>
            <w:tcBorders>
              <w:bottom w:val="single" w:sz="8" w:color="CCEEFF"/>
            </w:tcBorders>
            <w:shd w:val="clear" w:color="auto" w:fill="CCEEFF"/>
          </w:tcPr>
          <w:p>
            <w:pPr>
              <w:spacing w:after="0"/>
              <w:rPr>
                <w:sz w:val="23"/>
                <w:szCs w:val="23"/>
                <w:color w:val="auto"/>
              </w:rPr>
            </w:pPr>
          </w:p>
        </w:tc>
        <w:tc>
          <w:tcPr>
            <w:tcW w:w="380" w:type="dxa"/>
            <w:vAlign w:val="bottom"/>
            <w:tcBorders>
              <w:bottom w:val="single" w:sz="8" w:color="CCEEFF"/>
            </w:tcBorders>
            <w:shd w:val="clear" w:color="auto" w:fill="CCEEFF"/>
          </w:tcPr>
          <w:p>
            <w:pPr>
              <w:spacing w:after="0"/>
              <w:rPr>
                <w:sz w:val="23"/>
                <w:szCs w:val="23"/>
                <w:color w:val="auto"/>
              </w:rPr>
            </w:pPr>
          </w:p>
        </w:tc>
        <w:tc>
          <w:tcPr>
            <w:tcW w:w="104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12,541,554</w:t>
            </w:r>
          </w:p>
        </w:tc>
        <w:tc>
          <w:tcPr>
            <w:tcW w:w="0" w:type="dxa"/>
            <w:vAlign w:val="bottom"/>
          </w:tcPr>
          <w:p>
            <w:pPr>
              <w:spacing w:after="0"/>
              <w:rPr>
                <w:sz w:val="1"/>
                <w:szCs w:val="1"/>
                <w:color w:val="auto"/>
              </w:rPr>
            </w:pPr>
          </w:p>
        </w:tc>
      </w:tr>
      <w:tr>
        <w:trPr>
          <w:trHeight w:val="237"/>
        </w:trPr>
        <w:tc>
          <w:tcPr>
            <w:tcW w:w="4580" w:type="dxa"/>
            <w:vAlign w:val="bottom"/>
          </w:tcPr>
          <w:p>
            <w:pPr>
              <w:ind w:left="340"/>
              <w:spacing w:after="0"/>
              <w:rPr>
                <w:sz w:val="20"/>
                <w:szCs w:val="20"/>
                <w:color w:val="auto"/>
              </w:rPr>
            </w:pPr>
            <w:r>
              <w:rPr>
                <w:rFonts w:ascii="Arial" w:cs="Arial" w:eastAsia="Arial" w:hAnsi="Arial"/>
                <w:sz w:val="18"/>
                <w:szCs w:val="18"/>
                <w:color w:val="auto"/>
              </w:rPr>
              <w:t>Total revenues</w:t>
            </w:r>
          </w:p>
        </w:tc>
        <w:tc>
          <w:tcPr>
            <w:tcW w:w="320" w:type="dxa"/>
            <w:vAlign w:val="bottom"/>
            <w:tcBorders>
              <w:top w:val="single" w:sz="8" w:color="auto"/>
            </w:tcBorders>
          </w:tcPr>
          <w:p>
            <w:pPr>
              <w:spacing w:after="0"/>
              <w:rPr>
                <w:sz w:val="20"/>
                <w:szCs w:val="20"/>
                <w:color w:val="auto"/>
              </w:rPr>
            </w:pPr>
          </w:p>
        </w:tc>
        <w:tc>
          <w:tcPr>
            <w:tcW w:w="1100" w:type="dxa"/>
            <w:vAlign w:val="bottom"/>
            <w:tcBorders>
              <w:top w:val="single" w:sz="8" w:color="auto"/>
            </w:tcBorders>
          </w:tcPr>
          <w:p>
            <w:pPr>
              <w:jc w:val="right"/>
              <w:ind w:right="12"/>
              <w:spacing w:after="0"/>
              <w:rPr>
                <w:sz w:val="20"/>
                <w:szCs w:val="20"/>
                <w:color w:val="auto"/>
              </w:rPr>
            </w:pPr>
            <w:r>
              <w:rPr>
                <w:rFonts w:ascii="Arial" w:cs="Arial" w:eastAsia="Arial" w:hAnsi="Arial"/>
                <w:sz w:val="18"/>
                <w:szCs w:val="18"/>
                <w:color w:val="auto"/>
              </w:rPr>
              <w:t>13,772,648</w:t>
            </w:r>
          </w:p>
        </w:tc>
        <w:tc>
          <w:tcPr>
            <w:tcW w:w="220" w:type="dxa"/>
            <w:vAlign w:val="bottom"/>
          </w:tcPr>
          <w:p>
            <w:pPr>
              <w:spacing w:after="0"/>
              <w:rPr>
                <w:sz w:val="20"/>
                <w:szCs w:val="20"/>
                <w:color w:val="auto"/>
              </w:rPr>
            </w:pPr>
          </w:p>
        </w:tc>
        <w:tc>
          <w:tcPr>
            <w:tcW w:w="380" w:type="dxa"/>
            <w:vAlign w:val="bottom"/>
            <w:tcBorders>
              <w:top w:val="single" w:sz="8" w:color="auto"/>
            </w:tcBorders>
          </w:tcPr>
          <w:p>
            <w:pPr>
              <w:spacing w:after="0"/>
              <w:rPr>
                <w:sz w:val="20"/>
                <w:szCs w:val="20"/>
                <w:color w:val="auto"/>
              </w:rPr>
            </w:pPr>
          </w:p>
        </w:tc>
        <w:tc>
          <w:tcPr>
            <w:tcW w:w="1040" w:type="dxa"/>
            <w:vAlign w:val="bottom"/>
            <w:tcBorders>
              <w:top w:val="single" w:sz="8" w:color="auto"/>
            </w:tcBorders>
          </w:tcPr>
          <w:p>
            <w:pPr>
              <w:jc w:val="right"/>
              <w:ind w:right="31"/>
              <w:spacing w:after="0"/>
              <w:rPr>
                <w:sz w:val="20"/>
                <w:szCs w:val="20"/>
                <w:color w:val="auto"/>
              </w:rPr>
            </w:pPr>
            <w:r>
              <w:rPr>
                <w:rFonts w:ascii="Arial" w:cs="Arial" w:eastAsia="Arial" w:hAnsi="Arial"/>
                <w:sz w:val="18"/>
                <w:szCs w:val="18"/>
                <w:color w:val="auto"/>
                <w:w w:val="99"/>
              </w:rPr>
              <w:t>11,293,031</w:t>
            </w:r>
          </w:p>
        </w:tc>
        <w:tc>
          <w:tcPr>
            <w:tcW w:w="220" w:type="dxa"/>
            <w:vAlign w:val="bottom"/>
          </w:tcPr>
          <w:p>
            <w:pPr>
              <w:spacing w:after="0"/>
              <w:rPr>
                <w:sz w:val="20"/>
                <w:szCs w:val="20"/>
                <w:color w:val="auto"/>
              </w:rPr>
            </w:pPr>
          </w:p>
        </w:tc>
        <w:tc>
          <w:tcPr>
            <w:tcW w:w="300" w:type="dxa"/>
            <w:vAlign w:val="bottom"/>
            <w:tcBorders>
              <w:top w:val="single" w:sz="8" w:color="auto"/>
            </w:tcBorders>
          </w:tcPr>
          <w:p>
            <w:pPr>
              <w:spacing w:after="0"/>
              <w:rPr>
                <w:sz w:val="20"/>
                <w:szCs w:val="20"/>
                <w:color w:val="auto"/>
              </w:rPr>
            </w:pPr>
          </w:p>
        </w:tc>
        <w:tc>
          <w:tcPr>
            <w:tcW w:w="1100" w:type="dxa"/>
            <w:vAlign w:val="bottom"/>
            <w:tcBorders>
              <w:top w:val="single" w:sz="8" w:color="auto"/>
            </w:tcBorders>
          </w:tcPr>
          <w:p>
            <w:pPr>
              <w:jc w:val="right"/>
              <w:ind w:right="12"/>
              <w:spacing w:after="0"/>
              <w:rPr>
                <w:sz w:val="20"/>
                <w:szCs w:val="20"/>
                <w:color w:val="auto"/>
              </w:rPr>
            </w:pPr>
            <w:r>
              <w:rPr>
                <w:rFonts w:ascii="Arial" w:cs="Arial" w:eastAsia="Arial" w:hAnsi="Arial"/>
                <w:sz w:val="18"/>
                <w:szCs w:val="18"/>
                <w:color w:val="auto"/>
              </w:rPr>
              <w:t>25,965,819</w:t>
            </w:r>
          </w:p>
        </w:tc>
        <w:tc>
          <w:tcPr>
            <w:tcW w:w="220" w:type="dxa"/>
            <w:vAlign w:val="bottom"/>
          </w:tcPr>
          <w:p>
            <w:pPr>
              <w:spacing w:after="0"/>
              <w:rPr>
                <w:sz w:val="20"/>
                <w:szCs w:val="20"/>
                <w:color w:val="auto"/>
              </w:rPr>
            </w:pPr>
          </w:p>
        </w:tc>
        <w:tc>
          <w:tcPr>
            <w:tcW w:w="380" w:type="dxa"/>
            <w:vAlign w:val="bottom"/>
            <w:tcBorders>
              <w:top w:val="single" w:sz="8" w:color="auto"/>
            </w:tcBorders>
          </w:tcPr>
          <w:p>
            <w:pPr>
              <w:spacing w:after="0"/>
              <w:rPr>
                <w:sz w:val="20"/>
                <w:szCs w:val="20"/>
                <w:color w:val="auto"/>
              </w:rPr>
            </w:pPr>
          </w:p>
        </w:tc>
        <w:tc>
          <w:tcPr>
            <w:tcW w:w="104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21,379,929</w:t>
            </w:r>
          </w:p>
        </w:tc>
        <w:tc>
          <w:tcPr>
            <w:tcW w:w="0" w:type="dxa"/>
            <w:vAlign w:val="bottom"/>
          </w:tcPr>
          <w:p>
            <w:pPr>
              <w:spacing w:after="0"/>
              <w:rPr>
                <w:sz w:val="1"/>
                <w:szCs w:val="1"/>
                <w:color w:val="auto"/>
              </w:rPr>
            </w:pPr>
          </w:p>
        </w:tc>
      </w:tr>
      <w:tr>
        <w:trPr>
          <w:trHeight w:val="27"/>
        </w:trPr>
        <w:tc>
          <w:tcPr>
            <w:tcW w:w="4580" w:type="dxa"/>
            <w:vAlign w:val="bottom"/>
            <w:tcBorders>
              <w:bottom w:val="single" w:sz="8" w:color="CCEEFF"/>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220" w:type="dxa"/>
            <w:vAlign w:val="bottom"/>
            <w:tcBorders>
              <w:bottom w:val="single" w:sz="8" w:color="CCEEFF"/>
            </w:tcBorders>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22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220" w:type="dxa"/>
            <w:vAlign w:val="bottom"/>
            <w:tcBorders>
              <w:bottom w:val="single" w:sz="8" w:color="CCEEFF"/>
            </w:tcBorders>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45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Cost of revenues:</w:t>
            </w:r>
          </w:p>
        </w:tc>
        <w:tc>
          <w:tcPr>
            <w:tcW w:w="32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38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38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4580" w:type="dxa"/>
            <w:vAlign w:val="bottom"/>
          </w:tcPr>
          <w:p>
            <w:pPr>
              <w:ind w:left="160"/>
              <w:spacing w:after="0"/>
              <w:rPr>
                <w:sz w:val="20"/>
                <w:szCs w:val="20"/>
                <w:color w:val="auto"/>
              </w:rPr>
            </w:pPr>
            <w:r>
              <w:rPr>
                <w:rFonts w:ascii="Arial" w:cs="Arial" w:eastAsia="Arial" w:hAnsi="Arial"/>
                <w:sz w:val="18"/>
                <w:szCs w:val="18"/>
                <w:color w:val="auto"/>
              </w:rPr>
              <w:t>Technology development</w:t>
            </w:r>
          </w:p>
        </w:tc>
        <w:tc>
          <w:tcPr>
            <w:tcW w:w="320" w:type="dxa"/>
            <w:vAlign w:val="bottom"/>
          </w:tcPr>
          <w:p>
            <w:pPr>
              <w:spacing w:after="0"/>
              <w:rPr>
                <w:sz w:val="21"/>
                <w:szCs w:val="21"/>
                <w:color w:val="auto"/>
              </w:rPr>
            </w:pPr>
          </w:p>
        </w:tc>
        <w:tc>
          <w:tcPr>
            <w:tcW w:w="1100" w:type="dxa"/>
            <w:vAlign w:val="bottom"/>
          </w:tcPr>
          <w:p>
            <w:pPr>
              <w:jc w:val="right"/>
              <w:ind w:right="12"/>
              <w:spacing w:after="0"/>
              <w:rPr>
                <w:sz w:val="20"/>
                <w:szCs w:val="20"/>
                <w:color w:val="auto"/>
              </w:rPr>
            </w:pPr>
            <w:r>
              <w:rPr>
                <w:rFonts w:ascii="Arial" w:cs="Arial" w:eastAsia="Arial" w:hAnsi="Arial"/>
                <w:sz w:val="18"/>
                <w:szCs w:val="18"/>
                <w:color w:val="auto"/>
              </w:rPr>
              <w:t>3,945,126</w:t>
            </w:r>
          </w:p>
        </w:tc>
        <w:tc>
          <w:tcPr>
            <w:tcW w:w="22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1040" w:type="dxa"/>
            <w:vAlign w:val="bottom"/>
          </w:tcPr>
          <w:p>
            <w:pPr>
              <w:jc w:val="right"/>
              <w:ind w:right="31"/>
              <w:spacing w:after="0"/>
              <w:rPr>
                <w:sz w:val="20"/>
                <w:szCs w:val="20"/>
                <w:color w:val="auto"/>
              </w:rPr>
            </w:pPr>
            <w:r>
              <w:rPr>
                <w:rFonts w:ascii="Arial" w:cs="Arial" w:eastAsia="Arial" w:hAnsi="Arial"/>
                <w:sz w:val="18"/>
                <w:szCs w:val="18"/>
                <w:color w:val="auto"/>
              </w:rPr>
              <w:t>3,443,954</w:t>
            </w:r>
          </w:p>
        </w:tc>
        <w:tc>
          <w:tcPr>
            <w:tcW w:w="22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100" w:type="dxa"/>
            <w:vAlign w:val="bottom"/>
          </w:tcPr>
          <w:p>
            <w:pPr>
              <w:jc w:val="right"/>
              <w:ind w:right="12"/>
              <w:spacing w:after="0"/>
              <w:rPr>
                <w:sz w:val="20"/>
                <w:szCs w:val="20"/>
                <w:color w:val="auto"/>
              </w:rPr>
            </w:pPr>
            <w:r>
              <w:rPr>
                <w:rFonts w:ascii="Arial" w:cs="Arial" w:eastAsia="Arial" w:hAnsi="Arial"/>
                <w:sz w:val="18"/>
                <w:szCs w:val="18"/>
                <w:color w:val="auto"/>
              </w:rPr>
              <w:t>7,298,628</w:t>
            </w:r>
          </w:p>
        </w:tc>
        <w:tc>
          <w:tcPr>
            <w:tcW w:w="22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1040" w:type="dxa"/>
            <w:vAlign w:val="bottom"/>
          </w:tcPr>
          <w:p>
            <w:pPr>
              <w:jc w:val="right"/>
              <w:ind w:right="11"/>
              <w:spacing w:after="0"/>
              <w:rPr>
                <w:sz w:val="20"/>
                <w:szCs w:val="20"/>
                <w:color w:val="auto"/>
              </w:rPr>
            </w:pPr>
            <w:r>
              <w:rPr>
                <w:rFonts w:ascii="Arial" w:cs="Arial" w:eastAsia="Arial" w:hAnsi="Arial"/>
                <w:sz w:val="18"/>
                <w:szCs w:val="18"/>
                <w:color w:val="auto"/>
              </w:rPr>
              <w:t>6,553,423</w:t>
            </w:r>
          </w:p>
        </w:tc>
        <w:tc>
          <w:tcPr>
            <w:tcW w:w="0" w:type="dxa"/>
            <w:vAlign w:val="bottom"/>
          </w:tcPr>
          <w:p>
            <w:pPr>
              <w:spacing w:after="0"/>
              <w:rPr>
                <w:sz w:val="1"/>
                <w:szCs w:val="1"/>
                <w:color w:val="auto"/>
              </w:rPr>
            </w:pPr>
          </w:p>
        </w:tc>
      </w:tr>
      <w:tr>
        <w:trPr>
          <w:trHeight w:val="27"/>
        </w:trPr>
        <w:tc>
          <w:tcPr>
            <w:tcW w:w="4580" w:type="dxa"/>
            <w:vAlign w:val="bottom"/>
          </w:tcPr>
          <w:p>
            <w:pPr>
              <w:spacing w:after="0"/>
              <w:rPr>
                <w:sz w:val="2"/>
                <w:szCs w:val="2"/>
                <w:color w:val="auto"/>
              </w:rPr>
            </w:pPr>
          </w:p>
        </w:tc>
        <w:tc>
          <w:tcPr>
            <w:tcW w:w="320" w:type="dxa"/>
            <w:vAlign w:val="bottom"/>
          </w:tcPr>
          <w:p>
            <w:pPr>
              <w:spacing w:after="0"/>
              <w:rPr>
                <w:sz w:val="2"/>
                <w:szCs w:val="2"/>
                <w:color w:val="auto"/>
              </w:rPr>
            </w:pPr>
          </w:p>
        </w:tc>
        <w:tc>
          <w:tcPr>
            <w:tcW w:w="1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380" w:type="dxa"/>
            <w:vAlign w:val="bottom"/>
          </w:tcPr>
          <w:p>
            <w:pPr>
              <w:spacing w:after="0"/>
              <w:rPr>
                <w:sz w:val="2"/>
                <w:szCs w:val="2"/>
                <w:color w:val="auto"/>
              </w:rPr>
            </w:pPr>
          </w:p>
        </w:tc>
        <w:tc>
          <w:tcPr>
            <w:tcW w:w="1040" w:type="dxa"/>
            <w:vAlign w:val="bottom"/>
          </w:tcPr>
          <w:p>
            <w:pPr>
              <w:spacing w:after="0"/>
              <w:rPr>
                <w:sz w:val="2"/>
                <w:szCs w:val="2"/>
                <w:color w:val="auto"/>
              </w:rPr>
            </w:pPr>
          </w:p>
        </w:tc>
        <w:tc>
          <w:tcPr>
            <w:tcW w:w="220" w:type="dxa"/>
            <w:vAlign w:val="bottom"/>
          </w:tcPr>
          <w:p>
            <w:pPr>
              <w:spacing w:after="0"/>
              <w:rPr>
                <w:sz w:val="2"/>
                <w:szCs w:val="2"/>
                <w:color w:val="auto"/>
              </w:rPr>
            </w:pPr>
          </w:p>
        </w:tc>
        <w:tc>
          <w:tcPr>
            <w:tcW w:w="300" w:type="dxa"/>
            <w:vAlign w:val="bottom"/>
          </w:tcPr>
          <w:p>
            <w:pPr>
              <w:spacing w:after="0"/>
              <w:rPr>
                <w:sz w:val="2"/>
                <w:szCs w:val="2"/>
                <w:color w:val="auto"/>
              </w:rPr>
            </w:pPr>
          </w:p>
        </w:tc>
        <w:tc>
          <w:tcPr>
            <w:tcW w:w="1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380" w:type="dxa"/>
            <w:vAlign w:val="bottom"/>
          </w:tcPr>
          <w:p>
            <w:pPr>
              <w:spacing w:after="0"/>
              <w:rPr>
                <w:sz w:val="2"/>
                <w:szCs w:val="2"/>
                <w:color w:val="auto"/>
              </w:rPr>
            </w:pPr>
          </w:p>
        </w:tc>
        <w:tc>
          <w:tcPr>
            <w:tcW w:w="10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4580" w:type="dxa"/>
            <w:vAlign w:val="bottom"/>
            <w:tcBorders>
              <w:bottom w:val="single" w:sz="8" w:color="CCEEFF"/>
            </w:tcBorders>
            <w:shd w:val="clear" w:color="auto" w:fill="CCEEFF"/>
          </w:tcPr>
          <w:p>
            <w:pPr>
              <w:ind w:left="160"/>
              <w:spacing w:after="0"/>
              <w:rPr>
                <w:sz w:val="20"/>
                <w:szCs w:val="20"/>
                <w:color w:val="auto"/>
              </w:rPr>
            </w:pPr>
            <w:r>
              <w:rPr>
                <w:rFonts w:ascii="Arial" w:cs="Arial" w:eastAsia="Arial" w:hAnsi="Arial"/>
                <w:sz w:val="18"/>
                <w:szCs w:val="18"/>
                <w:color w:val="auto"/>
              </w:rPr>
              <w:t>Products and licensing</w:t>
            </w:r>
          </w:p>
        </w:tc>
        <w:tc>
          <w:tcPr>
            <w:tcW w:w="320" w:type="dxa"/>
            <w:vAlign w:val="bottom"/>
            <w:tcBorders>
              <w:bottom w:val="single" w:sz="8" w:color="CCEEFF"/>
            </w:tcBorders>
            <w:shd w:val="clear" w:color="auto" w:fill="CCEEFF"/>
          </w:tcPr>
          <w:p>
            <w:pPr>
              <w:spacing w:after="0"/>
              <w:rPr>
                <w:sz w:val="23"/>
                <w:szCs w:val="23"/>
                <w:color w:val="auto"/>
              </w:rPr>
            </w:pPr>
          </w:p>
        </w:tc>
        <w:tc>
          <w:tcPr>
            <w:tcW w:w="110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4,155,054</w:t>
            </w:r>
          </w:p>
        </w:tc>
        <w:tc>
          <w:tcPr>
            <w:tcW w:w="220" w:type="dxa"/>
            <w:vAlign w:val="bottom"/>
            <w:tcBorders>
              <w:bottom w:val="single" w:sz="8" w:color="CCEEFF"/>
            </w:tcBorders>
            <w:shd w:val="clear" w:color="auto" w:fill="CCEEFF"/>
          </w:tcPr>
          <w:p>
            <w:pPr>
              <w:spacing w:after="0"/>
              <w:rPr>
                <w:sz w:val="23"/>
                <w:szCs w:val="23"/>
                <w:color w:val="auto"/>
              </w:rPr>
            </w:pPr>
          </w:p>
        </w:tc>
        <w:tc>
          <w:tcPr>
            <w:tcW w:w="380" w:type="dxa"/>
            <w:vAlign w:val="bottom"/>
            <w:tcBorders>
              <w:bottom w:val="single" w:sz="8" w:color="CCEEFF"/>
            </w:tcBorders>
            <w:shd w:val="clear" w:color="auto" w:fill="CCEEFF"/>
          </w:tcPr>
          <w:p>
            <w:pPr>
              <w:spacing w:after="0"/>
              <w:rPr>
                <w:sz w:val="23"/>
                <w:szCs w:val="23"/>
                <w:color w:val="auto"/>
              </w:rPr>
            </w:pPr>
          </w:p>
        </w:tc>
        <w:tc>
          <w:tcPr>
            <w:tcW w:w="104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3,482,867</w:t>
            </w:r>
          </w:p>
        </w:tc>
        <w:tc>
          <w:tcPr>
            <w:tcW w:w="220" w:type="dxa"/>
            <w:vAlign w:val="bottom"/>
            <w:tcBorders>
              <w:bottom w:val="single" w:sz="8" w:color="CCEEFF"/>
            </w:tcBorders>
            <w:shd w:val="clear" w:color="auto" w:fill="CCEEFF"/>
          </w:tcPr>
          <w:p>
            <w:pPr>
              <w:spacing w:after="0"/>
              <w:rPr>
                <w:sz w:val="23"/>
                <w:szCs w:val="23"/>
                <w:color w:val="auto"/>
              </w:rPr>
            </w:pPr>
          </w:p>
        </w:tc>
        <w:tc>
          <w:tcPr>
            <w:tcW w:w="300" w:type="dxa"/>
            <w:vAlign w:val="bottom"/>
            <w:tcBorders>
              <w:bottom w:val="single" w:sz="8" w:color="CCEEFF"/>
            </w:tcBorders>
            <w:shd w:val="clear" w:color="auto" w:fill="CCEEFF"/>
          </w:tcPr>
          <w:p>
            <w:pPr>
              <w:spacing w:after="0"/>
              <w:rPr>
                <w:sz w:val="23"/>
                <w:szCs w:val="23"/>
                <w:color w:val="auto"/>
              </w:rPr>
            </w:pPr>
          </w:p>
        </w:tc>
        <w:tc>
          <w:tcPr>
            <w:tcW w:w="110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7,968,605</w:t>
            </w:r>
          </w:p>
        </w:tc>
        <w:tc>
          <w:tcPr>
            <w:tcW w:w="220" w:type="dxa"/>
            <w:vAlign w:val="bottom"/>
            <w:tcBorders>
              <w:bottom w:val="single" w:sz="8" w:color="CCEEFF"/>
            </w:tcBorders>
            <w:shd w:val="clear" w:color="auto" w:fill="CCEEFF"/>
          </w:tcPr>
          <w:p>
            <w:pPr>
              <w:spacing w:after="0"/>
              <w:rPr>
                <w:sz w:val="23"/>
                <w:szCs w:val="23"/>
                <w:color w:val="auto"/>
              </w:rPr>
            </w:pPr>
          </w:p>
        </w:tc>
        <w:tc>
          <w:tcPr>
            <w:tcW w:w="380" w:type="dxa"/>
            <w:vAlign w:val="bottom"/>
            <w:tcBorders>
              <w:bottom w:val="single" w:sz="8" w:color="CCEEFF"/>
            </w:tcBorders>
            <w:shd w:val="clear" w:color="auto" w:fill="CCEEFF"/>
          </w:tcPr>
          <w:p>
            <w:pPr>
              <w:spacing w:after="0"/>
              <w:rPr>
                <w:sz w:val="23"/>
                <w:szCs w:val="23"/>
                <w:color w:val="auto"/>
              </w:rPr>
            </w:pPr>
          </w:p>
        </w:tc>
        <w:tc>
          <w:tcPr>
            <w:tcW w:w="104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6,583,913</w:t>
            </w:r>
          </w:p>
        </w:tc>
        <w:tc>
          <w:tcPr>
            <w:tcW w:w="0" w:type="dxa"/>
            <w:vAlign w:val="bottom"/>
          </w:tcPr>
          <w:p>
            <w:pPr>
              <w:spacing w:after="0"/>
              <w:rPr>
                <w:sz w:val="1"/>
                <w:szCs w:val="1"/>
                <w:color w:val="auto"/>
              </w:rPr>
            </w:pPr>
          </w:p>
        </w:tc>
      </w:tr>
      <w:tr>
        <w:trPr>
          <w:trHeight w:val="237"/>
        </w:trPr>
        <w:tc>
          <w:tcPr>
            <w:tcW w:w="4580" w:type="dxa"/>
            <w:vAlign w:val="bottom"/>
          </w:tcPr>
          <w:p>
            <w:pPr>
              <w:ind w:left="340"/>
              <w:spacing w:after="0"/>
              <w:rPr>
                <w:sz w:val="20"/>
                <w:szCs w:val="20"/>
                <w:color w:val="auto"/>
              </w:rPr>
            </w:pPr>
            <w:r>
              <w:rPr>
                <w:rFonts w:ascii="Arial" w:cs="Arial" w:eastAsia="Arial" w:hAnsi="Arial"/>
                <w:sz w:val="18"/>
                <w:szCs w:val="18"/>
                <w:color w:val="auto"/>
              </w:rPr>
              <w:t>Total cost of revenues</w:t>
            </w:r>
          </w:p>
        </w:tc>
        <w:tc>
          <w:tcPr>
            <w:tcW w:w="320" w:type="dxa"/>
            <w:vAlign w:val="bottom"/>
            <w:tcBorders>
              <w:top w:val="single" w:sz="8" w:color="auto"/>
            </w:tcBorders>
          </w:tcPr>
          <w:p>
            <w:pPr>
              <w:spacing w:after="0"/>
              <w:rPr>
                <w:sz w:val="20"/>
                <w:szCs w:val="20"/>
                <w:color w:val="auto"/>
              </w:rPr>
            </w:pPr>
          </w:p>
        </w:tc>
        <w:tc>
          <w:tcPr>
            <w:tcW w:w="1100" w:type="dxa"/>
            <w:vAlign w:val="bottom"/>
            <w:tcBorders>
              <w:top w:val="single" w:sz="8" w:color="auto"/>
            </w:tcBorders>
          </w:tcPr>
          <w:p>
            <w:pPr>
              <w:jc w:val="right"/>
              <w:ind w:right="12"/>
              <w:spacing w:after="0"/>
              <w:rPr>
                <w:sz w:val="20"/>
                <w:szCs w:val="20"/>
                <w:color w:val="auto"/>
              </w:rPr>
            </w:pPr>
            <w:r>
              <w:rPr>
                <w:rFonts w:ascii="Arial" w:cs="Arial" w:eastAsia="Arial" w:hAnsi="Arial"/>
                <w:sz w:val="18"/>
                <w:szCs w:val="18"/>
                <w:color w:val="auto"/>
              </w:rPr>
              <w:t>8,100,180</w:t>
            </w:r>
          </w:p>
        </w:tc>
        <w:tc>
          <w:tcPr>
            <w:tcW w:w="220" w:type="dxa"/>
            <w:vAlign w:val="bottom"/>
          </w:tcPr>
          <w:p>
            <w:pPr>
              <w:spacing w:after="0"/>
              <w:rPr>
                <w:sz w:val="20"/>
                <w:szCs w:val="20"/>
                <w:color w:val="auto"/>
              </w:rPr>
            </w:pPr>
          </w:p>
        </w:tc>
        <w:tc>
          <w:tcPr>
            <w:tcW w:w="380" w:type="dxa"/>
            <w:vAlign w:val="bottom"/>
            <w:tcBorders>
              <w:top w:val="single" w:sz="8" w:color="auto"/>
            </w:tcBorders>
          </w:tcPr>
          <w:p>
            <w:pPr>
              <w:spacing w:after="0"/>
              <w:rPr>
                <w:sz w:val="20"/>
                <w:szCs w:val="20"/>
                <w:color w:val="auto"/>
              </w:rPr>
            </w:pPr>
          </w:p>
        </w:tc>
        <w:tc>
          <w:tcPr>
            <w:tcW w:w="1040" w:type="dxa"/>
            <w:vAlign w:val="bottom"/>
            <w:tcBorders>
              <w:top w:val="single" w:sz="8" w:color="auto"/>
            </w:tcBorders>
          </w:tcPr>
          <w:p>
            <w:pPr>
              <w:jc w:val="right"/>
              <w:ind w:right="31"/>
              <w:spacing w:after="0"/>
              <w:rPr>
                <w:sz w:val="20"/>
                <w:szCs w:val="20"/>
                <w:color w:val="auto"/>
              </w:rPr>
            </w:pPr>
            <w:r>
              <w:rPr>
                <w:rFonts w:ascii="Arial" w:cs="Arial" w:eastAsia="Arial" w:hAnsi="Arial"/>
                <w:sz w:val="18"/>
                <w:szCs w:val="18"/>
                <w:color w:val="auto"/>
              </w:rPr>
              <w:t>6,926,821</w:t>
            </w:r>
          </w:p>
        </w:tc>
        <w:tc>
          <w:tcPr>
            <w:tcW w:w="220" w:type="dxa"/>
            <w:vAlign w:val="bottom"/>
          </w:tcPr>
          <w:p>
            <w:pPr>
              <w:spacing w:after="0"/>
              <w:rPr>
                <w:sz w:val="20"/>
                <w:szCs w:val="20"/>
                <w:color w:val="auto"/>
              </w:rPr>
            </w:pPr>
          </w:p>
        </w:tc>
        <w:tc>
          <w:tcPr>
            <w:tcW w:w="300" w:type="dxa"/>
            <w:vAlign w:val="bottom"/>
            <w:tcBorders>
              <w:top w:val="single" w:sz="8" w:color="auto"/>
            </w:tcBorders>
          </w:tcPr>
          <w:p>
            <w:pPr>
              <w:spacing w:after="0"/>
              <w:rPr>
                <w:sz w:val="20"/>
                <w:szCs w:val="20"/>
                <w:color w:val="auto"/>
              </w:rPr>
            </w:pPr>
          </w:p>
        </w:tc>
        <w:tc>
          <w:tcPr>
            <w:tcW w:w="1100" w:type="dxa"/>
            <w:vAlign w:val="bottom"/>
            <w:tcBorders>
              <w:top w:val="single" w:sz="8" w:color="auto"/>
            </w:tcBorders>
          </w:tcPr>
          <w:p>
            <w:pPr>
              <w:jc w:val="right"/>
              <w:ind w:right="12"/>
              <w:spacing w:after="0"/>
              <w:rPr>
                <w:sz w:val="20"/>
                <w:szCs w:val="20"/>
                <w:color w:val="auto"/>
              </w:rPr>
            </w:pPr>
            <w:r>
              <w:rPr>
                <w:rFonts w:ascii="Arial" w:cs="Arial" w:eastAsia="Arial" w:hAnsi="Arial"/>
                <w:sz w:val="18"/>
                <w:szCs w:val="18"/>
                <w:color w:val="auto"/>
              </w:rPr>
              <w:t>15,267,233</w:t>
            </w:r>
          </w:p>
        </w:tc>
        <w:tc>
          <w:tcPr>
            <w:tcW w:w="220" w:type="dxa"/>
            <w:vAlign w:val="bottom"/>
          </w:tcPr>
          <w:p>
            <w:pPr>
              <w:spacing w:after="0"/>
              <w:rPr>
                <w:sz w:val="20"/>
                <w:szCs w:val="20"/>
                <w:color w:val="auto"/>
              </w:rPr>
            </w:pPr>
          </w:p>
        </w:tc>
        <w:tc>
          <w:tcPr>
            <w:tcW w:w="380" w:type="dxa"/>
            <w:vAlign w:val="bottom"/>
            <w:tcBorders>
              <w:top w:val="single" w:sz="8" w:color="auto"/>
            </w:tcBorders>
          </w:tcPr>
          <w:p>
            <w:pPr>
              <w:spacing w:after="0"/>
              <w:rPr>
                <w:sz w:val="20"/>
                <w:szCs w:val="20"/>
                <w:color w:val="auto"/>
              </w:rPr>
            </w:pPr>
          </w:p>
        </w:tc>
        <w:tc>
          <w:tcPr>
            <w:tcW w:w="104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13,137,336</w:t>
            </w:r>
          </w:p>
        </w:tc>
        <w:tc>
          <w:tcPr>
            <w:tcW w:w="0" w:type="dxa"/>
            <w:vAlign w:val="bottom"/>
          </w:tcPr>
          <w:p>
            <w:pPr>
              <w:spacing w:after="0"/>
              <w:rPr>
                <w:sz w:val="1"/>
                <w:szCs w:val="1"/>
                <w:color w:val="auto"/>
              </w:rPr>
            </w:pPr>
          </w:p>
        </w:tc>
      </w:tr>
      <w:tr>
        <w:trPr>
          <w:trHeight w:val="27"/>
        </w:trPr>
        <w:tc>
          <w:tcPr>
            <w:tcW w:w="4580" w:type="dxa"/>
            <w:vAlign w:val="bottom"/>
            <w:tcBorders>
              <w:bottom w:val="single" w:sz="8" w:color="CCEEFF"/>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220" w:type="dxa"/>
            <w:vAlign w:val="bottom"/>
            <w:tcBorders>
              <w:bottom w:val="single" w:sz="8" w:color="CCEEFF"/>
            </w:tcBorders>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22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220" w:type="dxa"/>
            <w:vAlign w:val="bottom"/>
            <w:tcBorders>
              <w:bottom w:val="single" w:sz="8" w:color="CCEEFF"/>
            </w:tcBorders>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4"/>
        </w:trPr>
        <w:tc>
          <w:tcPr>
            <w:tcW w:w="45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Gross profit</w:t>
            </w:r>
          </w:p>
        </w:tc>
        <w:tc>
          <w:tcPr>
            <w:tcW w:w="320" w:type="dxa"/>
            <w:vAlign w:val="bottom"/>
            <w:tcBorders>
              <w:bottom w:val="single" w:sz="8" w:color="CCEEFF"/>
            </w:tcBorders>
            <w:shd w:val="clear" w:color="auto" w:fill="CCEEFF"/>
          </w:tcPr>
          <w:p>
            <w:pPr>
              <w:spacing w:after="0"/>
              <w:rPr>
                <w:sz w:val="22"/>
                <w:szCs w:val="22"/>
                <w:color w:val="auto"/>
              </w:rPr>
            </w:pPr>
          </w:p>
        </w:tc>
        <w:tc>
          <w:tcPr>
            <w:tcW w:w="110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5,672,468</w:t>
            </w:r>
          </w:p>
        </w:tc>
        <w:tc>
          <w:tcPr>
            <w:tcW w:w="220" w:type="dxa"/>
            <w:vAlign w:val="bottom"/>
            <w:tcBorders>
              <w:bottom w:val="single" w:sz="8" w:color="CCEEFF"/>
            </w:tcBorders>
            <w:shd w:val="clear" w:color="auto" w:fill="CCEEFF"/>
          </w:tcPr>
          <w:p>
            <w:pPr>
              <w:spacing w:after="0"/>
              <w:rPr>
                <w:sz w:val="22"/>
                <w:szCs w:val="22"/>
                <w:color w:val="auto"/>
              </w:rPr>
            </w:pPr>
          </w:p>
        </w:tc>
        <w:tc>
          <w:tcPr>
            <w:tcW w:w="380" w:type="dxa"/>
            <w:vAlign w:val="bottom"/>
            <w:tcBorders>
              <w:bottom w:val="single" w:sz="8" w:color="CCEEFF"/>
            </w:tcBorders>
            <w:shd w:val="clear" w:color="auto" w:fill="CCEEFF"/>
          </w:tcPr>
          <w:p>
            <w:pPr>
              <w:spacing w:after="0"/>
              <w:rPr>
                <w:sz w:val="22"/>
                <w:szCs w:val="22"/>
                <w:color w:val="auto"/>
              </w:rPr>
            </w:pPr>
          </w:p>
        </w:tc>
        <w:tc>
          <w:tcPr>
            <w:tcW w:w="104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4,366,210</w:t>
            </w:r>
          </w:p>
        </w:tc>
        <w:tc>
          <w:tcPr>
            <w:tcW w:w="220" w:type="dxa"/>
            <w:vAlign w:val="bottom"/>
            <w:tcBorders>
              <w:bottom w:val="single" w:sz="8" w:color="CCEEFF"/>
            </w:tcBorders>
            <w:shd w:val="clear" w:color="auto" w:fill="CCEEFF"/>
          </w:tcPr>
          <w:p>
            <w:pPr>
              <w:spacing w:after="0"/>
              <w:rPr>
                <w:sz w:val="22"/>
                <w:szCs w:val="22"/>
                <w:color w:val="auto"/>
              </w:rPr>
            </w:pPr>
          </w:p>
        </w:tc>
        <w:tc>
          <w:tcPr>
            <w:tcW w:w="300" w:type="dxa"/>
            <w:vAlign w:val="bottom"/>
            <w:tcBorders>
              <w:bottom w:val="single" w:sz="8" w:color="CCEEFF"/>
            </w:tcBorders>
            <w:shd w:val="clear" w:color="auto" w:fill="CCEEFF"/>
          </w:tcPr>
          <w:p>
            <w:pPr>
              <w:spacing w:after="0"/>
              <w:rPr>
                <w:sz w:val="22"/>
                <w:szCs w:val="22"/>
                <w:color w:val="auto"/>
              </w:rPr>
            </w:pPr>
          </w:p>
        </w:tc>
        <w:tc>
          <w:tcPr>
            <w:tcW w:w="110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10,698,586</w:t>
            </w:r>
          </w:p>
        </w:tc>
        <w:tc>
          <w:tcPr>
            <w:tcW w:w="220" w:type="dxa"/>
            <w:vAlign w:val="bottom"/>
            <w:tcBorders>
              <w:bottom w:val="single" w:sz="8" w:color="CCEEFF"/>
            </w:tcBorders>
            <w:shd w:val="clear" w:color="auto" w:fill="CCEEFF"/>
          </w:tcPr>
          <w:p>
            <w:pPr>
              <w:spacing w:after="0"/>
              <w:rPr>
                <w:sz w:val="22"/>
                <w:szCs w:val="22"/>
                <w:color w:val="auto"/>
              </w:rPr>
            </w:pPr>
          </w:p>
        </w:tc>
        <w:tc>
          <w:tcPr>
            <w:tcW w:w="380" w:type="dxa"/>
            <w:vAlign w:val="bottom"/>
            <w:tcBorders>
              <w:bottom w:val="single" w:sz="8" w:color="CCEEFF"/>
            </w:tcBorders>
            <w:shd w:val="clear" w:color="auto" w:fill="CCEEFF"/>
          </w:tcPr>
          <w:p>
            <w:pPr>
              <w:spacing w:after="0"/>
              <w:rPr>
                <w:sz w:val="22"/>
                <w:szCs w:val="22"/>
                <w:color w:val="auto"/>
              </w:rPr>
            </w:pPr>
          </w:p>
        </w:tc>
        <w:tc>
          <w:tcPr>
            <w:tcW w:w="104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8,242,593</w:t>
            </w:r>
          </w:p>
        </w:tc>
        <w:tc>
          <w:tcPr>
            <w:tcW w:w="0" w:type="dxa"/>
            <w:vAlign w:val="bottom"/>
          </w:tcPr>
          <w:p>
            <w:pPr>
              <w:spacing w:after="0"/>
              <w:rPr>
                <w:sz w:val="1"/>
                <w:szCs w:val="1"/>
                <w:color w:val="auto"/>
              </w:rPr>
            </w:pPr>
          </w:p>
        </w:tc>
      </w:tr>
      <w:tr>
        <w:trPr>
          <w:trHeight w:val="223"/>
        </w:trPr>
        <w:tc>
          <w:tcPr>
            <w:tcW w:w="4580" w:type="dxa"/>
            <w:vAlign w:val="bottom"/>
          </w:tcPr>
          <w:p>
            <w:pPr>
              <w:ind w:left="40"/>
              <w:spacing w:after="0"/>
              <w:rPr>
                <w:sz w:val="20"/>
                <w:szCs w:val="20"/>
                <w:color w:val="auto"/>
              </w:rPr>
            </w:pPr>
            <w:r>
              <w:rPr>
                <w:rFonts w:ascii="Arial" w:cs="Arial" w:eastAsia="Arial" w:hAnsi="Arial"/>
                <w:sz w:val="18"/>
                <w:szCs w:val="18"/>
                <w:color w:val="auto"/>
              </w:rPr>
              <w:t>Operating expense:</w:t>
            </w:r>
          </w:p>
        </w:tc>
        <w:tc>
          <w:tcPr>
            <w:tcW w:w="320" w:type="dxa"/>
            <w:vAlign w:val="bottom"/>
            <w:tcBorders>
              <w:top w:val="single" w:sz="8" w:color="auto"/>
            </w:tcBorders>
          </w:tcPr>
          <w:p>
            <w:pPr>
              <w:spacing w:after="0"/>
              <w:rPr>
                <w:sz w:val="19"/>
                <w:szCs w:val="19"/>
                <w:color w:val="auto"/>
              </w:rPr>
            </w:pPr>
          </w:p>
        </w:tc>
        <w:tc>
          <w:tcPr>
            <w:tcW w:w="1100" w:type="dxa"/>
            <w:vAlign w:val="bottom"/>
            <w:tcBorders>
              <w:top w:val="single" w:sz="8" w:color="auto"/>
            </w:tcBorders>
          </w:tcPr>
          <w:p>
            <w:pPr>
              <w:spacing w:after="0"/>
              <w:rPr>
                <w:sz w:val="19"/>
                <w:szCs w:val="19"/>
                <w:color w:val="auto"/>
              </w:rPr>
            </w:pPr>
          </w:p>
        </w:tc>
        <w:tc>
          <w:tcPr>
            <w:tcW w:w="220" w:type="dxa"/>
            <w:vAlign w:val="bottom"/>
          </w:tcPr>
          <w:p>
            <w:pPr>
              <w:spacing w:after="0"/>
              <w:rPr>
                <w:sz w:val="19"/>
                <w:szCs w:val="19"/>
                <w:color w:val="auto"/>
              </w:rPr>
            </w:pPr>
          </w:p>
        </w:tc>
        <w:tc>
          <w:tcPr>
            <w:tcW w:w="380" w:type="dxa"/>
            <w:vAlign w:val="bottom"/>
            <w:tcBorders>
              <w:top w:val="single" w:sz="8" w:color="auto"/>
            </w:tcBorders>
          </w:tcPr>
          <w:p>
            <w:pPr>
              <w:spacing w:after="0"/>
              <w:rPr>
                <w:sz w:val="19"/>
                <w:szCs w:val="19"/>
                <w:color w:val="auto"/>
              </w:rPr>
            </w:pPr>
          </w:p>
        </w:tc>
        <w:tc>
          <w:tcPr>
            <w:tcW w:w="1040" w:type="dxa"/>
            <w:vAlign w:val="bottom"/>
            <w:tcBorders>
              <w:top w:val="single" w:sz="8" w:color="auto"/>
            </w:tcBorders>
          </w:tcPr>
          <w:p>
            <w:pPr>
              <w:spacing w:after="0"/>
              <w:rPr>
                <w:sz w:val="19"/>
                <w:szCs w:val="19"/>
                <w:color w:val="auto"/>
              </w:rPr>
            </w:pPr>
          </w:p>
        </w:tc>
        <w:tc>
          <w:tcPr>
            <w:tcW w:w="220" w:type="dxa"/>
            <w:vAlign w:val="bottom"/>
          </w:tcPr>
          <w:p>
            <w:pPr>
              <w:spacing w:after="0"/>
              <w:rPr>
                <w:sz w:val="19"/>
                <w:szCs w:val="19"/>
                <w:color w:val="auto"/>
              </w:rPr>
            </w:pPr>
          </w:p>
        </w:tc>
        <w:tc>
          <w:tcPr>
            <w:tcW w:w="300" w:type="dxa"/>
            <w:vAlign w:val="bottom"/>
            <w:tcBorders>
              <w:top w:val="single" w:sz="8" w:color="auto"/>
            </w:tcBorders>
          </w:tcPr>
          <w:p>
            <w:pPr>
              <w:spacing w:after="0"/>
              <w:rPr>
                <w:sz w:val="19"/>
                <w:szCs w:val="19"/>
                <w:color w:val="auto"/>
              </w:rPr>
            </w:pPr>
          </w:p>
        </w:tc>
        <w:tc>
          <w:tcPr>
            <w:tcW w:w="1100" w:type="dxa"/>
            <w:vAlign w:val="bottom"/>
            <w:tcBorders>
              <w:top w:val="single" w:sz="8" w:color="auto"/>
            </w:tcBorders>
          </w:tcPr>
          <w:p>
            <w:pPr>
              <w:spacing w:after="0"/>
              <w:rPr>
                <w:sz w:val="19"/>
                <w:szCs w:val="19"/>
                <w:color w:val="auto"/>
              </w:rPr>
            </w:pPr>
          </w:p>
        </w:tc>
        <w:tc>
          <w:tcPr>
            <w:tcW w:w="220" w:type="dxa"/>
            <w:vAlign w:val="bottom"/>
          </w:tcPr>
          <w:p>
            <w:pPr>
              <w:spacing w:after="0"/>
              <w:rPr>
                <w:sz w:val="19"/>
                <w:szCs w:val="19"/>
                <w:color w:val="auto"/>
              </w:rPr>
            </w:pPr>
          </w:p>
        </w:tc>
        <w:tc>
          <w:tcPr>
            <w:tcW w:w="380" w:type="dxa"/>
            <w:vAlign w:val="bottom"/>
            <w:tcBorders>
              <w:top w:val="single" w:sz="8" w:color="auto"/>
            </w:tcBorders>
          </w:tcPr>
          <w:p>
            <w:pPr>
              <w:spacing w:after="0"/>
              <w:rPr>
                <w:sz w:val="19"/>
                <w:szCs w:val="19"/>
                <w:color w:val="auto"/>
              </w:rPr>
            </w:pPr>
          </w:p>
        </w:tc>
        <w:tc>
          <w:tcPr>
            <w:tcW w:w="1040" w:type="dxa"/>
            <w:vAlign w:val="bottom"/>
            <w:tcBorders>
              <w:top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41"/>
        </w:trPr>
        <w:tc>
          <w:tcPr>
            <w:tcW w:w="4580" w:type="dxa"/>
            <w:vAlign w:val="bottom"/>
          </w:tcPr>
          <w:p>
            <w:pPr>
              <w:spacing w:after="0"/>
              <w:rPr>
                <w:sz w:val="3"/>
                <w:szCs w:val="3"/>
                <w:color w:val="auto"/>
              </w:rPr>
            </w:pPr>
          </w:p>
        </w:tc>
        <w:tc>
          <w:tcPr>
            <w:tcW w:w="320" w:type="dxa"/>
            <w:vAlign w:val="bottom"/>
          </w:tcPr>
          <w:p>
            <w:pPr>
              <w:spacing w:after="0"/>
              <w:rPr>
                <w:sz w:val="3"/>
                <w:szCs w:val="3"/>
                <w:color w:val="auto"/>
              </w:rPr>
            </w:pPr>
          </w:p>
        </w:tc>
        <w:tc>
          <w:tcPr>
            <w:tcW w:w="1100" w:type="dxa"/>
            <w:vAlign w:val="bottom"/>
          </w:tcPr>
          <w:p>
            <w:pPr>
              <w:spacing w:after="0"/>
              <w:rPr>
                <w:sz w:val="3"/>
                <w:szCs w:val="3"/>
                <w:color w:val="auto"/>
              </w:rPr>
            </w:pPr>
          </w:p>
        </w:tc>
        <w:tc>
          <w:tcPr>
            <w:tcW w:w="220" w:type="dxa"/>
            <w:vAlign w:val="bottom"/>
          </w:tcPr>
          <w:p>
            <w:pPr>
              <w:spacing w:after="0"/>
              <w:rPr>
                <w:sz w:val="3"/>
                <w:szCs w:val="3"/>
                <w:color w:val="auto"/>
              </w:rPr>
            </w:pPr>
          </w:p>
        </w:tc>
        <w:tc>
          <w:tcPr>
            <w:tcW w:w="380" w:type="dxa"/>
            <w:vAlign w:val="bottom"/>
          </w:tcPr>
          <w:p>
            <w:pPr>
              <w:spacing w:after="0"/>
              <w:rPr>
                <w:sz w:val="3"/>
                <w:szCs w:val="3"/>
                <w:color w:val="auto"/>
              </w:rPr>
            </w:pPr>
          </w:p>
        </w:tc>
        <w:tc>
          <w:tcPr>
            <w:tcW w:w="1040" w:type="dxa"/>
            <w:vAlign w:val="bottom"/>
          </w:tcPr>
          <w:p>
            <w:pPr>
              <w:spacing w:after="0"/>
              <w:rPr>
                <w:sz w:val="3"/>
                <w:szCs w:val="3"/>
                <w:color w:val="auto"/>
              </w:rPr>
            </w:pPr>
          </w:p>
        </w:tc>
        <w:tc>
          <w:tcPr>
            <w:tcW w:w="220" w:type="dxa"/>
            <w:vAlign w:val="bottom"/>
          </w:tcPr>
          <w:p>
            <w:pPr>
              <w:spacing w:after="0"/>
              <w:rPr>
                <w:sz w:val="3"/>
                <w:szCs w:val="3"/>
                <w:color w:val="auto"/>
              </w:rPr>
            </w:pPr>
          </w:p>
        </w:tc>
        <w:tc>
          <w:tcPr>
            <w:tcW w:w="300" w:type="dxa"/>
            <w:vAlign w:val="bottom"/>
          </w:tcPr>
          <w:p>
            <w:pPr>
              <w:spacing w:after="0"/>
              <w:rPr>
                <w:sz w:val="3"/>
                <w:szCs w:val="3"/>
                <w:color w:val="auto"/>
              </w:rPr>
            </w:pPr>
          </w:p>
        </w:tc>
        <w:tc>
          <w:tcPr>
            <w:tcW w:w="1100" w:type="dxa"/>
            <w:vAlign w:val="bottom"/>
          </w:tcPr>
          <w:p>
            <w:pPr>
              <w:spacing w:after="0"/>
              <w:rPr>
                <w:sz w:val="3"/>
                <w:szCs w:val="3"/>
                <w:color w:val="auto"/>
              </w:rPr>
            </w:pPr>
          </w:p>
        </w:tc>
        <w:tc>
          <w:tcPr>
            <w:tcW w:w="220" w:type="dxa"/>
            <w:vAlign w:val="bottom"/>
          </w:tcPr>
          <w:p>
            <w:pPr>
              <w:spacing w:after="0"/>
              <w:rPr>
                <w:sz w:val="3"/>
                <w:szCs w:val="3"/>
                <w:color w:val="auto"/>
              </w:rPr>
            </w:pPr>
          </w:p>
        </w:tc>
        <w:tc>
          <w:tcPr>
            <w:tcW w:w="380" w:type="dxa"/>
            <w:vAlign w:val="bottom"/>
          </w:tcPr>
          <w:p>
            <w:pPr>
              <w:spacing w:after="0"/>
              <w:rPr>
                <w:sz w:val="3"/>
                <w:szCs w:val="3"/>
                <w:color w:val="auto"/>
              </w:rPr>
            </w:pPr>
          </w:p>
        </w:tc>
        <w:tc>
          <w:tcPr>
            <w:tcW w:w="10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50"/>
        </w:trPr>
        <w:tc>
          <w:tcPr>
            <w:tcW w:w="4580" w:type="dxa"/>
            <w:vAlign w:val="bottom"/>
            <w:tcBorders>
              <w:bottom w:val="single" w:sz="8" w:color="CCEEFF"/>
            </w:tcBorders>
            <w:shd w:val="clear" w:color="auto" w:fill="CCEEFF"/>
          </w:tcPr>
          <w:p>
            <w:pPr>
              <w:ind w:left="160"/>
              <w:spacing w:after="0"/>
              <w:rPr>
                <w:sz w:val="20"/>
                <w:szCs w:val="20"/>
                <w:color w:val="auto"/>
              </w:rPr>
            </w:pPr>
            <w:r>
              <w:rPr>
                <w:rFonts w:ascii="Arial" w:cs="Arial" w:eastAsia="Arial" w:hAnsi="Arial"/>
                <w:sz w:val="18"/>
                <w:szCs w:val="18"/>
                <w:color w:val="auto"/>
              </w:rPr>
              <w:t>Selling, general and administrative</w:t>
            </w:r>
          </w:p>
        </w:tc>
        <w:tc>
          <w:tcPr>
            <w:tcW w:w="32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3,767,456</w:t>
            </w:r>
          </w:p>
        </w:tc>
        <w:tc>
          <w:tcPr>
            <w:tcW w:w="220" w:type="dxa"/>
            <w:vAlign w:val="bottom"/>
            <w:tcBorders>
              <w:bottom w:val="single" w:sz="8" w:color="CCEEFF"/>
            </w:tcBorders>
            <w:shd w:val="clear" w:color="auto" w:fill="CCEEFF"/>
          </w:tcPr>
          <w:p>
            <w:pPr>
              <w:spacing w:after="0"/>
              <w:rPr>
                <w:sz w:val="21"/>
                <w:szCs w:val="21"/>
                <w:color w:val="auto"/>
              </w:rPr>
            </w:pPr>
          </w:p>
        </w:tc>
        <w:tc>
          <w:tcPr>
            <w:tcW w:w="38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3,367,716</w:t>
            </w:r>
          </w:p>
        </w:tc>
        <w:tc>
          <w:tcPr>
            <w:tcW w:w="22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7,577,072</w:t>
            </w:r>
          </w:p>
        </w:tc>
        <w:tc>
          <w:tcPr>
            <w:tcW w:w="220" w:type="dxa"/>
            <w:vAlign w:val="bottom"/>
            <w:tcBorders>
              <w:bottom w:val="single" w:sz="8" w:color="CCEEFF"/>
            </w:tcBorders>
            <w:shd w:val="clear" w:color="auto" w:fill="CCEEFF"/>
          </w:tcPr>
          <w:p>
            <w:pPr>
              <w:spacing w:after="0"/>
              <w:rPr>
                <w:sz w:val="21"/>
                <w:szCs w:val="21"/>
                <w:color w:val="auto"/>
              </w:rPr>
            </w:pPr>
          </w:p>
        </w:tc>
        <w:tc>
          <w:tcPr>
            <w:tcW w:w="38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7,089,889</w:t>
            </w:r>
          </w:p>
        </w:tc>
        <w:tc>
          <w:tcPr>
            <w:tcW w:w="0" w:type="dxa"/>
            <w:vAlign w:val="bottom"/>
          </w:tcPr>
          <w:p>
            <w:pPr>
              <w:spacing w:after="0"/>
              <w:rPr>
                <w:sz w:val="1"/>
                <w:szCs w:val="1"/>
                <w:color w:val="auto"/>
              </w:rPr>
            </w:pPr>
          </w:p>
        </w:tc>
      </w:tr>
      <w:tr>
        <w:trPr>
          <w:trHeight w:val="243"/>
        </w:trPr>
        <w:tc>
          <w:tcPr>
            <w:tcW w:w="4580" w:type="dxa"/>
            <w:vAlign w:val="bottom"/>
          </w:tcPr>
          <w:p>
            <w:pPr>
              <w:ind w:left="160"/>
              <w:spacing w:after="0"/>
              <w:rPr>
                <w:sz w:val="20"/>
                <w:szCs w:val="20"/>
                <w:color w:val="auto"/>
              </w:rPr>
            </w:pPr>
            <w:r>
              <w:rPr>
                <w:rFonts w:ascii="Arial" w:cs="Arial" w:eastAsia="Arial" w:hAnsi="Arial"/>
                <w:sz w:val="18"/>
                <w:szCs w:val="18"/>
                <w:color w:val="auto"/>
              </w:rPr>
              <w:t>Research, development and engineering</w:t>
            </w:r>
          </w:p>
        </w:tc>
        <w:tc>
          <w:tcPr>
            <w:tcW w:w="320" w:type="dxa"/>
            <w:vAlign w:val="bottom"/>
          </w:tcPr>
          <w:p>
            <w:pPr>
              <w:spacing w:after="0"/>
              <w:rPr>
                <w:sz w:val="21"/>
                <w:szCs w:val="21"/>
                <w:color w:val="auto"/>
              </w:rPr>
            </w:pPr>
          </w:p>
        </w:tc>
        <w:tc>
          <w:tcPr>
            <w:tcW w:w="1100" w:type="dxa"/>
            <w:vAlign w:val="bottom"/>
          </w:tcPr>
          <w:p>
            <w:pPr>
              <w:jc w:val="right"/>
              <w:ind w:right="12"/>
              <w:spacing w:after="0"/>
              <w:rPr>
                <w:sz w:val="20"/>
                <w:szCs w:val="20"/>
                <w:color w:val="auto"/>
              </w:rPr>
            </w:pPr>
            <w:r>
              <w:rPr>
                <w:rFonts w:ascii="Arial" w:cs="Arial" w:eastAsia="Arial" w:hAnsi="Arial"/>
                <w:sz w:val="18"/>
                <w:szCs w:val="18"/>
                <w:color w:val="auto"/>
              </w:rPr>
              <w:t>1,003,863</w:t>
            </w:r>
          </w:p>
        </w:tc>
        <w:tc>
          <w:tcPr>
            <w:tcW w:w="22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1040" w:type="dxa"/>
            <w:vAlign w:val="bottom"/>
          </w:tcPr>
          <w:p>
            <w:pPr>
              <w:jc w:val="right"/>
              <w:ind w:right="31"/>
              <w:spacing w:after="0"/>
              <w:rPr>
                <w:sz w:val="20"/>
                <w:szCs w:val="20"/>
                <w:color w:val="auto"/>
              </w:rPr>
            </w:pPr>
            <w:r>
              <w:rPr>
                <w:rFonts w:ascii="Arial" w:cs="Arial" w:eastAsia="Arial" w:hAnsi="Arial"/>
                <w:sz w:val="18"/>
                <w:szCs w:val="18"/>
                <w:color w:val="auto"/>
              </w:rPr>
              <w:t>818,891</w:t>
            </w:r>
          </w:p>
        </w:tc>
        <w:tc>
          <w:tcPr>
            <w:tcW w:w="22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100" w:type="dxa"/>
            <w:vAlign w:val="bottom"/>
          </w:tcPr>
          <w:p>
            <w:pPr>
              <w:jc w:val="right"/>
              <w:ind w:right="12"/>
              <w:spacing w:after="0"/>
              <w:rPr>
                <w:sz w:val="20"/>
                <w:szCs w:val="20"/>
                <w:color w:val="auto"/>
              </w:rPr>
            </w:pPr>
            <w:r>
              <w:rPr>
                <w:rFonts w:ascii="Arial" w:cs="Arial" w:eastAsia="Arial" w:hAnsi="Arial"/>
                <w:sz w:val="18"/>
                <w:szCs w:val="18"/>
                <w:color w:val="auto"/>
              </w:rPr>
              <w:t>2,105,352</w:t>
            </w:r>
          </w:p>
        </w:tc>
        <w:tc>
          <w:tcPr>
            <w:tcW w:w="22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1040" w:type="dxa"/>
            <w:vAlign w:val="bottom"/>
          </w:tcPr>
          <w:p>
            <w:pPr>
              <w:jc w:val="right"/>
              <w:ind w:right="11"/>
              <w:spacing w:after="0"/>
              <w:rPr>
                <w:sz w:val="20"/>
                <w:szCs w:val="20"/>
                <w:color w:val="auto"/>
              </w:rPr>
            </w:pPr>
            <w:r>
              <w:rPr>
                <w:rFonts w:ascii="Arial" w:cs="Arial" w:eastAsia="Arial" w:hAnsi="Arial"/>
                <w:sz w:val="18"/>
                <w:szCs w:val="18"/>
                <w:color w:val="auto"/>
              </w:rPr>
              <w:t>1,747,662</w:t>
            </w:r>
          </w:p>
        </w:tc>
        <w:tc>
          <w:tcPr>
            <w:tcW w:w="0" w:type="dxa"/>
            <w:vAlign w:val="bottom"/>
          </w:tcPr>
          <w:p>
            <w:pPr>
              <w:spacing w:after="0"/>
              <w:rPr>
                <w:sz w:val="1"/>
                <w:szCs w:val="1"/>
                <w:color w:val="auto"/>
              </w:rPr>
            </w:pPr>
          </w:p>
        </w:tc>
      </w:tr>
      <w:tr>
        <w:trPr>
          <w:trHeight w:val="27"/>
        </w:trPr>
        <w:tc>
          <w:tcPr>
            <w:tcW w:w="4580" w:type="dxa"/>
            <w:vAlign w:val="bottom"/>
            <w:tcBorders>
              <w:bottom w:val="single" w:sz="8" w:color="CCEEFF"/>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220" w:type="dxa"/>
            <w:vAlign w:val="bottom"/>
            <w:tcBorders>
              <w:bottom w:val="single" w:sz="8" w:color="CCEEFF"/>
            </w:tcBorders>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22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220" w:type="dxa"/>
            <w:vAlign w:val="bottom"/>
            <w:tcBorders>
              <w:bottom w:val="single" w:sz="8" w:color="CCEEFF"/>
            </w:tcBorders>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4"/>
        </w:trPr>
        <w:tc>
          <w:tcPr>
            <w:tcW w:w="4580" w:type="dxa"/>
            <w:vAlign w:val="bottom"/>
            <w:tcBorders>
              <w:bottom w:val="single" w:sz="8" w:color="CCEEFF"/>
            </w:tcBorders>
            <w:shd w:val="clear" w:color="auto" w:fill="CCEEFF"/>
          </w:tcPr>
          <w:p>
            <w:pPr>
              <w:ind w:left="340"/>
              <w:spacing w:after="0"/>
              <w:rPr>
                <w:sz w:val="20"/>
                <w:szCs w:val="20"/>
                <w:color w:val="auto"/>
              </w:rPr>
            </w:pPr>
            <w:r>
              <w:rPr>
                <w:rFonts w:ascii="Arial" w:cs="Arial" w:eastAsia="Arial" w:hAnsi="Arial"/>
                <w:sz w:val="18"/>
                <w:szCs w:val="18"/>
                <w:color w:val="auto"/>
              </w:rPr>
              <w:t>Total operating expense</w:t>
            </w:r>
          </w:p>
        </w:tc>
        <w:tc>
          <w:tcPr>
            <w:tcW w:w="320" w:type="dxa"/>
            <w:vAlign w:val="bottom"/>
            <w:tcBorders>
              <w:bottom w:val="single" w:sz="8" w:color="CCEEFF"/>
            </w:tcBorders>
            <w:shd w:val="clear" w:color="auto" w:fill="CCEEFF"/>
          </w:tcPr>
          <w:p>
            <w:pPr>
              <w:spacing w:after="0"/>
              <w:rPr>
                <w:sz w:val="22"/>
                <w:szCs w:val="22"/>
                <w:color w:val="auto"/>
              </w:rPr>
            </w:pPr>
          </w:p>
        </w:tc>
        <w:tc>
          <w:tcPr>
            <w:tcW w:w="110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4,771,319</w:t>
            </w:r>
          </w:p>
        </w:tc>
        <w:tc>
          <w:tcPr>
            <w:tcW w:w="220" w:type="dxa"/>
            <w:vAlign w:val="bottom"/>
            <w:tcBorders>
              <w:bottom w:val="single" w:sz="8" w:color="CCEEFF"/>
            </w:tcBorders>
            <w:shd w:val="clear" w:color="auto" w:fill="CCEEFF"/>
          </w:tcPr>
          <w:p>
            <w:pPr>
              <w:spacing w:after="0"/>
              <w:rPr>
                <w:sz w:val="22"/>
                <w:szCs w:val="22"/>
                <w:color w:val="auto"/>
              </w:rPr>
            </w:pPr>
          </w:p>
        </w:tc>
        <w:tc>
          <w:tcPr>
            <w:tcW w:w="380" w:type="dxa"/>
            <w:vAlign w:val="bottom"/>
            <w:tcBorders>
              <w:bottom w:val="single" w:sz="8" w:color="CCEEFF"/>
            </w:tcBorders>
            <w:shd w:val="clear" w:color="auto" w:fill="CCEEFF"/>
          </w:tcPr>
          <w:p>
            <w:pPr>
              <w:spacing w:after="0"/>
              <w:rPr>
                <w:sz w:val="22"/>
                <w:szCs w:val="22"/>
                <w:color w:val="auto"/>
              </w:rPr>
            </w:pPr>
          </w:p>
        </w:tc>
        <w:tc>
          <w:tcPr>
            <w:tcW w:w="104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4,186,607</w:t>
            </w:r>
          </w:p>
        </w:tc>
        <w:tc>
          <w:tcPr>
            <w:tcW w:w="220" w:type="dxa"/>
            <w:vAlign w:val="bottom"/>
            <w:tcBorders>
              <w:bottom w:val="single" w:sz="8" w:color="CCEEFF"/>
            </w:tcBorders>
            <w:shd w:val="clear" w:color="auto" w:fill="CCEEFF"/>
          </w:tcPr>
          <w:p>
            <w:pPr>
              <w:spacing w:after="0"/>
              <w:rPr>
                <w:sz w:val="22"/>
                <w:szCs w:val="22"/>
                <w:color w:val="auto"/>
              </w:rPr>
            </w:pPr>
          </w:p>
        </w:tc>
        <w:tc>
          <w:tcPr>
            <w:tcW w:w="300" w:type="dxa"/>
            <w:vAlign w:val="bottom"/>
            <w:tcBorders>
              <w:bottom w:val="single" w:sz="8" w:color="CCEEFF"/>
            </w:tcBorders>
            <w:shd w:val="clear" w:color="auto" w:fill="CCEEFF"/>
          </w:tcPr>
          <w:p>
            <w:pPr>
              <w:spacing w:after="0"/>
              <w:rPr>
                <w:sz w:val="22"/>
                <w:szCs w:val="22"/>
                <w:color w:val="auto"/>
              </w:rPr>
            </w:pPr>
          </w:p>
        </w:tc>
        <w:tc>
          <w:tcPr>
            <w:tcW w:w="110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9,682,424</w:t>
            </w:r>
          </w:p>
        </w:tc>
        <w:tc>
          <w:tcPr>
            <w:tcW w:w="220" w:type="dxa"/>
            <w:vAlign w:val="bottom"/>
            <w:tcBorders>
              <w:bottom w:val="single" w:sz="8" w:color="CCEEFF"/>
            </w:tcBorders>
            <w:shd w:val="clear" w:color="auto" w:fill="CCEEFF"/>
          </w:tcPr>
          <w:p>
            <w:pPr>
              <w:spacing w:after="0"/>
              <w:rPr>
                <w:sz w:val="22"/>
                <w:szCs w:val="22"/>
                <w:color w:val="auto"/>
              </w:rPr>
            </w:pPr>
          </w:p>
        </w:tc>
        <w:tc>
          <w:tcPr>
            <w:tcW w:w="380" w:type="dxa"/>
            <w:vAlign w:val="bottom"/>
            <w:tcBorders>
              <w:bottom w:val="single" w:sz="8" w:color="CCEEFF"/>
            </w:tcBorders>
            <w:shd w:val="clear" w:color="auto" w:fill="CCEEFF"/>
          </w:tcPr>
          <w:p>
            <w:pPr>
              <w:spacing w:after="0"/>
              <w:rPr>
                <w:sz w:val="22"/>
                <w:szCs w:val="22"/>
                <w:color w:val="auto"/>
              </w:rPr>
            </w:pPr>
          </w:p>
        </w:tc>
        <w:tc>
          <w:tcPr>
            <w:tcW w:w="104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8,837,551</w:t>
            </w:r>
          </w:p>
        </w:tc>
        <w:tc>
          <w:tcPr>
            <w:tcW w:w="0" w:type="dxa"/>
            <w:vAlign w:val="bottom"/>
          </w:tcPr>
          <w:p>
            <w:pPr>
              <w:spacing w:after="0"/>
              <w:rPr>
                <w:sz w:val="1"/>
                <w:szCs w:val="1"/>
                <w:color w:val="auto"/>
              </w:rPr>
            </w:pPr>
          </w:p>
        </w:tc>
      </w:tr>
      <w:tr>
        <w:trPr>
          <w:trHeight w:val="237"/>
        </w:trPr>
        <w:tc>
          <w:tcPr>
            <w:tcW w:w="4580" w:type="dxa"/>
            <w:vAlign w:val="bottom"/>
          </w:tcPr>
          <w:p>
            <w:pPr>
              <w:ind w:left="40"/>
              <w:spacing w:after="0"/>
              <w:rPr>
                <w:sz w:val="20"/>
                <w:szCs w:val="20"/>
                <w:color w:val="auto"/>
              </w:rPr>
            </w:pPr>
            <w:r>
              <w:rPr>
                <w:rFonts w:ascii="Arial" w:cs="Arial" w:eastAsia="Arial" w:hAnsi="Arial"/>
                <w:sz w:val="18"/>
                <w:szCs w:val="18"/>
                <w:color w:val="auto"/>
              </w:rPr>
              <w:t>Operating income/(loss)</w:t>
            </w:r>
          </w:p>
        </w:tc>
        <w:tc>
          <w:tcPr>
            <w:tcW w:w="320" w:type="dxa"/>
            <w:vAlign w:val="bottom"/>
            <w:tcBorders>
              <w:top w:val="single" w:sz="8" w:color="auto"/>
            </w:tcBorders>
          </w:tcPr>
          <w:p>
            <w:pPr>
              <w:spacing w:after="0"/>
              <w:rPr>
                <w:sz w:val="20"/>
                <w:szCs w:val="20"/>
                <w:color w:val="auto"/>
              </w:rPr>
            </w:pPr>
          </w:p>
        </w:tc>
        <w:tc>
          <w:tcPr>
            <w:tcW w:w="1100" w:type="dxa"/>
            <w:vAlign w:val="bottom"/>
            <w:tcBorders>
              <w:top w:val="single" w:sz="8" w:color="auto"/>
            </w:tcBorders>
          </w:tcPr>
          <w:p>
            <w:pPr>
              <w:jc w:val="right"/>
              <w:ind w:right="12"/>
              <w:spacing w:after="0"/>
              <w:rPr>
                <w:sz w:val="20"/>
                <w:szCs w:val="20"/>
                <w:color w:val="auto"/>
              </w:rPr>
            </w:pPr>
            <w:r>
              <w:rPr>
                <w:rFonts w:ascii="Arial" w:cs="Arial" w:eastAsia="Arial" w:hAnsi="Arial"/>
                <w:sz w:val="18"/>
                <w:szCs w:val="18"/>
                <w:color w:val="auto"/>
              </w:rPr>
              <w:t>901,149</w:t>
            </w:r>
          </w:p>
        </w:tc>
        <w:tc>
          <w:tcPr>
            <w:tcW w:w="220" w:type="dxa"/>
            <w:vAlign w:val="bottom"/>
          </w:tcPr>
          <w:p>
            <w:pPr>
              <w:spacing w:after="0"/>
              <w:rPr>
                <w:sz w:val="20"/>
                <w:szCs w:val="20"/>
                <w:color w:val="auto"/>
              </w:rPr>
            </w:pPr>
          </w:p>
        </w:tc>
        <w:tc>
          <w:tcPr>
            <w:tcW w:w="380" w:type="dxa"/>
            <w:vAlign w:val="bottom"/>
            <w:tcBorders>
              <w:top w:val="single" w:sz="8" w:color="auto"/>
            </w:tcBorders>
          </w:tcPr>
          <w:p>
            <w:pPr>
              <w:spacing w:after="0"/>
              <w:rPr>
                <w:sz w:val="20"/>
                <w:szCs w:val="20"/>
                <w:color w:val="auto"/>
              </w:rPr>
            </w:pPr>
          </w:p>
        </w:tc>
        <w:tc>
          <w:tcPr>
            <w:tcW w:w="1040" w:type="dxa"/>
            <w:vAlign w:val="bottom"/>
            <w:tcBorders>
              <w:top w:val="single" w:sz="8" w:color="auto"/>
            </w:tcBorders>
          </w:tcPr>
          <w:p>
            <w:pPr>
              <w:jc w:val="right"/>
              <w:ind w:right="31"/>
              <w:spacing w:after="0"/>
              <w:rPr>
                <w:sz w:val="20"/>
                <w:szCs w:val="20"/>
                <w:color w:val="auto"/>
              </w:rPr>
            </w:pPr>
            <w:r>
              <w:rPr>
                <w:rFonts w:ascii="Arial" w:cs="Arial" w:eastAsia="Arial" w:hAnsi="Arial"/>
                <w:sz w:val="18"/>
                <w:szCs w:val="18"/>
                <w:color w:val="auto"/>
              </w:rPr>
              <w:t>179,603</w:t>
            </w:r>
          </w:p>
        </w:tc>
        <w:tc>
          <w:tcPr>
            <w:tcW w:w="220" w:type="dxa"/>
            <w:vAlign w:val="bottom"/>
          </w:tcPr>
          <w:p>
            <w:pPr>
              <w:spacing w:after="0"/>
              <w:rPr>
                <w:sz w:val="20"/>
                <w:szCs w:val="20"/>
                <w:color w:val="auto"/>
              </w:rPr>
            </w:pPr>
          </w:p>
        </w:tc>
        <w:tc>
          <w:tcPr>
            <w:tcW w:w="300" w:type="dxa"/>
            <w:vAlign w:val="bottom"/>
            <w:tcBorders>
              <w:top w:val="single" w:sz="8" w:color="auto"/>
            </w:tcBorders>
          </w:tcPr>
          <w:p>
            <w:pPr>
              <w:spacing w:after="0"/>
              <w:rPr>
                <w:sz w:val="20"/>
                <w:szCs w:val="20"/>
                <w:color w:val="auto"/>
              </w:rPr>
            </w:pPr>
          </w:p>
        </w:tc>
        <w:tc>
          <w:tcPr>
            <w:tcW w:w="1100" w:type="dxa"/>
            <w:vAlign w:val="bottom"/>
            <w:tcBorders>
              <w:top w:val="single" w:sz="8" w:color="auto"/>
            </w:tcBorders>
          </w:tcPr>
          <w:p>
            <w:pPr>
              <w:jc w:val="right"/>
              <w:ind w:right="12"/>
              <w:spacing w:after="0"/>
              <w:rPr>
                <w:sz w:val="20"/>
                <w:szCs w:val="20"/>
                <w:color w:val="auto"/>
              </w:rPr>
            </w:pPr>
            <w:r>
              <w:rPr>
                <w:rFonts w:ascii="Arial" w:cs="Arial" w:eastAsia="Arial" w:hAnsi="Arial"/>
                <w:sz w:val="18"/>
                <w:szCs w:val="18"/>
                <w:color w:val="auto"/>
              </w:rPr>
              <w:t>1,016,162</w:t>
            </w:r>
          </w:p>
        </w:tc>
        <w:tc>
          <w:tcPr>
            <w:tcW w:w="220" w:type="dxa"/>
            <w:vAlign w:val="bottom"/>
          </w:tcPr>
          <w:p>
            <w:pPr>
              <w:spacing w:after="0"/>
              <w:rPr>
                <w:sz w:val="20"/>
                <w:szCs w:val="20"/>
                <w:color w:val="auto"/>
              </w:rPr>
            </w:pPr>
          </w:p>
        </w:tc>
        <w:tc>
          <w:tcPr>
            <w:tcW w:w="380" w:type="dxa"/>
            <w:vAlign w:val="bottom"/>
            <w:tcBorders>
              <w:top w:val="single" w:sz="8" w:color="auto"/>
            </w:tcBorders>
          </w:tcPr>
          <w:p>
            <w:pPr>
              <w:spacing w:after="0"/>
              <w:rPr>
                <w:sz w:val="20"/>
                <w:szCs w:val="20"/>
                <w:color w:val="auto"/>
              </w:rPr>
            </w:pPr>
          </w:p>
        </w:tc>
        <w:tc>
          <w:tcPr>
            <w:tcW w:w="10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(594,958)</w:t>
            </w:r>
          </w:p>
        </w:tc>
        <w:tc>
          <w:tcPr>
            <w:tcW w:w="0" w:type="dxa"/>
            <w:vAlign w:val="bottom"/>
          </w:tcPr>
          <w:p>
            <w:pPr>
              <w:spacing w:after="0"/>
              <w:rPr>
                <w:sz w:val="1"/>
                <w:szCs w:val="1"/>
                <w:color w:val="auto"/>
              </w:rPr>
            </w:pPr>
          </w:p>
        </w:tc>
      </w:tr>
      <w:tr>
        <w:trPr>
          <w:trHeight w:val="27"/>
        </w:trPr>
        <w:tc>
          <w:tcPr>
            <w:tcW w:w="4580" w:type="dxa"/>
            <w:vAlign w:val="bottom"/>
            <w:tcBorders>
              <w:bottom w:val="single" w:sz="8" w:color="CCEEFF"/>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220" w:type="dxa"/>
            <w:vAlign w:val="bottom"/>
            <w:tcBorders>
              <w:bottom w:val="single" w:sz="8" w:color="CCEEFF"/>
            </w:tcBorders>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22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220" w:type="dxa"/>
            <w:vAlign w:val="bottom"/>
            <w:tcBorders>
              <w:bottom w:val="single" w:sz="8" w:color="CCEEFF"/>
            </w:tcBorders>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45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Other income/(expense):</w:t>
            </w:r>
          </w:p>
        </w:tc>
        <w:tc>
          <w:tcPr>
            <w:tcW w:w="32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38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38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4580" w:type="dxa"/>
            <w:vAlign w:val="bottom"/>
          </w:tcPr>
          <w:p>
            <w:pPr>
              <w:ind w:left="160"/>
              <w:spacing w:after="0"/>
              <w:rPr>
                <w:sz w:val="20"/>
                <w:szCs w:val="20"/>
                <w:color w:val="auto"/>
              </w:rPr>
            </w:pPr>
            <w:r>
              <w:rPr>
                <w:rFonts w:ascii="Arial" w:cs="Arial" w:eastAsia="Arial" w:hAnsi="Arial"/>
                <w:sz w:val="18"/>
                <w:szCs w:val="18"/>
                <w:color w:val="auto"/>
              </w:rPr>
              <w:t>Investment income</w:t>
            </w:r>
          </w:p>
        </w:tc>
        <w:tc>
          <w:tcPr>
            <w:tcW w:w="320" w:type="dxa"/>
            <w:vAlign w:val="bottom"/>
          </w:tcPr>
          <w:p>
            <w:pPr>
              <w:spacing w:after="0"/>
              <w:rPr>
                <w:sz w:val="21"/>
                <w:szCs w:val="21"/>
                <w:color w:val="auto"/>
              </w:rPr>
            </w:pPr>
          </w:p>
        </w:tc>
        <w:tc>
          <w:tcPr>
            <w:tcW w:w="1100" w:type="dxa"/>
            <w:vAlign w:val="bottom"/>
          </w:tcPr>
          <w:p>
            <w:pPr>
              <w:jc w:val="right"/>
              <w:ind w:right="12"/>
              <w:spacing w:after="0"/>
              <w:rPr>
                <w:sz w:val="20"/>
                <w:szCs w:val="20"/>
                <w:color w:val="auto"/>
              </w:rPr>
            </w:pPr>
            <w:r>
              <w:rPr>
                <w:rFonts w:ascii="Arial" w:cs="Arial" w:eastAsia="Arial" w:hAnsi="Arial"/>
                <w:sz w:val="18"/>
                <w:szCs w:val="18"/>
                <w:color w:val="auto"/>
              </w:rPr>
              <w:t>100,846</w:t>
            </w:r>
          </w:p>
        </w:tc>
        <w:tc>
          <w:tcPr>
            <w:tcW w:w="22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1260" w:type="dxa"/>
            <w:vAlign w:val="bottom"/>
            <w:gridSpan w:val="2"/>
          </w:tcPr>
          <w:p>
            <w:pPr>
              <w:jc w:val="right"/>
              <w:ind w:right="340"/>
              <w:spacing w:after="0"/>
              <w:rPr>
                <w:sz w:val="20"/>
                <w:szCs w:val="20"/>
                <w:color w:val="auto"/>
              </w:rPr>
            </w:pPr>
            <w:r>
              <w:rPr>
                <w:rFonts w:ascii="Arial" w:cs="Arial" w:eastAsia="Arial" w:hAnsi="Arial"/>
                <w:sz w:val="18"/>
                <w:szCs w:val="18"/>
                <w:color w:val="auto"/>
              </w:rPr>
              <w:t>—</w:t>
            </w:r>
          </w:p>
        </w:tc>
        <w:tc>
          <w:tcPr>
            <w:tcW w:w="300" w:type="dxa"/>
            <w:vAlign w:val="bottom"/>
          </w:tcPr>
          <w:p>
            <w:pPr>
              <w:spacing w:after="0"/>
              <w:rPr>
                <w:sz w:val="21"/>
                <w:szCs w:val="21"/>
                <w:color w:val="auto"/>
              </w:rPr>
            </w:pPr>
          </w:p>
        </w:tc>
        <w:tc>
          <w:tcPr>
            <w:tcW w:w="1100" w:type="dxa"/>
            <w:vAlign w:val="bottom"/>
          </w:tcPr>
          <w:p>
            <w:pPr>
              <w:jc w:val="right"/>
              <w:ind w:right="12"/>
              <w:spacing w:after="0"/>
              <w:rPr>
                <w:sz w:val="20"/>
                <w:szCs w:val="20"/>
                <w:color w:val="auto"/>
              </w:rPr>
            </w:pPr>
            <w:r>
              <w:rPr>
                <w:rFonts w:ascii="Arial" w:cs="Arial" w:eastAsia="Arial" w:hAnsi="Arial"/>
                <w:sz w:val="18"/>
                <w:szCs w:val="18"/>
                <w:color w:val="auto"/>
              </w:rPr>
              <w:t>175,756</w:t>
            </w:r>
          </w:p>
        </w:tc>
        <w:tc>
          <w:tcPr>
            <w:tcW w:w="22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1040" w:type="dxa"/>
            <w:vAlign w:val="bottom"/>
          </w:tcPr>
          <w:p>
            <w:pPr>
              <w:jc w:val="right"/>
              <w:ind w:right="11"/>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7"/>
        </w:trPr>
        <w:tc>
          <w:tcPr>
            <w:tcW w:w="4580" w:type="dxa"/>
            <w:vAlign w:val="bottom"/>
          </w:tcPr>
          <w:p>
            <w:pPr>
              <w:spacing w:after="0"/>
              <w:rPr>
                <w:sz w:val="2"/>
                <w:szCs w:val="2"/>
                <w:color w:val="auto"/>
              </w:rPr>
            </w:pPr>
          </w:p>
        </w:tc>
        <w:tc>
          <w:tcPr>
            <w:tcW w:w="320" w:type="dxa"/>
            <w:vAlign w:val="bottom"/>
          </w:tcPr>
          <w:p>
            <w:pPr>
              <w:spacing w:after="0"/>
              <w:rPr>
                <w:sz w:val="2"/>
                <w:szCs w:val="2"/>
                <w:color w:val="auto"/>
              </w:rPr>
            </w:pPr>
          </w:p>
        </w:tc>
        <w:tc>
          <w:tcPr>
            <w:tcW w:w="1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380" w:type="dxa"/>
            <w:vAlign w:val="bottom"/>
          </w:tcPr>
          <w:p>
            <w:pPr>
              <w:spacing w:after="0"/>
              <w:rPr>
                <w:sz w:val="2"/>
                <w:szCs w:val="2"/>
                <w:color w:val="auto"/>
              </w:rPr>
            </w:pPr>
          </w:p>
        </w:tc>
        <w:tc>
          <w:tcPr>
            <w:tcW w:w="1040" w:type="dxa"/>
            <w:vAlign w:val="bottom"/>
          </w:tcPr>
          <w:p>
            <w:pPr>
              <w:spacing w:after="0"/>
              <w:rPr>
                <w:sz w:val="2"/>
                <w:szCs w:val="2"/>
                <w:color w:val="auto"/>
              </w:rPr>
            </w:pPr>
          </w:p>
        </w:tc>
        <w:tc>
          <w:tcPr>
            <w:tcW w:w="220" w:type="dxa"/>
            <w:vAlign w:val="bottom"/>
          </w:tcPr>
          <w:p>
            <w:pPr>
              <w:spacing w:after="0"/>
              <w:rPr>
                <w:sz w:val="2"/>
                <w:szCs w:val="2"/>
                <w:color w:val="auto"/>
              </w:rPr>
            </w:pPr>
          </w:p>
        </w:tc>
        <w:tc>
          <w:tcPr>
            <w:tcW w:w="300" w:type="dxa"/>
            <w:vAlign w:val="bottom"/>
          </w:tcPr>
          <w:p>
            <w:pPr>
              <w:spacing w:after="0"/>
              <w:rPr>
                <w:sz w:val="2"/>
                <w:szCs w:val="2"/>
                <w:color w:val="auto"/>
              </w:rPr>
            </w:pPr>
          </w:p>
        </w:tc>
        <w:tc>
          <w:tcPr>
            <w:tcW w:w="1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380" w:type="dxa"/>
            <w:vAlign w:val="bottom"/>
          </w:tcPr>
          <w:p>
            <w:pPr>
              <w:spacing w:after="0"/>
              <w:rPr>
                <w:sz w:val="2"/>
                <w:szCs w:val="2"/>
                <w:color w:val="auto"/>
              </w:rPr>
            </w:pPr>
          </w:p>
        </w:tc>
        <w:tc>
          <w:tcPr>
            <w:tcW w:w="10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4580" w:type="dxa"/>
            <w:vAlign w:val="bottom"/>
            <w:tcBorders>
              <w:bottom w:val="single" w:sz="8" w:color="CCEEFF"/>
            </w:tcBorders>
            <w:shd w:val="clear" w:color="auto" w:fill="CCEEFF"/>
          </w:tcPr>
          <w:p>
            <w:pPr>
              <w:ind w:left="160"/>
              <w:spacing w:after="0"/>
              <w:rPr>
                <w:sz w:val="20"/>
                <w:szCs w:val="20"/>
                <w:color w:val="auto"/>
              </w:rPr>
            </w:pPr>
            <w:r>
              <w:rPr>
                <w:rFonts w:ascii="Arial" w:cs="Arial" w:eastAsia="Arial" w:hAnsi="Arial"/>
                <w:sz w:val="18"/>
                <w:szCs w:val="18"/>
                <w:color w:val="auto"/>
              </w:rPr>
              <w:t>Other income/(expense)</w:t>
            </w:r>
          </w:p>
        </w:tc>
        <w:tc>
          <w:tcPr>
            <w:tcW w:w="32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1,187</w:t>
            </w:r>
          </w:p>
        </w:tc>
        <w:tc>
          <w:tcPr>
            <w:tcW w:w="220" w:type="dxa"/>
            <w:vAlign w:val="bottom"/>
            <w:tcBorders>
              <w:bottom w:val="single" w:sz="8" w:color="CCEEFF"/>
            </w:tcBorders>
            <w:shd w:val="clear" w:color="auto" w:fill="CCEEFF"/>
          </w:tcPr>
          <w:p>
            <w:pPr>
              <w:spacing w:after="0"/>
              <w:rPr>
                <w:sz w:val="21"/>
                <w:szCs w:val="21"/>
                <w:color w:val="auto"/>
              </w:rPr>
            </w:pPr>
          </w:p>
        </w:tc>
        <w:tc>
          <w:tcPr>
            <w:tcW w:w="38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(1,225)</w:t>
            </w:r>
          </w:p>
        </w:tc>
        <w:tc>
          <w:tcPr>
            <w:tcW w:w="22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2,583</w:t>
            </w:r>
          </w:p>
        </w:tc>
        <w:tc>
          <w:tcPr>
            <w:tcW w:w="220" w:type="dxa"/>
            <w:vAlign w:val="bottom"/>
            <w:tcBorders>
              <w:bottom w:val="single" w:sz="8" w:color="CCEEFF"/>
            </w:tcBorders>
            <w:shd w:val="clear" w:color="auto" w:fill="CCEEFF"/>
          </w:tcPr>
          <w:p>
            <w:pPr>
              <w:spacing w:after="0"/>
              <w:rPr>
                <w:sz w:val="21"/>
                <w:szCs w:val="21"/>
                <w:color w:val="auto"/>
              </w:rPr>
            </w:pPr>
          </w:p>
        </w:tc>
        <w:tc>
          <w:tcPr>
            <w:tcW w:w="38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(869)</w:t>
            </w:r>
          </w:p>
        </w:tc>
        <w:tc>
          <w:tcPr>
            <w:tcW w:w="0" w:type="dxa"/>
            <w:vAlign w:val="bottom"/>
          </w:tcPr>
          <w:p>
            <w:pPr>
              <w:spacing w:after="0"/>
              <w:rPr>
                <w:sz w:val="1"/>
                <w:szCs w:val="1"/>
                <w:color w:val="auto"/>
              </w:rPr>
            </w:pPr>
          </w:p>
        </w:tc>
      </w:tr>
      <w:tr>
        <w:trPr>
          <w:trHeight w:val="243"/>
        </w:trPr>
        <w:tc>
          <w:tcPr>
            <w:tcW w:w="4580" w:type="dxa"/>
            <w:vAlign w:val="bottom"/>
          </w:tcPr>
          <w:p>
            <w:pPr>
              <w:ind w:left="160"/>
              <w:spacing w:after="0"/>
              <w:rPr>
                <w:sz w:val="20"/>
                <w:szCs w:val="20"/>
                <w:color w:val="auto"/>
              </w:rPr>
            </w:pPr>
            <w:r>
              <w:rPr>
                <w:rFonts w:ascii="Arial" w:cs="Arial" w:eastAsia="Arial" w:hAnsi="Arial"/>
                <w:sz w:val="18"/>
                <w:szCs w:val="18"/>
                <w:color w:val="auto"/>
              </w:rPr>
              <w:t>Interest expense</w:t>
            </w:r>
          </w:p>
        </w:tc>
        <w:tc>
          <w:tcPr>
            <w:tcW w:w="320" w:type="dxa"/>
            <w:vAlign w:val="bottom"/>
          </w:tcPr>
          <w:p>
            <w:pPr>
              <w:spacing w:after="0"/>
              <w:rPr>
                <w:sz w:val="21"/>
                <w:szCs w:val="21"/>
                <w:color w:val="auto"/>
              </w:rPr>
            </w:pPr>
          </w:p>
        </w:tc>
        <w:tc>
          <w:tcPr>
            <w:tcW w:w="1100" w:type="dxa"/>
            <w:vAlign w:val="bottom"/>
          </w:tcPr>
          <w:p>
            <w:pPr>
              <w:jc w:val="right"/>
              <w:spacing w:after="0"/>
              <w:rPr>
                <w:sz w:val="20"/>
                <w:szCs w:val="20"/>
                <w:color w:val="auto"/>
              </w:rPr>
            </w:pPr>
            <w:r>
              <w:rPr>
                <w:rFonts w:ascii="Arial" w:cs="Arial" w:eastAsia="Arial" w:hAnsi="Arial"/>
                <w:sz w:val="18"/>
                <w:szCs w:val="18"/>
                <w:color w:val="auto"/>
              </w:rPr>
              <w:t>(33,988)</w:t>
            </w:r>
          </w:p>
        </w:tc>
        <w:tc>
          <w:tcPr>
            <w:tcW w:w="22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(60,386)</w:t>
            </w:r>
          </w:p>
        </w:tc>
        <w:tc>
          <w:tcPr>
            <w:tcW w:w="22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100" w:type="dxa"/>
            <w:vAlign w:val="bottom"/>
          </w:tcPr>
          <w:p>
            <w:pPr>
              <w:jc w:val="right"/>
              <w:spacing w:after="0"/>
              <w:rPr>
                <w:sz w:val="20"/>
                <w:szCs w:val="20"/>
                <w:color w:val="auto"/>
              </w:rPr>
            </w:pPr>
            <w:r>
              <w:rPr>
                <w:rFonts w:ascii="Arial" w:cs="Arial" w:eastAsia="Arial" w:hAnsi="Arial"/>
                <w:sz w:val="18"/>
                <w:szCs w:val="18"/>
                <w:color w:val="auto"/>
              </w:rPr>
              <w:t>(75,234)</w:t>
            </w:r>
          </w:p>
        </w:tc>
        <w:tc>
          <w:tcPr>
            <w:tcW w:w="22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(124,760)</w:t>
            </w:r>
          </w:p>
        </w:tc>
        <w:tc>
          <w:tcPr>
            <w:tcW w:w="0" w:type="dxa"/>
            <w:vAlign w:val="bottom"/>
          </w:tcPr>
          <w:p>
            <w:pPr>
              <w:spacing w:after="0"/>
              <w:rPr>
                <w:sz w:val="1"/>
                <w:szCs w:val="1"/>
                <w:color w:val="auto"/>
              </w:rPr>
            </w:pPr>
          </w:p>
        </w:tc>
      </w:tr>
      <w:tr>
        <w:trPr>
          <w:trHeight w:val="27"/>
        </w:trPr>
        <w:tc>
          <w:tcPr>
            <w:tcW w:w="4580" w:type="dxa"/>
            <w:vAlign w:val="bottom"/>
            <w:tcBorders>
              <w:bottom w:val="single" w:sz="8" w:color="CCEEFF"/>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220" w:type="dxa"/>
            <w:vAlign w:val="bottom"/>
            <w:tcBorders>
              <w:bottom w:val="single" w:sz="8" w:color="CCEEFF"/>
            </w:tcBorders>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22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220" w:type="dxa"/>
            <w:vAlign w:val="bottom"/>
            <w:tcBorders>
              <w:bottom w:val="single" w:sz="8" w:color="CCEEFF"/>
            </w:tcBorders>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4"/>
        </w:trPr>
        <w:tc>
          <w:tcPr>
            <w:tcW w:w="45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Total other income/(expense)</w:t>
            </w:r>
          </w:p>
        </w:tc>
        <w:tc>
          <w:tcPr>
            <w:tcW w:w="320" w:type="dxa"/>
            <w:vAlign w:val="bottom"/>
            <w:tcBorders>
              <w:bottom w:val="single" w:sz="8" w:color="CCEEFF"/>
            </w:tcBorders>
            <w:shd w:val="clear" w:color="auto" w:fill="CCEEFF"/>
          </w:tcPr>
          <w:p>
            <w:pPr>
              <w:spacing w:after="0"/>
              <w:rPr>
                <w:sz w:val="22"/>
                <w:szCs w:val="22"/>
                <w:color w:val="auto"/>
              </w:rPr>
            </w:pPr>
          </w:p>
        </w:tc>
        <w:tc>
          <w:tcPr>
            <w:tcW w:w="110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68,045</w:t>
            </w:r>
          </w:p>
        </w:tc>
        <w:tc>
          <w:tcPr>
            <w:tcW w:w="220" w:type="dxa"/>
            <w:vAlign w:val="bottom"/>
            <w:tcBorders>
              <w:bottom w:val="single" w:sz="8" w:color="CCEEFF"/>
            </w:tcBorders>
            <w:shd w:val="clear" w:color="auto" w:fill="CCEEFF"/>
          </w:tcPr>
          <w:p>
            <w:pPr>
              <w:spacing w:after="0"/>
              <w:rPr>
                <w:sz w:val="22"/>
                <w:szCs w:val="22"/>
                <w:color w:val="auto"/>
              </w:rPr>
            </w:pPr>
          </w:p>
        </w:tc>
        <w:tc>
          <w:tcPr>
            <w:tcW w:w="380" w:type="dxa"/>
            <w:vAlign w:val="bottom"/>
            <w:tcBorders>
              <w:bottom w:val="single" w:sz="8" w:color="CCEEFF"/>
            </w:tcBorders>
            <w:shd w:val="clear" w:color="auto" w:fill="CCEEFF"/>
          </w:tcPr>
          <w:p>
            <w:pPr>
              <w:spacing w:after="0"/>
              <w:rPr>
                <w:sz w:val="22"/>
                <w:szCs w:val="22"/>
                <w:color w:val="auto"/>
              </w:rPr>
            </w:pPr>
          </w:p>
        </w:tc>
        <w:tc>
          <w:tcPr>
            <w:tcW w:w="10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(61,611)</w:t>
            </w:r>
          </w:p>
        </w:tc>
        <w:tc>
          <w:tcPr>
            <w:tcW w:w="220" w:type="dxa"/>
            <w:vAlign w:val="bottom"/>
            <w:tcBorders>
              <w:bottom w:val="single" w:sz="8" w:color="CCEEFF"/>
            </w:tcBorders>
            <w:shd w:val="clear" w:color="auto" w:fill="CCEEFF"/>
          </w:tcPr>
          <w:p>
            <w:pPr>
              <w:spacing w:after="0"/>
              <w:rPr>
                <w:sz w:val="22"/>
                <w:szCs w:val="22"/>
                <w:color w:val="auto"/>
              </w:rPr>
            </w:pPr>
          </w:p>
        </w:tc>
        <w:tc>
          <w:tcPr>
            <w:tcW w:w="300" w:type="dxa"/>
            <w:vAlign w:val="bottom"/>
            <w:tcBorders>
              <w:bottom w:val="single" w:sz="8" w:color="CCEEFF"/>
            </w:tcBorders>
            <w:shd w:val="clear" w:color="auto" w:fill="CCEEFF"/>
          </w:tcPr>
          <w:p>
            <w:pPr>
              <w:spacing w:after="0"/>
              <w:rPr>
                <w:sz w:val="22"/>
                <w:szCs w:val="22"/>
                <w:color w:val="auto"/>
              </w:rPr>
            </w:pPr>
          </w:p>
        </w:tc>
        <w:tc>
          <w:tcPr>
            <w:tcW w:w="110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103,105</w:t>
            </w:r>
          </w:p>
        </w:tc>
        <w:tc>
          <w:tcPr>
            <w:tcW w:w="220" w:type="dxa"/>
            <w:vAlign w:val="bottom"/>
            <w:tcBorders>
              <w:bottom w:val="single" w:sz="8" w:color="CCEEFF"/>
            </w:tcBorders>
            <w:shd w:val="clear" w:color="auto" w:fill="CCEEFF"/>
          </w:tcPr>
          <w:p>
            <w:pPr>
              <w:spacing w:after="0"/>
              <w:rPr>
                <w:sz w:val="22"/>
                <w:szCs w:val="22"/>
                <w:color w:val="auto"/>
              </w:rPr>
            </w:pPr>
          </w:p>
        </w:tc>
        <w:tc>
          <w:tcPr>
            <w:tcW w:w="380" w:type="dxa"/>
            <w:vAlign w:val="bottom"/>
            <w:tcBorders>
              <w:bottom w:val="single" w:sz="8" w:color="CCEEFF"/>
            </w:tcBorders>
            <w:shd w:val="clear" w:color="auto" w:fill="CCEEFF"/>
          </w:tcPr>
          <w:p>
            <w:pPr>
              <w:spacing w:after="0"/>
              <w:rPr>
                <w:sz w:val="22"/>
                <w:szCs w:val="22"/>
                <w:color w:val="auto"/>
              </w:rPr>
            </w:pPr>
          </w:p>
        </w:tc>
        <w:tc>
          <w:tcPr>
            <w:tcW w:w="10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(125,629)</w:t>
            </w:r>
          </w:p>
        </w:tc>
        <w:tc>
          <w:tcPr>
            <w:tcW w:w="0" w:type="dxa"/>
            <w:vAlign w:val="bottom"/>
          </w:tcPr>
          <w:p>
            <w:pPr>
              <w:spacing w:after="0"/>
              <w:rPr>
                <w:sz w:val="1"/>
                <w:szCs w:val="1"/>
                <w:color w:val="auto"/>
              </w:rPr>
            </w:pPr>
          </w:p>
        </w:tc>
      </w:tr>
      <w:tr>
        <w:trPr>
          <w:trHeight w:val="237"/>
        </w:trPr>
        <w:tc>
          <w:tcPr>
            <w:tcW w:w="4580" w:type="dxa"/>
            <w:vAlign w:val="bottom"/>
          </w:tcPr>
          <w:p>
            <w:pPr>
              <w:ind w:left="40"/>
              <w:spacing w:after="0"/>
              <w:rPr>
                <w:sz w:val="20"/>
                <w:szCs w:val="20"/>
                <w:color w:val="auto"/>
              </w:rPr>
            </w:pPr>
            <w:r>
              <w:rPr>
                <w:rFonts w:ascii="Arial" w:cs="Arial" w:eastAsia="Arial" w:hAnsi="Arial"/>
                <w:sz w:val="18"/>
                <w:szCs w:val="18"/>
                <w:color w:val="auto"/>
                <w:w w:val="91"/>
              </w:rPr>
              <w:t>Income/(loss) from continuing operations before income taxes</w:t>
            </w:r>
          </w:p>
        </w:tc>
        <w:tc>
          <w:tcPr>
            <w:tcW w:w="320" w:type="dxa"/>
            <w:vAlign w:val="bottom"/>
            <w:tcBorders>
              <w:top w:val="single" w:sz="8" w:color="auto"/>
            </w:tcBorders>
          </w:tcPr>
          <w:p>
            <w:pPr>
              <w:spacing w:after="0"/>
              <w:rPr>
                <w:sz w:val="20"/>
                <w:szCs w:val="20"/>
                <w:color w:val="auto"/>
              </w:rPr>
            </w:pPr>
          </w:p>
        </w:tc>
        <w:tc>
          <w:tcPr>
            <w:tcW w:w="1100" w:type="dxa"/>
            <w:vAlign w:val="bottom"/>
            <w:tcBorders>
              <w:top w:val="single" w:sz="8" w:color="auto"/>
            </w:tcBorders>
          </w:tcPr>
          <w:p>
            <w:pPr>
              <w:jc w:val="right"/>
              <w:ind w:right="12"/>
              <w:spacing w:after="0"/>
              <w:rPr>
                <w:sz w:val="20"/>
                <w:szCs w:val="20"/>
                <w:color w:val="auto"/>
              </w:rPr>
            </w:pPr>
            <w:r>
              <w:rPr>
                <w:rFonts w:ascii="Arial" w:cs="Arial" w:eastAsia="Arial" w:hAnsi="Arial"/>
                <w:sz w:val="18"/>
                <w:szCs w:val="18"/>
                <w:color w:val="auto"/>
              </w:rPr>
              <w:t>969,194</w:t>
            </w:r>
          </w:p>
        </w:tc>
        <w:tc>
          <w:tcPr>
            <w:tcW w:w="220" w:type="dxa"/>
            <w:vAlign w:val="bottom"/>
          </w:tcPr>
          <w:p>
            <w:pPr>
              <w:spacing w:after="0"/>
              <w:rPr>
                <w:sz w:val="20"/>
                <w:szCs w:val="20"/>
                <w:color w:val="auto"/>
              </w:rPr>
            </w:pPr>
          </w:p>
        </w:tc>
        <w:tc>
          <w:tcPr>
            <w:tcW w:w="380" w:type="dxa"/>
            <w:vAlign w:val="bottom"/>
            <w:tcBorders>
              <w:top w:val="single" w:sz="8" w:color="auto"/>
            </w:tcBorders>
          </w:tcPr>
          <w:p>
            <w:pPr>
              <w:spacing w:after="0"/>
              <w:rPr>
                <w:sz w:val="20"/>
                <w:szCs w:val="20"/>
                <w:color w:val="auto"/>
              </w:rPr>
            </w:pPr>
          </w:p>
        </w:tc>
        <w:tc>
          <w:tcPr>
            <w:tcW w:w="1040" w:type="dxa"/>
            <w:vAlign w:val="bottom"/>
            <w:tcBorders>
              <w:top w:val="single" w:sz="8" w:color="auto"/>
            </w:tcBorders>
          </w:tcPr>
          <w:p>
            <w:pPr>
              <w:jc w:val="right"/>
              <w:ind w:right="31"/>
              <w:spacing w:after="0"/>
              <w:rPr>
                <w:sz w:val="20"/>
                <w:szCs w:val="20"/>
                <w:color w:val="auto"/>
              </w:rPr>
            </w:pPr>
            <w:r>
              <w:rPr>
                <w:rFonts w:ascii="Arial" w:cs="Arial" w:eastAsia="Arial" w:hAnsi="Arial"/>
                <w:sz w:val="18"/>
                <w:szCs w:val="18"/>
                <w:color w:val="auto"/>
              </w:rPr>
              <w:t>117,992</w:t>
            </w:r>
          </w:p>
        </w:tc>
        <w:tc>
          <w:tcPr>
            <w:tcW w:w="220" w:type="dxa"/>
            <w:vAlign w:val="bottom"/>
          </w:tcPr>
          <w:p>
            <w:pPr>
              <w:spacing w:after="0"/>
              <w:rPr>
                <w:sz w:val="20"/>
                <w:szCs w:val="20"/>
                <w:color w:val="auto"/>
              </w:rPr>
            </w:pPr>
          </w:p>
        </w:tc>
        <w:tc>
          <w:tcPr>
            <w:tcW w:w="300" w:type="dxa"/>
            <w:vAlign w:val="bottom"/>
            <w:tcBorders>
              <w:top w:val="single" w:sz="8" w:color="auto"/>
            </w:tcBorders>
          </w:tcPr>
          <w:p>
            <w:pPr>
              <w:spacing w:after="0"/>
              <w:rPr>
                <w:sz w:val="20"/>
                <w:szCs w:val="20"/>
                <w:color w:val="auto"/>
              </w:rPr>
            </w:pPr>
          </w:p>
        </w:tc>
        <w:tc>
          <w:tcPr>
            <w:tcW w:w="1100" w:type="dxa"/>
            <w:vAlign w:val="bottom"/>
            <w:tcBorders>
              <w:top w:val="single" w:sz="8" w:color="auto"/>
            </w:tcBorders>
          </w:tcPr>
          <w:p>
            <w:pPr>
              <w:jc w:val="right"/>
              <w:ind w:right="12"/>
              <w:spacing w:after="0"/>
              <w:rPr>
                <w:sz w:val="20"/>
                <w:szCs w:val="20"/>
                <w:color w:val="auto"/>
              </w:rPr>
            </w:pPr>
            <w:r>
              <w:rPr>
                <w:rFonts w:ascii="Arial" w:cs="Arial" w:eastAsia="Arial" w:hAnsi="Arial"/>
                <w:sz w:val="18"/>
                <w:szCs w:val="18"/>
                <w:color w:val="auto"/>
              </w:rPr>
              <w:t>1,119,267</w:t>
            </w:r>
          </w:p>
        </w:tc>
        <w:tc>
          <w:tcPr>
            <w:tcW w:w="220" w:type="dxa"/>
            <w:vAlign w:val="bottom"/>
          </w:tcPr>
          <w:p>
            <w:pPr>
              <w:spacing w:after="0"/>
              <w:rPr>
                <w:sz w:val="20"/>
                <w:szCs w:val="20"/>
                <w:color w:val="auto"/>
              </w:rPr>
            </w:pPr>
          </w:p>
        </w:tc>
        <w:tc>
          <w:tcPr>
            <w:tcW w:w="380" w:type="dxa"/>
            <w:vAlign w:val="bottom"/>
            <w:tcBorders>
              <w:top w:val="single" w:sz="8" w:color="auto"/>
            </w:tcBorders>
          </w:tcPr>
          <w:p>
            <w:pPr>
              <w:spacing w:after="0"/>
              <w:rPr>
                <w:sz w:val="20"/>
                <w:szCs w:val="20"/>
                <w:color w:val="auto"/>
              </w:rPr>
            </w:pPr>
          </w:p>
        </w:tc>
        <w:tc>
          <w:tcPr>
            <w:tcW w:w="10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(720,587)</w:t>
            </w:r>
          </w:p>
        </w:tc>
        <w:tc>
          <w:tcPr>
            <w:tcW w:w="0" w:type="dxa"/>
            <w:vAlign w:val="bottom"/>
          </w:tcPr>
          <w:p>
            <w:pPr>
              <w:spacing w:after="0"/>
              <w:rPr>
                <w:sz w:val="1"/>
                <w:szCs w:val="1"/>
                <w:color w:val="auto"/>
              </w:rPr>
            </w:pPr>
          </w:p>
        </w:tc>
      </w:tr>
      <w:tr>
        <w:trPr>
          <w:trHeight w:val="27"/>
        </w:trPr>
        <w:tc>
          <w:tcPr>
            <w:tcW w:w="4580" w:type="dxa"/>
            <w:vAlign w:val="bottom"/>
          </w:tcPr>
          <w:p>
            <w:pPr>
              <w:spacing w:after="0"/>
              <w:rPr>
                <w:sz w:val="2"/>
                <w:szCs w:val="2"/>
                <w:color w:val="auto"/>
              </w:rPr>
            </w:pPr>
          </w:p>
        </w:tc>
        <w:tc>
          <w:tcPr>
            <w:tcW w:w="320" w:type="dxa"/>
            <w:vAlign w:val="bottom"/>
          </w:tcPr>
          <w:p>
            <w:pPr>
              <w:spacing w:after="0"/>
              <w:rPr>
                <w:sz w:val="2"/>
                <w:szCs w:val="2"/>
                <w:color w:val="auto"/>
              </w:rPr>
            </w:pPr>
          </w:p>
        </w:tc>
        <w:tc>
          <w:tcPr>
            <w:tcW w:w="1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380" w:type="dxa"/>
            <w:vAlign w:val="bottom"/>
          </w:tcPr>
          <w:p>
            <w:pPr>
              <w:spacing w:after="0"/>
              <w:rPr>
                <w:sz w:val="2"/>
                <w:szCs w:val="2"/>
                <w:color w:val="auto"/>
              </w:rPr>
            </w:pPr>
          </w:p>
        </w:tc>
        <w:tc>
          <w:tcPr>
            <w:tcW w:w="1040" w:type="dxa"/>
            <w:vAlign w:val="bottom"/>
          </w:tcPr>
          <w:p>
            <w:pPr>
              <w:spacing w:after="0"/>
              <w:rPr>
                <w:sz w:val="2"/>
                <w:szCs w:val="2"/>
                <w:color w:val="auto"/>
              </w:rPr>
            </w:pPr>
          </w:p>
        </w:tc>
        <w:tc>
          <w:tcPr>
            <w:tcW w:w="220" w:type="dxa"/>
            <w:vAlign w:val="bottom"/>
          </w:tcPr>
          <w:p>
            <w:pPr>
              <w:spacing w:after="0"/>
              <w:rPr>
                <w:sz w:val="2"/>
                <w:szCs w:val="2"/>
                <w:color w:val="auto"/>
              </w:rPr>
            </w:pPr>
          </w:p>
        </w:tc>
        <w:tc>
          <w:tcPr>
            <w:tcW w:w="300" w:type="dxa"/>
            <w:vAlign w:val="bottom"/>
          </w:tcPr>
          <w:p>
            <w:pPr>
              <w:spacing w:after="0"/>
              <w:rPr>
                <w:sz w:val="2"/>
                <w:szCs w:val="2"/>
                <w:color w:val="auto"/>
              </w:rPr>
            </w:pPr>
          </w:p>
        </w:tc>
        <w:tc>
          <w:tcPr>
            <w:tcW w:w="1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380" w:type="dxa"/>
            <w:vAlign w:val="bottom"/>
          </w:tcPr>
          <w:p>
            <w:pPr>
              <w:spacing w:after="0"/>
              <w:rPr>
                <w:sz w:val="2"/>
                <w:szCs w:val="2"/>
                <w:color w:val="auto"/>
              </w:rPr>
            </w:pPr>
          </w:p>
        </w:tc>
        <w:tc>
          <w:tcPr>
            <w:tcW w:w="10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45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Income tax (benefit)/expense</w:t>
            </w:r>
          </w:p>
        </w:tc>
        <w:tc>
          <w:tcPr>
            <w:tcW w:w="320" w:type="dxa"/>
            <w:vAlign w:val="bottom"/>
            <w:tcBorders>
              <w:bottom w:val="single" w:sz="8" w:color="CCEEFF"/>
            </w:tcBorders>
            <w:shd w:val="clear" w:color="auto" w:fill="CCEEFF"/>
          </w:tcPr>
          <w:p>
            <w:pPr>
              <w:spacing w:after="0"/>
              <w:rPr>
                <w:sz w:val="23"/>
                <w:szCs w:val="23"/>
                <w:color w:val="auto"/>
              </w:rPr>
            </w:pPr>
          </w:p>
        </w:tc>
        <w:tc>
          <w:tcPr>
            <w:tcW w:w="11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(98,133)</w:t>
            </w:r>
          </w:p>
        </w:tc>
        <w:tc>
          <w:tcPr>
            <w:tcW w:w="220" w:type="dxa"/>
            <w:vAlign w:val="bottom"/>
            <w:tcBorders>
              <w:bottom w:val="single" w:sz="8" w:color="CCEEFF"/>
            </w:tcBorders>
            <w:shd w:val="clear" w:color="auto" w:fill="CCEEFF"/>
          </w:tcPr>
          <w:p>
            <w:pPr>
              <w:spacing w:after="0"/>
              <w:rPr>
                <w:sz w:val="23"/>
                <w:szCs w:val="23"/>
                <w:color w:val="auto"/>
              </w:rPr>
            </w:pPr>
          </w:p>
        </w:tc>
        <w:tc>
          <w:tcPr>
            <w:tcW w:w="380" w:type="dxa"/>
            <w:vAlign w:val="bottom"/>
            <w:tcBorders>
              <w:bottom w:val="single" w:sz="8" w:color="CCEEFF"/>
            </w:tcBorders>
            <w:shd w:val="clear" w:color="auto" w:fill="CCEEFF"/>
          </w:tcPr>
          <w:p>
            <w:pPr>
              <w:spacing w:after="0"/>
              <w:rPr>
                <w:sz w:val="23"/>
                <w:szCs w:val="23"/>
                <w:color w:val="auto"/>
              </w:rPr>
            </w:pPr>
          </w:p>
        </w:tc>
        <w:tc>
          <w:tcPr>
            <w:tcW w:w="104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40,937</w:t>
            </w:r>
          </w:p>
        </w:tc>
        <w:tc>
          <w:tcPr>
            <w:tcW w:w="220" w:type="dxa"/>
            <w:vAlign w:val="bottom"/>
            <w:tcBorders>
              <w:bottom w:val="single" w:sz="8" w:color="CCEEFF"/>
            </w:tcBorders>
            <w:shd w:val="clear" w:color="auto" w:fill="CCEEFF"/>
          </w:tcPr>
          <w:p>
            <w:pPr>
              <w:spacing w:after="0"/>
              <w:rPr>
                <w:sz w:val="23"/>
                <w:szCs w:val="23"/>
                <w:color w:val="auto"/>
              </w:rPr>
            </w:pPr>
          </w:p>
        </w:tc>
        <w:tc>
          <w:tcPr>
            <w:tcW w:w="300" w:type="dxa"/>
            <w:vAlign w:val="bottom"/>
            <w:tcBorders>
              <w:bottom w:val="single" w:sz="8" w:color="CCEEFF"/>
            </w:tcBorders>
            <w:shd w:val="clear" w:color="auto" w:fill="CCEEFF"/>
          </w:tcPr>
          <w:p>
            <w:pPr>
              <w:spacing w:after="0"/>
              <w:rPr>
                <w:sz w:val="23"/>
                <w:szCs w:val="23"/>
                <w:color w:val="auto"/>
              </w:rPr>
            </w:pPr>
          </w:p>
        </w:tc>
        <w:tc>
          <w:tcPr>
            <w:tcW w:w="11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(96,736)</w:t>
            </w:r>
          </w:p>
        </w:tc>
        <w:tc>
          <w:tcPr>
            <w:tcW w:w="220" w:type="dxa"/>
            <w:vAlign w:val="bottom"/>
            <w:tcBorders>
              <w:bottom w:val="single" w:sz="8" w:color="CCEEFF"/>
            </w:tcBorders>
            <w:shd w:val="clear" w:color="auto" w:fill="CCEEFF"/>
          </w:tcPr>
          <w:p>
            <w:pPr>
              <w:spacing w:after="0"/>
              <w:rPr>
                <w:sz w:val="23"/>
                <w:szCs w:val="23"/>
                <w:color w:val="auto"/>
              </w:rPr>
            </w:pPr>
          </w:p>
        </w:tc>
        <w:tc>
          <w:tcPr>
            <w:tcW w:w="380" w:type="dxa"/>
            <w:vAlign w:val="bottom"/>
            <w:tcBorders>
              <w:bottom w:val="single" w:sz="8" w:color="CCEEFF"/>
            </w:tcBorders>
            <w:shd w:val="clear" w:color="auto" w:fill="CCEEFF"/>
          </w:tcPr>
          <w:p>
            <w:pPr>
              <w:spacing w:after="0"/>
              <w:rPr>
                <w:sz w:val="23"/>
                <w:szCs w:val="23"/>
                <w:color w:val="auto"/>
              </w:rPr>
            </w:pPr>
          </w:p>
        </w:tc>
        <w:tc>
          <w:tcPr>
            <w:tcW w:w="104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67,627</w:t>
            </w:r>
          </w:p>
        </w:tc>
        <w:tc>
          <w:tcPr>
            <w:tcW w:w="0" w:type="dxa"/>
            <w:vAlign w:val="bottom"/>
          </w:tcPr>
          <w:p>
            <w:pPr>
              <w:spacing w:after="0"/>
              <w:rPr>
                <w:sz w:val="1"/>
                <w:szCs w:val="1"/>
                <w:color w:val="auto"/>
              </w:rPr>
            </w:pPr>
          </w:p>
        </w:tc>
      </w:tr>
      <w:tr>
        <w:trPr>
          <w:trHeight w:val="237"/>
        </w:trPr>
        <w:tc>
          <w:tcPr>
            <w:tcW w:w="4580" w:type="dxa"/>
            <w:vAlign w:val="bottom"/>
          </w:tcPr>
          <w:p>
            <w:pPr>
              <w:ind w:left="40"/>
              <w:spacing w:after="0"/>
              <w:rPr>
                <w:sz w:val="20"/>
                <w:szCs w:val="20"/>
                <w:color w:val="auto"/>
              </w:rPr>
            </w:pPr>
            <w:r>
              <w:rPr>
                <w:rFonts w:ascii="Arial" w:cs="Arial" w:eastAsia="Arial" w:hAnsi="Arial"/>
                <w:sz w:val="18"/>
                <w:szCs w:val="18"/>
                <w:color w:val="auto"/>
              </w:rPr>
              <w:t>Net income/(loss) from continuing operations</w:t>
            </w:r>
          </w:p>
        </w:tc>
        <w:tc>
          <w:tcPr>
            <w:tcW w:w="320" w:type="dxa"/>
            <w:vAlign w:val="bottom"/>
            <w:tcBorders>
              <w:top w:val="single" w:sz="8" w:color="auto"/>
            </w:tcBorders>
          </w:tcPr>
          <w:p>
            <w:pPr>
              <w:spacing w:after="0"/>
              <w:rPr>
                <w:sz w:val="20"/>
                <w:szCs w:val="20"/>
                <w:color w:val="auto"/>
              </w:rPr>
            </w:pPr>
          </w:p>
        </w:tc>
        <w:tc>
          <w:tcPr>
            <w:tcW w:w="1100" w:type="dxa"/>
            <w:vAlign w:val="bottom"/>
            <w:tcBorders>
              <w:top w:val="single" w:sz="8" w:color="auto"/>
            </w:tcBorders>
          </w:tcPr>
          <w:p>
            <w:pPr>
              <w:jc w:val="right"/>
              <w:ind w:right="12"/>
              <w:spacing w:after="0"/>
              <w:rPr>
                <w:sz w:val="20"/>
                <w:szCs w:val="20"/>
                <w:color w:val="auto"/>
              </w:rPr>
            </w:pPr>
            <w:r>
              <w:rPr>
                <w:rFonts w:ascii="Arial" w:cs="Arial" w:eastAsia="Arial" w:hAnsi="Arial"/>
                <w:sz w:val="18"/>
                <w:szCs w:val="18"/>
                <w:color w:val="auto"/>
              </w:rPr>
              <w:t>1,067,327</w:t>
            </w:r>
          </w:p>
        </w:tc>
        <w:tc>
          <w:tcPr>
            <w:tcW w:w="220" w:type="dxa"/>
            <w:vAlign w:val="bottom"/>
          </w:tcPr>
          <w:p>
            <w:pPr>
              <w:spacing w:after="0"/>
              <w:rPr>
                <w:sz w:val="20"/>
                <w:szCs w:val="20"/>
                <w:color w:val="auto"/>
              </w:rPr>
            </w:pPr>
          </w:p>
        </w:tc>
        <w:tc>
          <w:tcPr>
            <w:tcW w:w="380" w:type="dxa"/>
            <w:vAlign w:val="bottom"/>
            <w:tcBorders>
              <w:top w:val="single" w:sz="8" w:color="auto"/>
            </w:tcBorders>
          </w:tcPr>
          <w:p>
            <w:pPr>
              <w:spacing w:after="0"/>
              <w:rPr>
                <w:sz w:val="20"/>
                <w:szCs w:val="20"/>
                <w:color w:val="auto"/>
              </w:rPr>
            </w:pPr>
          </w:p>
        </w:tc>
        <w:tc>
          <w:tcPr>
            <w:tcW w:w="1040" w:type="dxa"/>
            <w:vAlign w:val="bottom"/>
            <w:tcBorders>
              <w:top w:val="single" w:sz="8" w:color="auto"/>
            </w:tcBorders>
          </w:tcPr>
          <w:p>
            <w:pPr>
              <w:jc w:val="right"/>
              <w:ind w:right="31"/>
              <w:spacing w:after="0"/>
              <w:rPr>
                <w:sz w:val="20"/>
                <w:szCs w:val="20"/>
                <w:color w:val="auto"/>
              </w:rPr>
            </w:pPr>
            <w:r>
              <w:rPr>
                <w:rFonts w:ascii="Arial" w:cs="Arial" w:eastAsia="Arial" w:hAnsi="Arial"/>
                <w:sz w:val="18"/>
                <w:szCs w:val="18"/>
                <w:color w:val="auto"/>
              </w:rPr>
              <w:t>77,055</w:t>
            </w:r>
          </w:p>
        </w:tc>
        <w:tc>
          <w:tcPr>
            <w:tcW w:w="220" w:type="dxa"/>
            <w:vAlign w:val="bottom"/>
          </w:tcPr>
          <w:p>
            <w:pPr>
              <w:spacing w:after="0"/>
              <w:rPr>
                <w:sz w:val="20"/>
                <w:szCs w:val="20"/>
                <w:color w:val="auto"/>
              </w:rPr>
            </w:pPr>
          </w:p>
        </w:tc>
        <w:tc>
          <w:tcPr>
            <w:tcW w:w="300" w:type="dxa"/>
            <w:vAlign w:val="bottom"/>
            <w:tcBorders>
              <w:top w:val="single" w:sz="8" w:color="auto"/>
            </w:tcBorders>
          </w:tcPr>
          <w:p>
            <w:pPr>
              <w:spacing w:after="0"/>
              <w:rPr>
                <w:sz w:val="20"/>
                <w:szCs w:val="20"/>
                <w:color w:val="auto"/>
              </w:rPr>
            </w:pPr>
          </w:p>
        </w:tc>
        <w:tc>
          <w:tcPr>
            <w:tcW w:w="1100" w:type="dxa"/>
            <w:vAlign w:val="bottom"/>
            <w:tcBorders>
              <w:top w:val="single" w:sz="8" w:color="auto"/>
            </w:tcBorders>
          </w:tcPr>
          <w:p>
            <w:pPr>
              <w:jc w:val="right"/>
              <w:ind w:right="12"/>
              <w:spacing w:after="0"/>
              <w:rPr>
                <w:sz w:val="20"/>
                <w:szCs w:val="20"/>
                <w:color w:val="auto"/>
              </w:rPr>
            </w:pPr>
            <w:r>
              <w:rPr>
                <w:rFonts w:ascii="Arial" w:cs="Arial" w:eastAsia="Arial" w:hAnsi="Arial"/>
                <w:sz w:val="18"/>
                <w:szCs w:val="18"/>
                <w:color w:val="auto"/>
              </w:rPr>
              <w:t>1,216,003</w:t>
            </w:r>
          </w:p>
        </w:tc>
        <w:tc>
          <w:tcPr>
            <w:tcW w:w="220" w:type="dxa"/>
            <w:vAlign w:val="bottom"/>
          </w:tcPr>
          <w:p>
            <w:pPr>
              <w:spacing w:after="0"/>
              <w:rPr>
                <w:sz w:val="20"/>
                <w:szCs w:val="20"/>
                <w:color w:val="auto"/>
              </w:rPr>
            </w:pPr>
          </w:p>
        </w:tc>
        <w:tc>
          <w:tcPr>
            <w:tcW w:w="380" w:type="dxa"/>
            <w:vAlign w:val="bottom"/>
            <w:tcBorders>
              <w:top w:val="single" w:sz="8" w:color="auto"/>
            </w:tcBorders>
          </w:tcPr>
          <w:p>
            <w:pPr>
              <w:spacing w:after="0"/>
              <w:rPr>
                <w:sz w:val="20"/>
                <w:szCs w:val="20"/>
                <w:color w:val="auto"/>
              </w:rPr>
            </w:pPr>
          </w:p>
        </w:tc>
        <w:tc>
          <w:tcPr>
            <w:tcW w:w="10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(788,214)</w:t>
            </w:r>
          </w:p>
        </w:tc>
        <w:tc>
          <w:tcPr>
            <w:tcW w:w="0" w:type="dxa"/>
            <w:vAlign w:val="bottom"/>
          </w:tcPr>
          <w:p>
            <w:pPr>
              <w:spacing w:after="0"/>
              <w:rPr>
                <w:sz w:val="1"/>
                <w:szCs w:val="1"/>
                <w:color w:val="auto"/>
              </w:rPr>
            </w:pPr>
          </w:p>
        </w:tc>
      </w:tr>
      <w:tr>
        <w:trPr>
          <w:trHeight w:val="27"/>
        </w:trPr>
        <w:tc>
          <w:tcPr>
            <w:tcW w:w="4580" w:type="dxa"/>
            <w:vAlign w:val="bottom"/>
            <w:tcBorders>
              <w:bottom w:val="single" w:sz="8" w:color="CCEEFF"/>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220" w:type="dxa"/>
            <w:vAlign w:val="bottom"/>
            <w:tcBorders>
              <w:bottom w:val="single" w:sz="8" w:color="CCEEFF"/>
            </w:tcBorders>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22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220" w:type="dxa"/>
            <w:vAlign w:val="bottom"/>
            <w:tcBorders>
              <w:bottom w:val="single" w:sz="8" w:color="CCEEFF"/>
            </w:tcBorders>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4"/>
        </w:trPr>
        <w:tc>
          <w:tcPr>
            <w:tcW w:w="45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w w:val="96"/>
              </w:rPr>
              <w:t>Loss from discontinued operations, net of income tax of $0</w:t>
            </w:r>
          </w:p>
        </w:tc>
        <w:tc>
          <w:tcPr>
            <w:tcW w:w="320" w:type="dxa"/>
            <w:vAlign w:val="bottom"/>
            <w:tcBorders>
              <w:bottom w:val="single" w:sz="8" w:color="CCEEFF"/>
            </w:tcBorders>
            <w:shd w:val="clear" w:color="auto" w:fill="CCEEFF"/>
          </w:tcPr>
          <w:p>
            <w:pPr>
              <w:spacing w:after="0"/>
              <w:rPr>
                <w:sz w:val="22"/>
                <w:szCs w:val="22"/>
                <w:color w:val="auto"/>
              </w:rPr>
            </w:pPr>
          </w:p>
        </w:tc>
        <w:tc>
          <w:tcPr>
            <w:tcW w:w="1320" w:type="dxa"/>
            <w:vAlign w:val="bottom"/>
            <w:tcBorders>
              <w:bottom w:val="single" w:sz="8" w:color="CCEEFF"/>
            </w:tcBorders>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w:t>
            </w:r>
          </w:p>
        </w:tc>
        <w:tc>
          <w:tcPr>
            <w:tcW w:w="380" w:type="dxa"/>
            <w:vAlign w:val="bottom"/>
            <w:tcBorders>
              <w:bottom w:val="single" w:sz="8" w:color="CCEEFF"/>
            </w:tcBorders>
            <w:shd w:val="clear" w:color="auto" w:fill="CCEEFF"/>
          </w:tcPr>
          <w:p>
            <w:pPr>
              <w:spacing w:after="0"/>
              <w:rPr>
                <w:sz w:val="22"/>
                <w:szCs w:val="22"/>
                <w:color w:val="auto"/>
              </w:rPr>
            </w:pPr>
          </w:p>
        </w:tc>
        <w:tc>
          <w:tcPr>
            <w:tcW w:w="10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(298,817)</w:t>
            </w:r>
          </w:p>
        </w:tc>
        <w:tc>
          <w:tcPr>
            <w:tcW w:w="220" w:type="dxa"/>
            <w:vAlign w:val="bottom"/>
            <w:tcBorders>
              <w:bottom w:val="single" w:sz="8" w:color="CCEEFF"/>
            </w:tcBorders>
            <w:shd w:val="clear" w:color="auto" w:fill="CCEEFF"/>
          </w:tcPr>
          <w:p>
            <w:pPr>
              <w:spacing w:after="0"/>
              <w:rPr>
                <w:sz w:val="22"/>
                <w:szCs w:val="22"/>
                <w:color w:val="auto"/>
              </w:rPr>
            </w:pPr>
          </w:p>
        </w:tc>
        <w:tc>
          <w:tcPr>
            <w:tcW w:w="300" w:type="dxa"/>
            <w:vAlign w:val="bottom"/>
            <w:tcBorders>
              <w:bottom w:val="single" w:sz="8" w:color="CCEEFF"/>
            </w:tcBorders>
            <w:shd w:val="clear" w:color="auto" w:fill="CCEEFF"/>
          </w:tcPr>
          <w:p>
            <w:pPr>
              <w:spacing w:after="0"/>
              <w:rPr>
                <w:sz w:val="22"/>
                <w:szCs w:val="22"/>
                <w:color w:val="auto"/>
              </w:rPr>
            </w:pPr>
          </w:p>
        </w:tc>
        <w:tc>
          <w:tcPr>
            <w:tcW w:w="1320" w:type="dxa"/>
            <w:vAlign w:val="bottom"/>
            <w:tcBorders>
              <w:bottom w:val="single" w:sz="8" w:color="CCEEFF"/>
            </w:tcBorders>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w:t>
            </w:r>
          </w:p>
        </w:tc>
        <w:tc>
          <w:tcPr>
            <w:tcW w:w="380" w:type="dxa"/>
            <w:vAlign w:val="bottom"/>
            <w:tcBorders>
              <w:bottom w:val="single" w:sz="8" w:color="CCEEFF"/>
            </w:tcBorders>
            <w:shd w:val="clear" w:color="auto" w:fill="CCEEFF"/>
          </w:tcPr>
          <w:p>
            <w:pPr>
              <w:spacing w:after="0"/>
              <w:rPr>
                <w:sz w:val="22"/>
                <w:szCs w:val="22"/>
                <w:color w:val="auto"/>
              </w:rPr>
            </w:pPr>
          </w:p>
        </w:tc>
        <w:tc>
          <w:tcPr>
            <w:tcW w:w="10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(789,534)</w:t>
            </w:r>
          </w:p>
        </w:tc>
        <w:tc>
          <w:tcPr>
            <w:tcW w:w="0" w:type="dxa"/>
            <w:vAlign w:val="bottom"/>
          </w:tcPr>
          <w:p>
            <w:pPr>
              <w:spacing w:after="0"/>
              <w:rPr>
                <w:sz w:val="1"/>
                <w:szCs w:val="1"/>
                <w:color w:val="auto"/>
              </w:rPr>
            </w:pPr>
          </w:p>
        </w:tc>
      </w:tr>
      <w:tr>
        <w:trPr>
          <w:trHeight w:val="237"/>
        </w:trPr>
        <w:tc>
          <w:tcPr>
            <w:tcW w:w="4580" w:type="dxa"/>
            <w:vAlign w:val="bottom"/>
          </w:tcPr>
          <w:p>
            <w:pPr>
              <w:ind w:left="40"/>
              <w:spacing w:after="0"/>
              <w:rPr>
                <w:sz w:val="20"/>
                <w:szCs w:val="20"/>
                <w:color w:val="auto"/>
              </w:rPr>
            </w:pPr>
            <w:r>
              <w:rPr>
                <w:rFonts w:ascii="Arial" w:cs="Arial" w:eastAsia="Arial" w:hAnsi="Arial"/>
                <w:sz w:val="18"/>
                <w:szCs w:val="18"/>
                <w:color w:val="auto"/>
              </w:rPr>
              <w:t>Net loss from discontinued operations</w:t>
            </w:r>
          </w:p>
        </w:tc>
        <w:tc>
          <w:tcPr>
            <w:tcW w:w="320" w:type="dxa"/>
            <w:vAlign w:val="bottom"/>
            <w:tcBorders>
              <w:top w:val="single" w:sz="8" w:color="auto"/>
            </w:tcBorders>
          </w:tcPr>
          <w:p>
            <w:pPr>
              <w:spacing w:after="0"/>
              <w:rPr>
                <w:sz w:val="20"/>
                <w:szCs w:val="20"/>
                <w:color w:val="auto"/>
              </w:rPr>
            </w:pPr>
          </w:p>
        </w:tc>
        <w:tc>
          <w:tcPr>
            <w:tcW w:w="1100" w:type="dxa"/>
            <w:vAlign w:val="bottom"/>
            <w:tcBorders>
              <w:top w:val="single" w:sz="8" w:color="auto"/>
            </w:tcBorders>
          </w:tcPr>
          <w:p>
            <w:pPr>
              <w:jc w:val="right"/>
              <w:ind w:right="12"/>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20"/>
                <w:szCs w:val="20"/>
                <w:color w:val="auto"/>
              </w:rPr>
            </w:pPr>
          </w:p>
        </w:tc>
        <w:tc>
          <w:tcPr>
            <w:tcW w:w="380" w:type="dxa"/>
            <w:vAlign w:val="bottom"/>
            <w:tcBorders>
              <w:top w:val="single" w:sz="8" w:color="auto"/>
            </w:tcBorders>
          </w:tcPr>
          <w:p>
            <w:pPr>
              <w:spacing w:after="0"/>
              <w:rPr>
                <w:sz w:val="20"/>
                <w:szCs w:val="20"/>
                <w:color w:val="auto"/>
              </w:rPr>
            </w:pPr>
          </w:p>
        </w:tc>
        <w:tc>
          <w:tcPr>
            <w:tcW w:w="10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(298,817)</w:t>
            </w:r>
          </w:p>
        </w:tc>
        <w:tc>
          <w:tcPr>
            <w:tcW w:w="220" w:type="dxa"/>
            <w:vAlign w:val="bottom"/>
          </w:tcPr>
          <w:p>
            <w:pPr>
              <w:spacing w:after="0"/>
              <w:rPr>
                <w:sz w:val="20"/>
                <w:szCs w:val="20"/>
                <w:color w:val="auto"/>
              </w:rPr>
            </w:pPr>
          </w:p>
        </w:tc>
        <w:tc>
          <w:tcPr>
            <w:tcW w:w="300" w:type="dxa"/>
            <w:vAlign w:val="bottom"/>
            <w:tcBorders>
              <w:top w:val="single" w:sz="8" w:color="auto"/>
            </w:tcBorders>
          </w:tcPr>
          <w:p>
            <w:pPr>
              <w:spacing w:after="0"/>
              <w:rPr>
                <w:sz w:val="20"/>
                <w:szCs w:val="20"/>
                <w:color w:val="auto"/>
              </w:rPr>
            </w:pPr>
          </w:p>
        </w:tc>
        <w:tc>
          <w:tcPr>
            <w:tcW w:w="1100" w:type="dxa"/>
            <w:vAlign w:val="bottom"/>
            <w:tcBorders>
              <w:top w:val="single" w:sz="8" w:color="auto"/>
            </w:tcBorders>
          </w:tcPr>
          <w:p>
            <w:pPr>
              <w:jc w:val="right"/>
              <w:ind w:right="12"/>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20"/>
                <w:szCs w:val="20"/>
                <w:color w:val="auto"/>
              </w:rPr>
            </w:pPr>
          </w:p>
        </w:tc>
        <w:tc>
          <w:tcPr>
            <w:tcW w:w="380" w:type="dxa"/>
            <w:vAlign w:val="bottom"/>
            <w:tcBorders>
              <w:top w:val="single" w:sz="8" w:color="auto"/>
            </w:tcBorders>
          </w:tcPr>
          <w:p>
            <w:pPr>
              <w:spacing w:after="0"/>
              <w:rPr>
                <w:sz w:val="20"/>
                <w:szCs w:val="20"/>
                <w:color w:val="auto"/>
              </w:rPr>
            </w:pPr>
          </w:p>
        </w:tc>
        <w:tc>
          <w:tcPr>
            <w:tcW w:w="10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(789,534)</w:t>
            </w:r>
          </w:p>
        </w:tc>
        <w:tc>
          <w:tcPr>
            <w:tcW w:w="0" w:type="dxa"/>
            <w:vAlign w:val="bottom"/>
          </w:tcPr>
          <w:p>
            <w:pPr>
              <w:spacing w:after="0"/>
              <w:rPr>
                <w:sz w:val="1"/>
                <w:szCs w:val="1"/>
                <w:color w:val="auto"/>
              </w:rPr>
            </w:pPr>
          </w:p>
        </w:tc>
      </w:tr>
      <w:tr>
        <w:trPr>
          <w:trHeight w:val="27"/>
        </w:trPr>
        <w:tc>
          <w:tcPr>
            <w:tcW w:w="4580" w:type="dxa"/>
            <w:vAlign w:val="bottom"/>
            <w:tcBorders>
              <w:bottom w:val="single" w:sz="8" w:color="CCEEFF"/>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220" w:type="dxa"/>
            <w:vAlign w:val="bottom"/>
            <w:tcBorders>
              <w:bottom w:val="single" w:sz="8" w:color="CCEEFF"/>
            </w:tcBorders>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22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220" w:type="dxa"/>
            <w:vAlign w:val="bottom"/>
            <w:tcBorders>
              <w:bottom w:val="single" w:sz="8" w:color="CCEEFF"/>
            </w:tcBorders>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45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Net income/(loss)</w:t>
            </w:r>
          </w:p>
        </w:tc>
        <w:tc>
          <w:tcPr>
            <w:tcW w:w="32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1,067,327</w:t>
            </w:r>
          </w:p>
        </w:tc>
        <w:tc>
          <w:tcPr>
            <w:tcW w:w="220" w:type="dxa"/>
            <w:vAlign w:val="bottom"/>
            <w:tcBorders>
              <w:bottom w:val="single" w:sz="8" w:color="CCEEFF"/>
            </w:tcBorders>
            <w:shd w:val="clear" w:color="auto" w:fill="CCEEFF"/>
          </w:tcPr>
          <w:p>
            <w:pPr>
              <w:spacing w:after="0"/>
              <w:rPr>
                <w:sz w:val="21"/>
                <w:szCs w:val="21"/>
                <w:color w:val="auto"/>
              </w:rPr>
            </w:pPr>
          </w:p>
        </w:tc>
        <w:tc>
          <w:tcPr>
            <w:tcW w:w="38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(221,762)</w:t>
            </w:r>
          </w:p>
        </w:tc>
        <w:tc>
          <w:tcPr>
            <w:tcW w:w="22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1,216,003</w:t>
            </w:r>
          </w:p>
        </w:tc>
        <w:tc>
          <w:tcPr>
            <w:tcW w:w="220" w:type="dxa"/>
            <w:vAlign w:val="bottom"/>
            <w:tcBorders>
              <w:bottom w:val="single" w:sz="8" w:color="CCEEFF"/>
            </w:tcBorders>
            <w:shd w:val="clear" w:color="auto" w:fill="CCEEFF"/>
          </w:tcPr>
          <w:p>
            <w:pPr>
              <w:spacing w:after="0"/>
              <w:rPr>
                <w:sz w:val="21"/>
                <w:szCs w:val="21"/>
                <w:color w:val="auto"/>
              </w:rPr>
            </w:pPr>
          </w:p>
        </w:tc>
        <w:tc>
          <w:tcPr>
            <w:tcW w:w="38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(1,577,748)</w:t>
            </w:r>
          </w:p>
        </w:tc>
        <w:tc>
          <w:tcPr>
            <w:tcW w:w="0" w:type="dxa"/>
            <w:vAlign w:val="bottom"/>
          </w:tcPr>
          <w:p>
            <w:pPr>
              <w:spacing w:after="0"/>
              <w:rPr>
                <w:sz w:val="1"/>
                <w:szCs w:val="1"/>
                <w:color w:val="auto"/>
              </w:rPr>
            </w:pPr>
          </w:p>
        </w:tc>
      </w:tr>
      <w:tr>
        <w:trPr>
          <w:trHeight w:val="243"/>
        </w:trPr>
        <w:tc>
          <w:tcPr>
            <w:tcW w:w="4580" w:type="dxa"/>
            <w:vAlign w:val="bottom"/>
          </w:tcPr>
          <w:p>
            <w:pPr>
              <w:ind w:left="40"/>
              <w:spacing w:after="0"/>
              <w:rPr>
                <w:sz w:val="20"/>
                <w:szCs w:val="20"/>
                <w:color w:val="auto"/>
              </w:rPr>
            </w:pPr>
            <w:r>
              <w:rPr>
                <w:rFonts w:ascii="Arial" w:cs="Arial" w:eastAsia="Arial" w:hAnsi="Arial"/>
                <w:sz w:val="18"/>
                <w:szCs w:val="18"/>
                <w:color w:val="auto"/>
              </w:rPr>
              <w:t>Preferred stock dividend</w:t>
            </w:r>
          </w:p>
        </w:tc>
        <w:tc>
          <w:tcPr>
            <w:tcW w:w="320" w:type="dxa"/>
            <w:vAlign w:val="bottom"/>
          </w:tcPr>
          <w:p>
            <w:pPr>
              <w:spacing w:after="0"/>
              <w:rPr>
                <w:sz w:val="21"/>
                <w:szCs w:val="21"/>
                <w:color w:val="auto"/>
              </w:rPr>
            </w:pPr>
          </w:p>
        </w:tc>
        <w:tc>
          <w:tcPr>
            <w:tcW w:w="1100" w:type="dxa"/>
            <w:vAlign w:val="bottom"/>
          </w:tcPr>
          <w:p>
            <w:pPr>
              <w:jc w:val="right"/>
              <w:ind w:right="12"/>
              <w:spacing w:after="0"/>
              <w:rPr>
                <w:sz w:val="20"/>
                <w:szCs w:val="20"/>
                <w:color w:val="auto"/>
              </w:rPr>
            </w:pPr>
            <w:r>
              <w:rPr>
                <w:rFonts w:ascii="Arial" w:cs="Arial" w:eastAsia="Arial" w:hAnsi="Arial"/>
                <w:sz w:val="18"/>
                <w:szCs w:val="18"/>
                <w:color w:val="auto"/>
              </w:rPr>
              <w:t>63,235</w:t>
            </w:r>
          </w:p>
        </w:tc>
        <w:tc>
          <w:tcPr>
            <w:tcW w:w="22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1040" w:type="dxa"/>
            <w:vAlign w:val="bottom"/>
          </w:tcPr>
          <w:p>
            <w:pPr>
              <w:jc w:val="right"/>
              <w:ind w:right="31"/>
              <w:spacing w:after="0"/>
              <w:rPr>
                <w:sz w:val="20"/>
                <w:szCs w:val="20"/>
                <w:color w:val="auto"/>
              </w:rPr>
            </w:pPr>
            <w:r>
              <w:rPr>
                <w:rFonts w:ascii="Arial" w:cs="Arial" w:eastAsia="Arial" w:hAnsi="Arial"/>
                <w:sz w:val="18"/>
                <w:szCs w:val="18"/>
                <w:color w:val="auto"/>
              </w:rPr>
              <w:t>29,536</w:t>
            </w:r>
          </w:p>
        </w:tc>
        <w:tc>
          <w:tcPr>
            <w:tcW w:w="22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100" w:type="dxa"/>
            <w:vAlign w:val="bottom"/>
          </w:tcPr>
          <w:p>
            <w:pPr>
              <w:jc w:val="right"/>
              <w:ind w:right="12"/>
              <w:spacing w:after="0"/>
              <w:rPr>
                <w:sz w:val="20"/>
                <w:szCs w:val="20"/>
                <w:color w:val="auto"/>
              </w:rPr>
            </w:pPr>
            <w:r>
              <w:rPr>
                <w:rFonts w:ascii="Arial" w:cs="Arial" w:eastAsia="Arial" w:hAnsi="Arial"/>
                <w:sz w:val="18"/>
                <w:szCs w:val="18"/>
                <w:color w:val="auto"/>
              </w:rPr>
              <w:t>127,660</w:t>
            </w:r>
          </w:p>
        </w:tc>
        <w:tc>
          <w:tcPr>
            <w:tcW w:w="22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1040" w:type="dxa"/>
            <w:vAlign w:val="bottom"/>
          </w:tcPr>
          <w:p>
            <w:pPr>
              <w:jc w:val="right"/>
              <w:ind w:right="11"/>
              <w:spacing w:after="0"/>
              <w:rPr>
                <w:sz w:val="20"/>
                <w:szCs w:val="20"/>
                <w:color w:val="auto"/>
              </w:rPr>
            </w:pPr>
            <w:r>
              <w:rPr>
                <w:rFonts w:ascii="Arial" w:cs="Arial" w:eastAsia="Arial" w:hAnsi="Arial"/>
                <w:sz w:val="18"/>
                <w:szCs w:val="18"/>
                <w:color w:val="auto"/>
              </w:rPr>
              <w:t>63,632</w:t>
            </w:r>
          </w:p>
        </w:tc>
        <w:tc>
          <w:tcPr>
            <w:tcW w:w="0" w:type="dxa"/>
            <w:vAlign w:val="bottom"/>
          </w:tcPr>
          <w:p>
            <w:pPr>
              <w:spacing w:after="0"/>
              <w:rPr>
                <w:sz w:val="1"/>
                <w:szCs w:val="1"/>
                <w:color w:val="auto"/>
              </w:rPr>
            </w:pPr>
          </w:p>
        </w:tc>
      </w:tr>
      <w:tr>
        <w:trPr>
          <w:trHeight w:val="27"/>
        </w:trPr>
        <w:tc>
          <w:tcPr>
            <w:tcW w:w="4580" w:type="dxa"/>
            <w:vAlign w:val="bottom"/>
            <w:tcBorders>
              <w:bottom w:val="single" w:sz="8" w:color="CCEEFF"/>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220" w:type="dxa"/>
            <w:vAlign w:val="bottom"/>
            <w:tcBorders>
              <w:bottom w:val="single" w:sz="8" w:color="CCEEFF"/>
            </w:tcBorders>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22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220" w:type="dxa"/>
            <w:vAlign w:val="bottom"/>
            <w:tcBorders>
              <w:bottom w:val="single" w:sz="8" w:color="CCEEFF"/>
            </w:tcBorders>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57"/>
        </w:trPr>
        <w:tc>
          <w:tcPr>
            <w:tcW w:w="45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Net income/(loss) attributable to common stockholders</w:t>
            </w:r>
          </w:p>
        </w:tc>
        <w:tc>
          <w:tcPr>
            <w:tcW w:w="320" w:type="dxa"/>
            <w:vAlign w:val="bottom"/>
            <w:tcBorders>
              <w:bottom w:val="single" w:sz="8" w:color="auto"/>
            </w:tcBorders>
            <w:shd w:val="clear" w:color="auto" w:fill="CCEEFF"/>
          </w:tcPr>
          <w:p>
            <w:pPr>
              <w:jc w:val="right"/>
              <w:ind w:right="110"/>
              <w:spacing w:after="0"/>
              <w:rPr>
                <w:sz w:val="20"/>
                <w:szCs w:val="20"/>
                <w:color w:val="auto"/>
              </w:rPr>
            </w:pPr>
            <w:r>
              <w:rPr>
                <w:rFonts w:ascii="Arial" w:cs="Arial" w:eastAsia="Arial" w:hAnsi="Arial"/>
                <w:sz w:val="18"/>
                <w:szCs w:val="18"/>
                <w:color w:val="auto"/>
                <w:w w:val="99"/>
              </w:rPr>
              <w:t>$</w:t>
            </w:r>
          </w:p>
        </w:tc>
        <w:tc>
          <w:tcPr>
            <w:tcW w:w="1100" w:type="dxa"/>
            <w:vAlign w:val="bottom"/>
            <w:tcBorders>
              <w:bottom w:val="single" w:sz="8" w:color="auto"/>
            </w:tcBorders>
            <w:shd w:val="clear" w:color="auto" w:fill="CCEEFF"/>
          </w:tcPr>
          <w:p>
            <w:pPr>
              <w:jc w:val="right"/>
              <w:ind w:right="12"/>
              <w:spacing w:after="0"/>
              <w:rPr>
                <w:sz w:val="20"/>
                <w:szCs w:val="20"/>
                <w:color w:val="auto"/>
              </w:rPr>
            </w:pPr>
            <w:r>
              <w:rPr>
                <w:rFonts w:ascii="Arial" w:cs="Arial" w:eastAsia="Arial" w:hAnsi="Arial"/>
                <w:sz w:val="18"/>
                <w:szCs w:val="18"/>
                <w:color w:val="auto"/>
              </w:rPr>
              <w:t>1,004,092</w:t>
            </w:r>
          </w:p>
        </w:tc>
        <w:tc>
          <w:tcPr>
            <w:tcW w:w="220" w:type="dxa"/>
            <w:vAlign w:val="bottom"/>
            <w:tcBorders>
              <w:bottom w:val="single" w:sz="8" w:color="CCEEFF"/>
            </w:tcBorders>
            <w:shd w:val="clear" w:color="auto" w:fill="CCEEFF"/>
          </w:tcPr>
          <w:p>
            <w:pPr>
              <w:spacing w:after="0"/>
              <w:rPr>
                <w:sz w:val="22"/>
                <w:szCs w:val="22"/>
                <w:color w:val="auto"/>
              </w:rPr>
            </w:pPr>
          </w:p>
        </w:tc>
        <w:tc>
          <w:tcPr>
            <w:tcW w:w="380" w:type="dxa"/>
            <w:vAlign w:val="bottom"/>
            <w:tcBorders>
              <w:bottom w:val="single" w:sz="8" w:color="auto"/>
            </w:tcBorders>
            <w:shd w:val="clear" w:color="auto" w:fill="CCEEFF"/>
          </w:tcPr>
          <w:p>
            <w:pPr>
              <w:jc w:val="right"/>
              <w:ind w:right="170"/>
              <w:spacing w:after="0"/>
              <w:rPr>
                <w:sz w:val="20"/>
                <w:szCs w:val="20"/>
                <w:color w:val="auto"/>
              </w:rPr>
            </w:pPr>
            <w:r>
              <w:rPr>
                <w:rFonts w:ascii="Arial" w:cs="Arial" w:eastAsia="Arial" w:hAnsi="Arial"/>
                <w:sz w:val="18"/>
                <w:szCs w:val="18"/>
                <w:color w:val="auto"/>
                <w:w w:val="99"/>
              </w:rPr>
              <w:t>$</w:t>
            </w:r>
          </w:p>
        </w:tc>
        <w:tc>
          <w:tcPr>
            <w:tcW w:w="10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(251,298)</w:t>
            </w:r>
          </w:p>
        </w:tc>
        <w:tc>
          <w:tcPr>
            <w:tcW w:w="220" w:type="dxa"/>
            <w:vAlign w:val="bottom"/>
            <w:tcBorders>
              <w:bottom w:val="single" w:sz="8" w:color="CCEEFF"/>
            </w:tcBorders>
            <w:shd w:val="clear" w:color="auto" w:fill="CCEEFF"/>
          </w:tcPr>
          <w:p>
            <w:pPr>
              <w:spacing w:after="0"/>
              <w:rPr>
                <w:sz w:val="22"/>
                <w:szCs w:val="22"/>
                <w:color w:val="auto"/>
              </w:rPr>
            </w:pPr>
          </w:p>
        </w:tc>
        <w:tc>
          <w:tcPr>
            <w:tcW w:w="300" w:type="dxa"/>
            <w:vAlign w:val="bottom"/>
            <w:tcBorders>
              <w:bottom w:val="single" w:sz="8" w:color="auto"/>
            </w:tcBorders>
            <w:shd w:val="clear" w:color="auto" w:fill="CCEEFF"/>
          </w:tcPr>
          <w:p>
            <w:pPr>
              <w:jc w:val="right"/>
              <w:ind w:right="110"/>
              <w:spacing w:after="0"/>
              <w:rPr>
                <w:sz w:val="20"/>
                <w:szCs w:val="20"/>
                <w:color w:val="auto"/>
              </w:rPr>
            </w:pPr>
            <w:r>
              <w:rPr>
                <w:rFonts w:ascii="Arial" w:cs="Arial" w:eastAsia="Arial" w:hAnsi="Arial"/>
                <w:sz w:val="18"/>
                <w:szCs w:val="18"/>
                <w:color w:val="auto"/>
                <w:w w:val="79"/>
              </w:rPr>
              <w:t>$</w:t>
            </w:r>
          </w:p>
        </w:tc>
        <w:tc>
          <w:tcPr>
            <w:tcW w:w="1100" w:type="dxa"/>
            <w:vAlign w:val="bottom"/>
            <w:tcBorders>
              <w:bottom w:val="single" w:sz="8" w:color="auto"/>
            </w:tcBorders>
            <w:shd w:val="clear" w:color="auto" w:fill="CCEEFF"/>
          </w:tcPr>
          <w:p>
            <w:pPr>
              <w:jc w:val="right"/>
              <w:ind w:right="12"/>
              <w:spacing w:after="0"/>
              <w:rPr>
                <w:sz w:val="20"/>
                <w:szCs w:val="20"/>
                <w:color w:val="auto"/>
              </w:rPr>
            </w:pPr>
            <w:r>
              <w:rPr>
                <w:rFonts w:ascii="Arial" w:cs="Arial" w:eastAsia="Arial" w:hAnsi="Arial"/>
                <w:sz w:val="18"/>
                <w:szCs w:val="18"/>
                <w:color w:val="auto"/>
              </w:rPr>
              <w:t>1,088,343</w:t>
            </w:r>
          </w:p>
        </w:tc>
        <w:tc>
          <w:tcPr>
            <w:tcW w:w="220" w:type="dxa"/>
            <w:vAlign w:val="bottom"/>
            <w:tcBorders>
              <w:bottom w:val="single" w:sz="8" w:color="CCEEFF"/>
            </w:tcBorders>
            <w:shd w:val="clear" w:color="auto" w:fill="CCEEFF"/>
          </w:tcPr>
          <w:p>
            <w:pPr>
              <w:spacing w:after="0"/>
              <w:rPr>
                <w:sz w:val="22"/>
                <w:szCs w:val="22"/>
                <w:color w:val="auto"/>
              </w:rPr>
            </w:pPr>
          </w:p>
        </w:tc>
        <w:tc>
          <w:tcPr>
            <w:tcW w:w="380" w:type="dxa"/>
            <w:vAlign w:val="bottom"/>
            <w:tcBorders>
              <w:bottom w:val="single" w:sz="8" w:color="auto"/>
            </w:tcBorders>
            <w:shd w:val="clear" w:color="auto" w:fill="CCEEFF"/>
          </w:tcPr>
          <w:p>
            <w:pPr>
              <w:jc w:val="right"/>
              <w:ind w:right="170"/>
              <w:spacing w:after="0"/>
              <w:rPr>
                <w:sz w:val="20"/>
                <w:szCs w:val="20"/>
                <w:color w:val="auto"/>
              </w:rPr>
            </w:pPr>
            <w:r>
              <w:rPr>
                <w:rFonts w:ascii="Arial" w:cs="Arial" w:eastAsia="Arial" w:hAnsi="Arial"/>
                <w:sz w:val="18"/>
                <w:szCs w:val="18"/>
                <w:color w:val="auto"/>
                <w:w w:val="99"/>
              </w:rPr>
              <w:t>$</w:t>
            </w:r>
          </w:p>
        </w:tc>
        <w:tc>
          <w:tcPr>
            <w:tcW w:w="10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(1,641,380)</w:t>
            </w:r>
          </w:p>
        </w:tc>
        <w:tc>
          <w:tcPr>
            <w:tcW w:w="0" w:type="dxa"/>
            <w:vAlign w:val="bottom"/>
          </w:tcPr>
          <w:p>
            <w:pPr>
              <w:spacing w:after="0"/>
              <w:rPr>
                <w:sz w:val="1"/>
                <w:szCs w:val="1"/>
                <w:color w:val="auto"/>
              </w:rPr>
            </w:pPr>
          </w:p>
        </w:tc>
      </w:tr>
      <w:tr>
        <w:trPr>
          <w:trHeight w:val="20"/>
        </w:trPr>
        <w:tc>
          <w:tcPr>
            <w:tcW w:w="4580" w:type="dxa"/>
            <w:vAlign w:val="bottom"/>
            <w:vMerge w:val="restart"/>
          </w:tcPr>
          <w:p>
            <w:pPr>
              <w:ind w:left="40"/>
              <w:spacing w:after="0"/>
              <w:rPr>
                <w:sz w:val="20"/>
                <w:szCs w:val="20"/>
                <w:color w:val="auto"/>
              </w:rPr>
            </w:pPr>
            <w:r>
              <w:rPr>
                <w:rFonts w:ascii="Arial" w:cs="Arial" w:eastAsia="Arial" w:hAnsi="Arial"/>
                <w:sz w:val="18"/>
                <w:szCs w:val="18"/>
                <w:color w:val="auto"/>
              </w:rPr>
              <w:t>Net income/(loss) per share from continuing operations:</w:t>
            </w:r>
          </w:p>
        </w:tc>
        <w:tc>
          <w:tcPr>
            <w:tcW w:w="32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3"/>
        </w:trPr>
        <w:tc>
          <w:tcPr>
            <w:tcW w:w="4580" w:type="dxa"/>
            <w:vAlign w:val="bottom"/>
            <w:vMerge w:val="continue"/>
          </w:tcPr>
          <w:p>
            <w:pPr>
              <w:spacing w:after="0"/>
              <w:rPr>
                <w:sz w:val="17"/>
                <w:szCs w:val="17"/>
                <w:color w:val="auto"/>
              </w:rPr>
            </w:pPr>
          </w:p>
        </w:tc>
        <w:tc>
          <w:tcPr>
            <w:tcW w:w="320" w:type="dxa"/>
            <w:vAlign w:val="bottom"/>
          </w:tcPr>
          <w:p>
            <w:pPr>
              <w:spacing w:after="0"/>
              <w:rPr>
                <w:sz w:val="17"/>
                <w:szCs w:val="17"/>
                <w:color w:val="auto"/>
              </w:rPr>
            </w:pPr>
          </w:p>
        </w:tc>
        <w:tc>
          <w:tcPr>
            <w:tcW w:w="11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104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11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10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54"/>
        </w:trPr>
        <w:tc>
          <w:tcPr>
            <w:tcW w:w="4580" w:type="dxa"/>
            <w:vAlign w:val="bottom"/>
          </w:tcPr>
          <w:p>
            <w:pPr>
              <w:spacing w:after="0"/>
              <w:rPr>
                <w:sz w:val="4"/>
                <w:szCs w:val="4"/>
                <w:color w:val="auto"/>
              </w:rPr>
            </w:pPr>
          </w:p>
        </w:tc>
        <w:tc>
          <w:tcPr>
            <w:tcW w:w="320" w:type="dxa"/>
            <w:vAlign w:val="bottom"/>
          </w:tcPr>
          <w:p>
            <w:pPr>
              <w:spacing w:after="0"/>
              <w:rPr>
                <w:sz w:val="4"/>
                <w:szCs w:val="4"/>
                <w:color w:val="auto"/>
              </w:rPr>
            </w:pPr>
          </w:p>
        </w:tc>
        <w:tc>
          <w:tcPr>
            <w:tcW w:w="1100" w:type="dxa"/>
            <w:vAlign w:val="bottom"/>
          </w:tcPr>
          <w:p>
            <w:pPr>
              <w:spacing w:after="0"/>
              <w:rPr>
                <w:sz w:val="4"/>
                <w:szCs w:val="4"/>
                <w:color w:val="auto"/>
              </w:rPr>
            </w:pPr>
          </w:p>
        </w:tc>
        <w:tc>
          <w:tcPr>
            <w:tcW w:w="220" w:type="dxa"/>
            <w:vAlign w:val="bottom"/>
          </w:tcPr>
          <w:p>
            <w:pPr>
              <w:spacing w:after="0"/>
              <w:rPr>
                <w:sz w:val="4"/>
                <w:szCs w:val="4"/>
                <w:color w:val="auto"/>
              </w:rPr>
            </w:pPr>
          </w:p>
        </w:tc>
        <w:tc>
          <w:tcPr>
            <w:tcW w:w="380" w:type="dxa"/>
            <w:vAlign w:val="bottom"/>
          </w:tcPr>
          <w:p>
            <w:pPr>
              <w:spacing w:after="0"/>
              <w:rPr>
                <w:sz w:val="4"/>
                <w:szCs w:val="4"/>
                <w:color w:val="auto"/>
              </w:rPr>
            </w:pPr>
          </w:p>
        </w:tc>
        <w:tc>
          <w:tcPr>
            <w:tcW w:w="1040" w:type="dxa"/>
            <w:vAlign w:val="bottom"/>
          </w:tcPr>
          <w:p>
            <w:pPr>
              <w:spacing w:after="0"/>
              <w:rPr>
                <w:sz w:val="4"/>
                <w:szCs w:val="4"/>
                <w:color w:val="auto"/>
              </w:rPr>
            </w:pPr>
          </w:p>
        </w:tc>
        <w:tc>
          <w:tcPr>
            <w:tcW w:w="220" w:type="dxa"/>
            <w:vAlign w:val="bottom"/>
          </w:tcPr>
          <w:p>
            <w:pPr>
              <w:spacing w:after="0"/>
              <w:rPr>
                <w:sz w:val="4"/>
                <w:szCs w:val="4"/>
                <w:color w:val="auto"/>
              </w:rPr>
            </w:pPr>
          </w:p>
        </w:tc>
        <w:tc>
          <w:tcPr>
            <w:tcW w:w="300" w:type="dxa"/>
            <w:vAlign w:val="bottom"/>
          </w:tcPr>
          <w:p>
            <w:pPr>
              <w:spacing w:after="0"/>
              <w:rPr>
                <w:sz w:val="4"/>
                <w:szCs w:val="4"/>
                <w:color w:val="auto"/>
              </w:rPr>
            </w:pPr>
          </w:p>
        </w:tc>
        <w:tc>
          <w:tcPr>
            <w:tcW w:w="1100" w:type="dxa"/>
            <w:vAlign w:val="bottom"/>
          </w:tcPr>
          <w:p>
            <w:pPr>
              <w:spacing w:after="0"/>
              <w:rPr>
                <w:sz w:val="4"/>
                <w:szCs w:val="4"/>
                <w:color w:val="auto"/>
              </w:rPr>
            </w:pPr>
          </w:p>
        </w:tc>
        <w:tc>
          <w:tcPr>
            <w:tcW w:w="220" w:type="dxa"/>
            <w:vAlign w:val="bottom"/>
          </w:tcPr>
          <w:p>
            <w:pPr>
              <w:spacing w:after="0"/>
              <w:rPr>
                <w:sz w:val="4"/>
                <w:szCs w:val="4"/>
                <w:color w:val="auto"/>
              </w:rPr>
            </w:pPr>
          </w:p>
        </w:tc>
        <w:tc>
          <w:tcPr>
            <w:tcW w:w="380" w:type="dxa"/>
            <w:vAlign w:val="bottom"/>
          </w:tcPr>
          <w:p>
            <w:pPr>
              <w:spacing w:after="0"/>
              <w:rPr>
                <w:sz w:val="4"/>
                <w:szCs w:val="4"/>
                <w:color w:val="auto"/>
              </w:rPr>
            </w:pPr>
          </w:p>
        </w:tc>
        <w:tc>
          <w:tcPr>
            <w:tcW w:w="104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75"/>
        </w:trPr>
        <w:tc>
          <w:tcPr>
            <w:tcW w:w="4580" w:type="dxa"/>
            <w:vAlign w:val="bottom"/>
            <w:tcBorders>
              <w:bottom w:val="single" w:sz="8" w:color="CCEEFF"/>
            </w:tcBorders>
            <w:shd w:val="clear" w:color="auto" w:fill="CCEEFF"/>
          </w:tcPr>
          <w:p>
            <w:pPr>
              <w:ind w:left="340"/>
              <w:spacing w:after="0"/>
              <w:rPr>
                <w:sz w:val="20"/>
                <w:szCs w:val="20"/>
                <w:color w:val="auto"/>
              </w:rPr>
            </w:pPr>
            <w:r>
              <w:rPr>
                <w:rFonts w:ascii="Arial" w:cs="Arial" w:eastAsia="Arial" w:hAnsi="Arial"/>
                <w:sz w:val="18"/>
                <w:szCs w:val="18"/>
                <w:color w:val="auto"/>
              </w:rPr>
              <w:t>Basic</w:t>
            </w:r>
          </w:p>
        </w:tc>
        <w:tc>
          <w:tcPr>
            <w:tcW w:w="320" w:type="dxa"/>
            <w:vAlign w:val="bottom"/>
            <w:tcBorders>
              <w:bottom w:val="single" w:sz="8" w:color="CCEEFF"/>
            </w:tcBorders>
            <w:shd w:val="clear" w:color="auto" w:fill="CCEEFF"/>
          </w:tcPr>
          <w:p>
            <w:pPr>
              <w:jc w:val="right"/>
              <w:ind w:right="110"/>
              <w:spacing w:after="0"/>
              <w:rPr>
                <w:sz w:val="20"/>
                <w:szCs w:val="20"/>
                <w:color w:val="auto"/>
              </w:rPr>
            </w:pPr>
            <w:r>
              <w:rPr>
                <w:rFonts w:ascii="Arial" w:cs="Arial" w:eastAsia="Arial" w:hAnsi="Arial"/>
                <w:sz w:val="18"/>
                <w:szCs w:val="18"/>
                <w:color w:val="auto"/>
                <w:w w:val="99"/>
              </w:rPr>
              <w:t>$</w:t>
            </w:r>
          </w:p>
        </w:tc>
        <w:tc>
          <w:tcPr>
            <w:tcW w:w="110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0.04</w:t>
            </w:r>
          </w:p>
        </w:tc>
        <w:tc>
          <w:tcPr>
            <w:tcW w:w="220" w:type="dxa"/>
            <w:vAlign w:val="bottom"/>
            <w:tcBorders>
              <w:bottom w:val="single" w:sz="8" w:color="CCEEFF"/>
            </w:tcBorders>
            <w:shd w:val="clear" w:color="auto" w:fill="CCEEFF"/>
          </w:tcPr>
          <w:p>
            <w:pPr>
              <w:spacing w:after="0"/>
              <w:rPr>
                <w:sz w:val="23"/>
                <w:szCs w:val="23"/>
                <w:color w:val="auto"/>
              </w:rPr>
            </w:pPr>
          </w:p>
        </w:tc>
        <w:tc>
          <w:tcPr>
            <w:tcW w:w="380" w:type="dxa"/>
            <w:vAlign w:val="bottom"/>
            <w:tcBorders>
              <w:bottom w:val="single" w:sz="8" w:color="CCEEFF"/>
            </w:tcBorders>
            <w:shd w:val="clear" w:color="auto" w:fill="CCEEFF"/>
          </w:tcPr>
          <w:p>
            <w:pPr>
              <w:jc w:val="right"/>
              <w:ind w:right="170"/>
              <w:spacing w:after="0"/>
              <w:rPr>
                <w:sz w:val="20"/>
                <w:szCs w:val="20"/>
                <w:color w:val="auto"/>
              </w:rPr>
            </w:pPr>
            <w:r>
              <w:rPr>
                <w:rFonts w:ascii="Arial" w:cs="Arial" w:eastAsia="Arial" w:hAnsi="Arial"/>
                <w:sz w:val="18"/>
                <w:szCs w:val="18"/>
                <w:color w:val="auto"/>
                <w:w w:val="99"/>
              </w:rPr>
              <w:t>$</w:t>
            </w:r>
          </w:p>
        </w:tc>
        <w:tc>
          <w:tcPr>
            <w:tcW w:w="1260" w:type="dxa"/>
            <w:vAlign w:val="bottom"/>
            <w:tcBorders>
              <w:bottom w:val="single" w:sz="8" w:color="CCEEFF"/>
            </w:tcBorders>
            <w:gridSpan w:val="2"/>
            <w:shd w:val="clear" w:color="auto" w:fill="CCEEFF"/>
          </w:tcPr>
          <w:p>
            <w:pPr>
              <w:jc w:val="right"/>
              <w:ind w:right="340"/>
              <w:spacing w:after="0"/>
              <w:rPr>
                <w:sz w:val="20"/>
                <w:szCs w:val="20"/>
                <w:color w:val="auto"/>
              </w:rPr>
            </w:pPr>
            <w:r>
              <w:rPr>
                <w:rFonts w:ascii="Arial" w:cs="Arial" w:eastAsia="Arial" w:hAnsi="Arial"/>
                <w:sz w:val="18"/>
                <w:szCs w:val="18"/>
                <w:color w:val="auto"/>
              </w:rPr>
              <w:t>—</w:t>
            </w:r>
          </w:p>
        </w:tc>
        <w:tc>
          <w:tcPr>
            <w:tcW w:w="300" w:type="dxa"/>
            <w:vAlign w:val="bottom"/>
            <w:tcBorders>
              <w:bottom w:val="single" w:sz="8" w:color="CCEEFF"/>
            </w:tcBorders>
            <w:shd w:val="clear" w:color="auto" w:fill="CCEEFF"/>
          </w:tcPr>
          <w:p>
            <w:pPr>
              <w:jc w:val="right"/>
              <w:ind w:right="110"/>
              <w:spacing w:after="0"/>
              <w:rPr>
                <w:sz w:val="20"/>
                <w:szCs w:val="20"/>
                <w:color w:val="auto"/>
              </w:rPr>
            </w:pPr>
            <w:r>
              <w:rPr>
                <w:rFonts w:ascii="Arial" w:cs="Arial" w:eastAsia="Arial" w:hAnsi="Arial"/>
                <w:sz w:val="18"/>
                <w:szCs w:val="18"/>
                <w:color w:val="auto"/>
                <w:w w:val="79"/>
              </w:rPr>
              <w:t>$</w:t>
            </w:r>
          </w:p>
        </w:tc>
        <w:tc>
          <w:tcPr>
            <w:tcW w:w="110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0.04</w:t>
            </w:r>
          </w:p>
        </w:tc>
        <w:tc>
          <w:tcPr>
            <w:tcW w:w="220" w:type="dxa"/>
            <w:vAlign w:val="bottom"/>
            <w:tcBorders>
              <w:bottom w:val="single" w:sz="8" w:color="CCEEFF"/>
            </w:tcBorders>
            <w:shd w:val="clear" w:color="auto" w:fill="CCEEFF"/>
          </w:tcPr>
          <w:p>
            <w:pPr>
              <w:spacing w:after="0"/>
              <w:rPr>
                <w:sz w:val="23"/>
                <w:szCs w:val="23"/>
                <w:color w:val="auto"/>
              </w:rPr>
            </w:pPr>
          </w:p>
        </w:tc>
        <w:tc>
          <w:tcPr>
            <w:tcW w:w="380" w:type="dxa"/>
            <w:vAlign w:val="bottom"/>
            <w:tcBorders>
              <w:bottom w:val="single" w:sz="8" w:color="CCEEFF"/>
            </w:tcBorders>
            <w:shd w:val="clear" w:color="auto" w:fill="CCEEFF"/>
          </w:tcPr>
          <w:p>
            <w:pPr>
              <w:jc w:val="right"/>
              <w:ind w:right="170"/>
              <w:spacing w:after="0"/>
              <w:rPr>
                <w:sz w:val="20"/>
                <w:szCs w:val="20"/>
                <w:color w:val="auto"/>
              </w:rPr>
            </w:pPr>
            <w:r>
              <w:rPr>
                <w:rFonts w:ascii="Arial" w:cs="Arial" w:eastAsia="Arial" w:hAnsi="Arial"/>
                <w:sz w:val="18"/>
                <w:szCs w:val="18"/>
                <w:color w:val="auto"/>
                <w:w w:val="99"/>
              </w:rPr>
              <w:t>$</w:t>
            </w:r>
          </w:p>
        </w:tc>
        <w:tc>
          <w:tcPr>
            <w:tcW w:w="10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(0.03)</w:t>
            </w:r>
          </w:p>
        </w:tc>
        <w:tc>
          <w:tcPr>
            <w:tcW w:w="0" w:type="dxa"/>
            <w:vAlign w:val="bottom"/>
          </w:tcPr>
          <w:p>
            <w:pPr>
              <w:spacing w:after="0"/>
              <w:rPr>
                <w:sz w:val="1"/>
                <w:szCs w:val="1"/>
                <w:color w:val="auto"/>
              </w:rPr>
            </w:pPr>
          </w:p>
        </w:tc>
      </w:tr>
      <w:tr>
        <w:trPr>
          <w:trHeight w:val="20"/>
        </w:trPr>
        <w:tc>
          <w:tcPr>
            <w:tcW w:w="4580" w:type="dxa"/>
            <w:vAlign w:val="bottom"/>
            <w:tcBorders>
              <w:top w:val="single" w:sz="8" w:color="CCEEFF"/>
              <w:bottom w:val="single" w:sz="8" w:color="CCEEFF"/>
            </w:tcBorders>
            <w:vMerge w:val="restart"/>
          </w:tcPr>
          <w:p>
            <w:pPr>
              <w:ind w:left="340"/>
              <w:spacing w:after="0"/>
              <w:rPr>
                <w:sz w:val="20"/>
                <w:szCs w:val="20"/>
                <w:color w:val="auto"/>
              </w:rPr>
            </w:pPr>
            <w:r>
              <w:rPr>
                <w:rFonts w:ascii="Arial" w:cs="Arial" w:eastAsia="Arial" w:hAnsi="Arial"/>
                <w:sz w:val="18"/>
                <w:szCs w:val="18"/>
                <w:color w:val="auto"/>
              </w:rPr>
              <w:t>Diluted</w:t>
            </w:r>
          </w:p>
        </w:tc>
        <w:tc>
          <w:tcPr>
            <w:tcW w:w="320" w:type="dxa"/>
            <w:vAlign w:val="bottom"/>
            <w:tcBorders>
              <w:top w:val="single" w:sz="8" w:color="auto"/>
              <w:bottom w:val="single" w:sz="8" w:color="auto"/>
            </w:tcBorders>
          </w:tcPr>
          <w:p>
            <w:pPr>
              <w:spacing w:after="0" w:line="20" w:lineRule="exact"/>
              <w:rPr>
                <w:sz w:val="1"/>
                <w:szCs w:val="1"/>
                <w:color w:val="auto"/>
              </w:rPr>
            </w:pPr>
          </w:p>
        </w:tc>
        <w:tc>
          <w:tcPr>
            <w:tcW w:w="110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top w:val="single" w:sz="8" w:color="CCEEFF"/>
            </w:tcBorders>
          </w:tcPr>
          <w:p>
            <w:pPr>
              <w:spacing w:after="0" w:line="20" w:lineRule="exact"/>
              <w:rPr>
                <w:sz w:val="1"/>
                <w:szCs w:val="1"/>
                <w:color w:val="auto"/>
              </w:rPr>
            </w:pPr>
          </w:p>
        </w:tc>
        <w:tc>
          <w:tcPr>
            <w:tcW w:w="380" w:type="dxa"/>
            <w:vAlign w:val="bottom"/>
            <w:tcBorders>
              <w:top w:val="single" w:sz="8" w:color="auto"/>
              <w:bottom w:val="single" w:sz="8" w:color="auto"/>
            </w:tcBorders>
          </w:tcPr>
          <w:p>
            <w:pPr>
              <w:spacing w:after="0" w:line="20" w:lineRule="exact"/>
              <w:rPr>
                <w:sz w:val="1"/>
                <w:szCs w:val="1"/>
                <w:color w:val="auto"/>
              </w:rPr>
            </w:pPr>
          </w:p>
        </w:tc>
        <w:tc>
          <w:tcPr>
            <w:tcW w:w="104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top w:val="single" w:sz="8" w:color="CCEEFF"/>
            </w:tcBorders>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110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top w:val="single" w:sz="8" w:color="CCEEFF"/>
            </w:tcBorders>
          </w:tcPr>
          <w:p>
            <w:pPr>
              <w:spacing w:after="0" w:line="20" w:lineRule="exact"/>
              <w:rPr>
                <w:sz w:val="1"/>
                <w:szCs w:val="1"/>
                <w:color w:val="auto"/>
              </w:rPr>
            </w:pPr>
          </w:p>
        </w:tc>
        <w:tc>
          <w:tcPr>
            <w:tcW w:w="380" w:type="dxa"/>
            <w:vAlign w:val="bottom"/>
            <w:tcBorders>
              <w:top w:val="single" w:sz="8" w:color="auto"/>
              <w:bottom w:val="single" w:sz="8" w:color="auto"/>
            </w:tcBorders>
          </w:tcPr>
          <w:p>
            <w:pPr>
              <w:spacing w:after="0" w:line="20" w:lineRule="exact"/>
              <w:rPr>
                <w:sz w:val="1"/>
                <w:szCs w:val="1"/>
                <w:color w:val="auto"/>
              </w:rPr>
            </w:pPr>
          </w:p>
        </w:tc>
        <w:tc>
          <w:tcPr>
            <w:tcW w:w="104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4"/>
        </w:trPr>
        <w:tc>
          <w:tcPr>
            <w:tcW w:w="4580" w:type="dxa"/>
            <w:vAlign w:val="bottom"/>
            <w:vMerge w:val="continue"/>
          </w:tcPr>
          <w:p>
            <w:pPr>
              <w:spacing w:after="0"/>
              <w:rPr>
                <w:sz w:val="19"/>
                <w:szCs w:val="19"/>
                <w:color w:val="auto"/>
              </w:rPr>
            </w:pPr>
          </w:p>
        </w:tc>
        <w:tc>
          <w:tcPr>
            <w:tcW w:w="320" w:type="dxa"/>
            <w:vAlign w:val="bottom"/>
          </w:tcPr>
          <w:p>
            <w:pPr>
              <w:jc w:val="right"/>
              <w:ind w:right="110"/>
              <w:spacing w:after="0"/>
              <w:rPr>
                <w:sz w:val="20"/>
                <w:szCs w:val="20"/>
                <w:color w:val="auto"/>
              </w:rPr>
            </w:pPr>
            <w:r>
              <w:rPr>
                <w:rFonts w:ascii="Arial" w:cs="Arial" w:eastAsia="Arial" w:hAnsi="Arial"/>
                <w:sz w:val="18"/>
                <w:szCs w:val="18"/>
                <w:color w:val="auto"/>
                <w:w w:val="99"/>
              </w:rPr>
              <w:t>$</w:t>
            </w:r>
          </w:p>
        </w:tc>
        <w:tc>
          <w:tcPr>
            <w:tcW w:w="1100" w:type="dxa"/>
            <w:vAlign w:val="bottom"/>
          </w:tcPr>
          <w:p>
            <w:pPr>
              <w:jc w:val="right"/>
              <w:ind w:right="12"/>
              <w:spacing w:after="0"/>
              <w:rPr>
                <w:sz w:val="20"/>
                <w:szCs w:val="20"/>
                <w:color w:val="auto"/>
              </w:rPr>
            </w:pPr>
            <w:r>
              <w:rPr>
                <w:rFonts w:ascii="Arial" w:cs="Arial" w:eastAsia="Arial" w:hAnsi="Arial"/>
                <w:sz w:val="18"/>
                <w:szCs w:val="18"/>
                <w:color w:val="auto"/>
              </w:rPr>
              <w:t>0.03</w:t>
            </w:r>
          </w:p>
        </w:tc>
        <w:tc>
          <w:tcPr>
            <w:tcW w:w="220" w:type="dxa"/>
            <w:vAlign w:val="bottom"/>
          </w:tcPr>
          <w:p>
            <w:pPr>
              <w:spacing w:after="0"/>
              <w:rPr>
                <w:sz w:val="19"/>
                <w:szCs w:val="19"/>
                <w:color w:val="auto"/>
              </w:rPr>
            </w:pPr>
          </w:p>
        </w:tc>
        <w:tc>
          <w:tcPr>
            <w:tcW w:w="380" w:type="dxa"/>
            <w:vAlign w:val="bottom"/>
          </w:tcPr>
          <w:p>
            <w:pPr>
              <w:jc w:val="right"/>
              <w:ind w:right="170"/>
              <w:spacing w:after="0"/>
              <w:rPr>
                <w:sz w:val="20"/>
                <w:szCs w:val="20"/>
                <w:color w:val="auto"/>
              </w:rPr>
            </w:pPr>
            <w:r>
              <w:rPr>
                <w:rFonts w:ascii="Arial" w:cs="Arial" w:eastAsia="Arial" w:hAnsi="Arial"/>
                <w:sz w:val="18"/>
                <w:szCs w:val="18"/>
                <w:color w:val="auto"/>
                <w:w w:val="99"/>
              </w:rPr>
              <w:t>$</w:t>
            </w:r>
          </w:p>
        </w:tc>
        <w:tc>
          <w:tcPr>
            <w:tcW w:w="1260" w:type="dxa"/>
            <w:vAlign w:val="bottom"/>
            <w:gridSpan w:val="2"/>
          </w:tcPr>
          <w:p>
            <w:pPr>
              <w:jc w:val="right"/>
              <w:ind w:right="340"/>
              <w:spacing w:after="0"/>
              <w:rPr>
                <w:sz w:val="20"/>
                <w:szCs w:val="20"/>
                <w:color w:val="auto"/>
              </w:rPr>
            </w:pPr>
            <w:r>
              <w:rPr>
                <w:rFonts w:ascii="Arial" w:cs="Arial" w:eastAsia="Arial" w:hAnsi="Arial"/>
                <w:sz w:val="18"/>
                <w:szCs w:val="18"/>
                <w:color w:val="auto"/>
              </w:rPr>
              <w:t>—</w:t>
            </w:r>
          </w:p>
        </w:tc>
        <w:tc>
          <w:tcPr>
            <w:tcW w:w="300" w:type="dxa"/>
            <w:vAlign w:val="bottom"/>
          </w:tcPr>
          <w:p>
            <w:pPr>
              <w:jc w:val="right"/>
              <w:ind w:right="110"/>
              <w:spacing w:after="0"/>
              <w:rPr>
                <w:sz w:val="20"/>
                <w:szCs w:val="20"/>
                <w:color w:val="auto"/>
              </w:rPr>
            </w:pPr>
            <w:r>
              <w:rPr>
                <w:rFonts w:ascii="Arial" w:cs="Arial" w:eastAsia="Arial" w:hAnsi="Arial"/>
                <w:sz w:val="18"/>
                <w:szCs w:val="18"/>
                <w:color w:val="auto"/>
                <w:w w:val="79"/>
              </w:rPr>
              <w:t>$</w:t>
            </w:r>
          </w:p>
        </w:tc>
        <w:tc>
          <w:tcPr>
            <w:tcW w:w="1100" w:type="dxa"/>
            <w:vAlign w:val="bottom"/>
          </w:tcPr>
          <w:p>
            <w:pPr>
              <w:jc w:val="right"/>
              <w:ind w:right="12"/>
              <w:spacing w:after="0"/>
              <w:rPr>
                <w:sz w:val="20"/>
                <w:szCs w:val="20"/>
                <w:color w:val="auto"/>
              </w:rPr>
            </w:pPr>
            <w:r>
              <w:rPr>
                <w:rFonts w:ascii="Arial" w:cs="Arial" w:eastAsia="Arial" w:hAnsi="Arial"/>
                <w:sz w:val="18"/>
                <w:szCs w:val="18"/>
                <w:color w:val="auto"/>
              </w:rPr>
              <w:t>0.04</w:t>
            </w:r>
          </w:p>
        </w:tc>
        <w:tc>
          <w:tcPr>
            <w:tcW w:w="220" w:type="dxa"/>
            <w:vAlign w:val="bottom"/>
          </w:tcPr>
          <w:p>
            <w:pPr>
              <w:spacing w:after="0"/>
              <w:rPr>
                <w:sz w:val="19"/>
                <w:szCs w:val="19"/>
                <w:color w:val="auto"/>
              </w:rPr>
            </w:pPr>
          </w:p>
        </w:tc>
        <w:tc>
          <w:tcPr>
            <w:tcW w:w="380" w:type="dxa"/>
            <w:vAlign w:val="bottom"/>
          </w:tcPr>
          <w:p>
            <w:pPr>
              <w:jc w:val="right"/>
              <w:ind w:right="170"/>
              <w:spacing w:after="0"/>
              <w:rPr>
                <w:sz w:val="20"/>
                <w:szCs w:val="20"/>
                <w:color w:val="auto"/>
              </w:rPr>
            </w:pPr>
            <w:r>
              <w:rPr>
                <w:rFonts w:ascii="Arial" w:cs="Arial" w:eastAsia="Arial" w:hAnsi="Arial"/>
                <w:sz w:val="18"/>
                <w:szCs w:val="18"/>
                <w:color w:val="auto"/>
                <w:w w:val="99"/>
              </w:rPr>
              <w:t>$</w:t>
            </w:r>
          </w:p>
        </w:tc>
        <w:tc>
          <w:tcPr>
            <w:tcW w:w="1040" w:type="dxa"/>
            <w:vAlign w:val="bottom"/>
          </w:tcPr>
          <w:p>
            <w:pPr>
              <w:jc w:val="right"/>
              <w:spacing w:after="0"/>
              <w:rPr>
                <w:sz w:val="20"/>
                <w:szCs w:val="20"/>
                <w:color w:val="auto"/>
              </w:rPr>
            </w:pPr>
            <w:r>
              <w:rPr>
                <w:rFonts w:ascii="Arial" w:cs="Arial" w:eastAsia="Arial" w:hAnsi="Arial"/>
                <w:sz w:val="18"/>
                <w:szCs w:val="18"/>
                <w:color w:val="auto"/>
              </w:rPr>
              <w:t>(0.03)</w:t>
            </w:r>
          </w:p>
        </w:tc>
        <w:tc>
          <w:tcPr>
            <w:tcW w:w="0" w:type="dxa"/>
            <w:vAlign w:val="bottom"/>
          </w:tcPr>
          <w:p>
            <w:pPr>
              <w:spacing w:after="0"/>
              <w:rPr>
                <w:sz w:val="1"/>
                <w:szCs w:val="1"/>
                <w:color w:val="auto"/>
              </w:rPr>
            </w:pPr>
          </w:p>
        </w:tc>
      </w:tr>
      <w:tr>
        <w:trPr>
          <w:trHeight w:val="67"/>
        </w:trPr>
        <w:tc>
          <w:tcPr>
            <w:tcW w:w="4580" w:type="dxa"/>
            <w:vAlign w:val="bottom"/>
            <w:tcBorders>
              <w:bottom w:val="single" w:sz="8" w:color="CCEEFF"/>
            </w:tcBorders>
          </w:tcPr>
          <w:p>
            <w:pPr>
              <w:spacing w:after="0"/>
              <w:rPr>
                <w:sz w:val="5"/>
                <w:szCs w:val="5"/>
                <w:color w:val="auto"/>
              </w:rPr>
            </w:pPr>
          </w:p>
        </w:tc>
        <w:tc>
          <w:tcPr>
            <w:tcW w:w="320" w:type="dxa"/>
            <w:vAlign w:val="bottom"/>
            <w:tcBorders>
              <w:bottom w:val="single" w:sz="8" w:color="auto"/>
            </w:tcBorders>
          </w:tcPr>
          <w:p>
            <w:pPr>
              <w:spacing w:after="0"/>
              <w:rPr>
                <w:sz w:val="5"/>
                <w:szCs w:val="5"/>
                <w:color w:val="auto"/>
              </w:rPr>
            </w:pPr>
          </w:p>
        </w:tc>
        <w:tc>
          <w:tcPr>
            <w:tcW w:w="1100" w:type="dxa"/>
            <w:vAlign w:val="bottom"/>
            <w:tcBorders>
              <w:bottom w:val="single" w:sz="8" w:color="auto"/>
            </w:tcBorders>
          </w:tcPr>
          <w:p>
            <w:pPr>
              <w:spacing w:after="0"/>
              <w:rPr>
                <w:sz w:val="5"/>
                <w:szCs w:val="5"/>
                <w:color w:val="auto"/>
              </w:rPr>
            </w:pPr>
          </w:p>
        </w:tc>
        <w:tc>
          <w:tcPr>
            <w:tcW w:w="220" w:type="dxa"/>
            <w:vAlign w:val="bottom"/>
            <w:tcBorders>
              <w:bottom w:val="single" w:sz="8" w:color="CCEEFF"/>
            </w:tcBorders>
          </w:tcPr>
          <w:p>
            <w:pPr>
              <w:spacing w:after="0"/>
              <w:rPr>
                <w:sz w:val="5"/>
                <w:szCs w:val="5"/>
                <w:color w:val="auto"/>
              </w:rPr>
            </w:pPr>
          </w:p>
        </w:tc>
        <w:tc>
          <w:tcPr>
            <w:tcW w:w="380" w:type="dxa"/>
            <w:vAlign w:val="bottom"/>
            <w:tcBorders>
              <w:bottom w:val="single" w:sz="8" w:color="auto"/>
            </w:tcBorders>
          </w:tcPr>
          <w:p>
            <w:pPr>
              <w:spacing w:after="0"/>
              <w:rPr>
                <w:sz w:val="5"/>
                <w:szCs w:val="5"/>
                <w:color w:val="auto"/>
              </w:rPr>
            </w:pPr>
          </w:p>
        </w:tc>
        <w:tc>
          <w:tcPr>
            <w:tcW w:w="1040" w:type="dxa"/>
            <w:vAlign w:val="bottom"/>
            <w:tcBorders>
              <w:bottom w:val="single" w:sz="8" w:color="auto"/>
            </w:tcBorders>
          </w:tcPr>
          <w:p>
            <w:pPr>
              <w:spacing w:after="0"/>
              <w:rPr>
                <w:sz w:val="5"/>
                <w:szCs w:val="5"/>
                <w:color w:val="auto"/>
              </w:rPr>
            </w:pPr>
          </w:p>
        </w:tc>
        <w:tc>
          <w:tcPr>
            <w:tcW w:w="220" w:type="dxa"/>
            <w:vAlign w:val="bottom"/>
            <w:tcBorders>
              <w:bottom w:val="single" w:sz="8" w:color="CCEEFF"/>
            </w:tcBorders>
          </w:tcPr>
          <w:p>
            <w:pPr>
              <w:spacing w:after="0"/>
              <w:rPr>
                <w:sz w:val="5"/>
                <w:szCs w:val="5"/>
                <w:color w:val="auto"/>
              </w:rPr>
            </w:pPr>
          </w:p>
        </w:tc>
        <w:tc>
          <w:tcPr>
            <w:tcW w:w="300" w:type="dxa"/>
            <w:vAlign w:val="bottom"/>
            <w:tcBorders>
              <w:bottom w:val="single" w:sz="8" w:color="auto"/>
            </w:tcBorders>
          </w:tcPr>
          <w:p>
            <w:pPr>
              <w:spacing w:after="0"/>
              <w:rPr>
                <w:sz w:val="5"/>
                <w:szCs w:val="5"/>
                <w:color w:val="auto"/>
              </w:rPr>
            </w:pPr>
          </w:p>
        </w:tc>
        <w:tc>
          <w:tcPr>
            <w:tcW w:w="1100" w:type="dxa"/>
            <w:vAlign w:val="bottom"/>
            <w:tcBorders>
              <w:bottom w:val="single" w:sz="8" w:color="auto"/>
            </w:tcBorders>
          </w:tcPr>
          <w:p>
            <w:pPr>
              <w:spacing w:after="0"/>
              <w:rPr>
                <w:sz w:val="5"/>
                <w:szCs w:val="5"/>
                <w:color w:val="auto"/>
              </w:rPr>
            </w:pPr>
          </w:p>
        </w:tc>
        <w:tc>
          <w:tcPr>
            <w:tcW w:w="220" w:type="dxa"/>
            <w:vAlign w:val="bottom"/>
            <w:tcBorders>
              <w:bottom w:val="single" w:sz="8" w:color="CCEEFF"/>
            </w:tcBorders>
          </w:tcPr>
          <w:p>
            <w:pPr>
              <w:spacing w:after="0"/>
              <w:rPr>
                <w:sz w:val="5"/>
                <w:szCs w:val="5"/>
                <w:color w:val="auto"/>
              </w:rPr>
            </w:pPr>
          </w:p>
        </w:tc>
        <w:tc>
          <w:tcPr>
            <w:tcW w:w="380" w:type="dxa"/>
            <w:vAlign w:val="bottom"/>
            <w:tcBorders>
              <w:bottom w:val="single" w:sz="8" w:color="auto"/>
            </w:tcBorders>
          </w:tcPr>
          <w:p>
            <w:pPr>
              <w:spacing w:after="0"/>
              <w:rPr>
                <w:sz w:val="5"/>
                <w:szCs w:val="5"/>
                <w:color w:val="auto"/>
              </w:rPr>
            </w:pPr>
          </w:p>
        </w:tc>
        <w:tc>
          <w:tcPr>
            <w:tcW w:w="1040" w:type="dxa"/>
            <w:vAlign w:val="bottom"/>
            <w:tcBorders>
              <w:bottom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31"/>
        </w:trPr>
        <w:tc>
          <w:tcPr>
            <w:tcW w:w="4580" w:type="dxa"/>
            <w:vAlign w:val="bottom"/>
            <w:tcBorders>
              <w:bottom w:val="single" w:sz="8" w:color="CCEEFF"/>
            </w:tcBorders>
            <w:shd w:val="clear" w:color="auto" w:fill="CCEEFF"/>
          </w:tcPr>
          <w:p>
            <w:pPr>
              <w:ind w:left="40"/>
              <w:spacing w:after="0" w:line="196" w:lineRule="exact"/>
              <w:rPr>
                <w:sz w:val="20"/>
                <w:szCs w:val="20"/>
                <w:color w:val="auto"/>
              </w:rPr>
            </w:pPr>
            <w:r>
              <w:rPr>
                <w:rFonts w:ascii="Arial" w:cs="Arial" w:eastAsia="Arial" w:hAnsi="Arial"/>
                <w:sz w:val="18"/>
                <w:szCs w:val="18"/>
                <w:color w:val="auto"/>
              </w:rPr>
              <w:t>Net loss per share from discontinued operations:</w:t>
            </w:r>
          </w:p>
        </w:tc>
        <w:tc>
          <w:tcPr>
            <w:tcW w:w="320" w:type="dxa"/>
            <w:vAlign w:val="bottom"/>
            <w:tcBorders>
              <w:bottom w:val="single" w:sz="8" w:color="CCEEFF"/>
            </w:tcBorders>
            <w:shd w:val="clear" w:color="auto" w:fill="CCEEFF"/>
          </w:tcPr>
          <w:p>
            <w:pPr>
              <w:spacing w:after="0"/>
              <w:rPr>
                <w:sz w:val="20"/>
                <w:szCs w:val="20"/>
                <w:color w:val="auto"/>
              </w:rPr>
            </w:pPr>
          </w:p>
        </w:tc>
        <w:tc>
          <w:tcPr>
            <w:tcW w:w="1100" w:type="dxa"/>
            <w:vAlign w:val="bottom"/>
            <w:tcBorders>
              <w:bottom w:val="single" w:sz="8" w:color="CCEEFF"/>
            </w:tcBorders>
            <w:shd w:val="clear" w:color="auto" w:fill="CCEEFF"/>
          </w:tcPr>
          <w:p>
            <w:pPr>
              <w:spacing w:after="0"/>
              <w:rPr>
                <w:sz w:val="20"/>
                <w:szCs w:val="20"/>
                <w:color w:val="auto"/>
              </w:rPr>
            </w:pPr>
          </w:p>
        </w:tc>
        <w:tc>
          <w:tcPr>
            <w:tcW w:w="220" w:type="dxa"/>
            <w:vAlign w:val="bottom"/>
            <w:tcBorders>
              <w:bottom w:val="single" w:sz="8" w:color="CCEEFF"/>
            </w:tcBorders>
            <w:shd w:val="clear" w:color="auto" w:fill="CCEEFF"/>
          </w:tcPr>
          <w:p>
            <w:pPr>
              <w:spacing w:after="0"/>
              <w:rPr>
                <w:sz w:val="20"/>
                <w:szCs w:val="20"/>
                <w:color w:val="auto"/>
              </w:rPr>
            </w:pPr>
          </w:p>
        </w:tc>
        <w:tc>
          <w:tcPr>
            <w:tcW w:w="380" w:type="dxa"/>
            <w:vAlign w:val="bottom"/>
            <w:tcBorders>
              <w:bottom w:val="single" w:sz="8" w:color="CCEEFF"/>
            </w:tcBorders>
            <w:shd w:val="clear" w:color="auto" w:fill="CCEEFF"/>
          </w:tcPr>
          <w:p>
            <w:pPr>
              <w:spacing w:after="0"/>
              <w:rPr>
                <w:sz w:val="20"/>
                <w:szCs w:val="20"/>
                <w:color w:val="auto"/>
              </w:rPr>
            </w:pPr>
          </w:p>
        </w:tc>
        <w:tc>
          <w:tcPr>
            <w:tcW w:w="1040" w:type="dxa"/>
            <w:vAlign w:val="bottom"/>
            <w:tcBorders>
              <w:bottom w:val="single" w:sz="8" w:color="CCEEFF"/>
            </w:tcBorders>
            <w:shd w:val="clear" w:color="auto" w:fill="CCEEFF"/>
          </w:tcPr>
          <w:p>
            <w:pPr>
              <w:spacing w:after="0"/>
              <w:rPr>
                <w:sz w:val="20"/>
                <w:szCs w:val="20"/>
                <w:color w:val="auto"/>
              </w:rPr>
            </w:pPr>
          </w:p>
        </w:tc>
        <w:tc>
          <w:tcPr>
            <w:tcW w:w="220" w:type="dxa"/>
            <w:vAlign w:val="bottom"/>
            <w:tcBorders>
              <w:bottom w:val="single" w:sz="8" w:color="CCEEFF"/>
            </w:tcBorders>
            <w:shd w:val="clear" w:color="auto" w:fill="CCEEFF"/>
          </w:tcPr>
          <w:p>
            <w:pPr>
              <w:spacing w:after="0"/>
              <w:rPr>
                <w:sz w:val="20"/>
                <w:szCs w:val="20"/>
                <w:color w:val="auto"/>
              </w:rPr>
            </w:pPr>
          </w:p>
        </w:tc>
        <w:tc>
          <w:tcPr>
            <w:tcW w:w="300" w:type="dxa"/>
            <w:vAlign w:val="bottom"/>
            <w:tcBorders>
              <w:bottom w:val="single" w:sz="8" w:color="CCEEFF"/>
            </w:tcBorders>
            <w:shd w:val="clear" w:color="auto" w:fill="CCEEFF"/>
          </w:tcPr>
          <w:p>
            <w:pPr>
              <w:spacing w:after="0"/>
              <w:rPr>
                <w:sz w:val="20"/>
                <w:szCs w:val="20"/>
                <w:color w:val="auto"/>
              </w:rPr>
            </w:pPr>
          </w:p>
        </w:tc>
        <w:tc>
          <w:tcPr>
            <w:tcW w:w="1100" w:type="dxa"/>
            <w:vAlign w:val="bottom"/>
            <w:tcBorders>
              <w:bottom w:val="single" w:sz="8" w:color="CCEEFF"/>
            </w:tcBorders>
            <w:shd w:val="clear" w:color="auto" w:fill="CCEEFF"/>
          </w:tcPr>
          <w:p>
            <w:pPr>
              <w:spacing w:after="0"/>
              <w:rPr>
                <w:sz w:val="20"/>
                <w:szCs w:val="20"/>
                <w:color w:val="auto"/>
              </w:rPr>
            </w:pPr>
          </w:p>
        </w:tc>
        <w:tc>
          <w:tcPr>
            <w:tcW w:w="220" w:type="dxa"/>
            <w:vAlign w:val="bottom"/>
            <w:tcBorders>
              <w:bottom w:val="single" w:sz="8" w:color="CCEEFF"/>
            </w:tcBorders>
            <w:shd w:val="clear" w:color="auto" w:fill="CCEEFF"/>
          </w:tcPr>
          <w:p>
            <w:pPr>
              <w:spacing w:after="0"/>
              <w:rPr>
                <w:sz w:val="20"/>
                <w:szCs w:val="20"/>
                <w:color w:val="auto"/>
              </w:rPr>
            </w:pPr>
          </w:p>
        </w:tc>
        <w:tc>
          <w:tcPr>
            <w:tcW w:w="380" w:type="dxa"/>
            <w:vAlign w:val="bottom"/>
            <w:tcBorders>
              <w:bottom w:val="single" w:sz="8" w:color="CCEEFF"/>
            </w:tcBorders>
            <w:shd w:val="clear" w:color="auto" w:fill="CCEEFF"/>
          </w:tcPr>
          <w:p>
            <w:pPr>
              <w:spacing w:after="0"/>
              <w:rPr>
                <w:sz w:val="20"/>
                <w:szCs w:val="20"/>
                <w:color w:val="auto"/>
              </w:rPr>
            </w:pPr>
          </w:p>
        </w:tc>
        <w:tc>
          <w:tcPr>
            <w:tcW w:w="1040" w:type="dxa"/>
            <w:vAlign w:val="bottom"/>
            <w:tcBorders>
              <w:bottom w:val="single" w:sz="8" w:color="CCEEFF"/>
            </w:tcBorders>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243"/>
        </w:trPr>
        <w:tc>
          <w:tcPr>
            <w:tcW w:w="4580" w:type="dxa"/>
            <w:vAlign w:val="bottom"/>
          </w:tcPr>
          <w:p>
            <w:pPr>
              <w:ind w:left="340"/>
              <w:spacing w:after="0"/>
              <w:rPr>
                <w:sz w:val="20"/>
                <w:szCs w:val="20"/>
                <w:color w:val="auto"/>
              </w:rPr>
            </w:pPr>
            <w:r>
              <w:rPr>
                <w:rFonts w:ascii="Arial" w:cs="Arial" w:eastAsia="Arial" w:hAnsi="Arial"/>
                <w:sz w:val="18"/>
                <w:szCs w:val="18"/>
                <w:color w:val="auto"/>
              </w:rPr>
              <w:t>Basic</w:t>
            </w:r>
          </w:p>
        </w:tc>
        <w:tc>
          <w:tcPr>
            <w:tcW w:w="320" w:type="dxa"/>
            <w:vAlign w:val="bottom"/>
          </w:tcPr>
          <w:p>
            <w:pPr>
              <w:jc w:val="right"/>
              <w:ind w:right="110"/>
              <w:spacing w:after="0"/>
              <w:rPr>
                <w:sz w:val="20"/>
                <w:szCs w:val="20"/>
                <w:color w:val="auto"/>
              </w:rPr>
            </w:pPr>
            <w:r>
              <w:rPr>
                <w:rFonts w:ascii="Arial" w:cs="Arial" w:eastAsia="Arial" w:hAnsi="Arial"/>
                <w:sz w:val="18"/>
                <w:szCs w:val="18"/>
                <w:color w:val="auto"/>
                <w:w w:val="99"/>
              </w:rPr>
              <w:t>$</w:t>
            </w:r>
          </w:p>
        </w:tc>
        <w:tc>
          <w:tcPr>
            <w:tcW w:w="1320" w:type="dxa"/>
            <w:vAlign w:val="bottom"/>
            <w:gridSpan w:val="2"/>
          </w:tcPr>
          <w:p>
            <w:pPr>
              <w:jc w:val="right"/>
              <w:ind w:right="320"/>
              <w:spacing w:after="0"/>
              <w:rPr>
                <w:sz w:val="20"/>
                <w:szCs w:val="20"/>
                <w:color w:val="auto"/>
              </w:rPr>
            </w:pPr>
            <w:r>
              <w:rPr>
                <w:rFonts w:ascii="Arial" w:cs="Arial" w:eastAsia="Arial" w:hAnsi="Arial"/>
                <w:sz w:val="18"/>
                <w:szCs w:val="18"/>
                <w:color w:val="auto"/>
              </w:rPr>
              <w:t>—</w:t>
            </w:r>
          </w:p>
        </w:tc>
        <w:tc>
          <w:tcPr>
            <w:tcW w:w="380" w:type="dxa"/>
            <w:vAlign w:val="bottom"/>
          </w:tcPr>
          <w:p>
            <w:pPr>
              <w:jc w:val="right"/>
              <w:ind w:right="170"/>
              <w:spacing w:after="0"/>
              <w:rPr>
                <w:sz w:val="20"/>
                <w:szCs w:val="20"/>
                <w:color w:val="auto"/>
              </w:rPr>
            </w:pPr>
            <w:r>
              <w:rPr>
                <w:rFonts w:ascii="Arial" w:cs="Arial" w:eastAsia="Arial" w:hAnsi="Arial"/>
                <w:sz w:val="18"/>
                <w:szCs w:val="18"/>
                <w:color w:val="auto"/>
                <w:w w:val="99"/>
              </w:rPr>
              <w:t>$</w:t>
            </w:r>
          </w:p>
        </w:tc>
        <w:tc>
          <w:tcPr>
            <w:tcW w:w="1040" w:type="dxa"/>
            <w:vAlign w:val="bottom"/>
          </w:tcPr>
          <w:p>
            <w:pPr>
              <w:jc w:val="right"/>
              <w:spacing w:after="0"/>
              <w:rPr>
                <w:sz w:val="20"/>
                <w:szCs w:val="20"/>
                <w:color w:val="auto"/>
              </w:rPr>
            </w:pPr>
            <w:r>
              <w:rPr>
                <w:rFonts w:ascii="Arial" w:cs="Arial" w:eastAsia="Arial" w:hAnsi="Arial"/>
                <w:sz w:val="18"/>
                <w:szCs w:val="18"/>
                <w:color w:val="auto"/>
              </w:rPr>
              <w:t>(0.01)</w:t>
            </w:r>
          </w:p>
        </w:tc>
        <w:tc>
          <w:tcPr>
            <w:tcW w:w="220" w:type="dxa"/>
            <w:vAlign w:val="bottom"/>
          </w:tcPr>
          <w:p>
            <w:pPr>
              <w:spacing w:after="0"/>
              <w:rPr>
                <w:sz w:val="21"/>
                <w:szCs w:val="21"/>
                <w:color w:val="auto"/>
              </w:rPr>
            </w:pPr>
          </w:p>
        </w:tc>
        <w:tc>
          <w:tcPr>
            <w:tcW w:w="300" w:type="dxa"/>
            <w:vAlign w:val="bottom"/>
          </w:tcPr>
          <w:p>
            <w:pPr>
              <w:jc w:val="right"/>
              <w:ind w:right="110"/>
              <w:spacing w:after="0"/>
              <w:rPr>
                <w:sz w:val="20"/>
                <w:szCs w:val="20"/>
                <w:color w:val="auto"/>
              </w:rPr>
            </w:pPr>
            <w:r>
              <w:rPr>
                <w:rFonts w:ascii="Arial" w:cs="Arial" w:eastAsia="Arial" w:hAnsi="Arial"/>
                <w:sz w:val="18"/>
                <w:szCs w:val="18"/>
                <w:color w:val="auto"/>
                <w:w w:val="79"/>
              </w:rPr>
              <w:t>$</w:t>
            </w:r>
          </w:p>
        </w:tc>
        <w:tc>
          <w:tcPr>
            <w:tcW w:w="1320" w:type="dxa"/>
            <w:vAlign w:val="bottom"/>
            <w:gridSpan w:val="2"/>
          </w:tcPr>
          <w:p>
            <w:pPr>
              <w:jc w:val="right"/>
              <w:ind w:right="320"/>
              <w:spacing w:after="0"/>
              <w:rPr>
                <w:sz w:val="20"/>
                <w:szCs w:val="20"/>
                <w:color w:val="auto"/>
              </w:rPr>
            </w:pPr>
            <w:r>
              <w:rPr>
                <w:rFonts w:ascii="Arial" w:cs="Arial" w:eastAsia="Arial" w:hAnsi="Arial"/>
                <w:sz w:val="18"/>
                <w:szCs w:val="18"/>
                <w:color w:val="auto"/>
              </w:rPr>
              <w:t>—</w:t>
            </w:r>
          </w:p>
        </w:tc>
        <w:tc>
          <w:tcPr>
            <w:tcW w:w="380" w:type="dxa"/>
            <w:vAlign w:val="bottom"/>
          </w:tcPr>
          <w:p>
            <w:pPr>
              <w:jc w:val="right"/>
              <w:ind w:right="170"/>
              <w:spacing w:after="0"/>
              <w:rPr>
                <w:sz w:val="20"/>
                <w:szCs w:val="20"/>
                <w:color w:val="auto"/>
              </w:rPr>
            </w:pPr>
            <w:r>
              <w:rPr>
                <w:rFonts w:ascii="Arial" w:cs="Arial" w:eastAsia="Arial" w:hAnsi="Arial"/>
                <w:sz w:val="18"/>
                <w:szCs w:val="18"/>
                <w:color w:val="auto"/>
                <w:w w:val="99"/>
              </w:rPr>
              <w:t>$</w:t>
            </w:r>
          </w:p>
        </w:tc>
        <w:tc>
          <w:tcPr>
            <w:tcW w:w="1040" w:type="dxa"/>
            <w:vAlign w:val="bottom"/>
          </w:tcPr>
          <w:p>
            <w:pPr>
              <w:jc w:val="right"/>
              <w:spacing w:after="0"/>
              <w:rPr>
                <w:sz w:val="20"/>
                <w:szCs w:val="20"/>
                <w:color w:val="auto"/>
              </w:rPr>
            </w:pPr>
            <w:r>
              <w:rPr>
                <w:rFonts w:ascii="Arial" w:cs="Arial" w:eastAsia="Arial" w:hAnsi="Arial"/>
                <w:sz w:val="18"/>
                <w:szCs w:val="18"/>
                <w:color w:val="auto"/>
              </w:rPr>
              <w:t>(0.03)</w:t>
            </w:r>
          </w:p>
        </w:tc>
        <w:tc>
          <w:tcPr>
            <w:tcW w:w="0" w:type="dxa"/>
            <w:vAlign w:val="bottom"/>
          </w:tcPr>
          <w:p>
            <w:pPr>
              <w:spacing w:after="0"/>
              <w:rPr>
                <w:sz w:val="1"/>
                <w:szCs w:val="1"/>
                <w:color w:val="auto"/>
              </w:rPr>
            </w:pPr>
          </w:p>
        </w:tc>
      </w:tr>
      <w:tr>
        <w:trPr>
          <w:trHeight w:val="67"/>
        </w:trPr>
        <w:tc>
          <w:tcPr>
            <w:tcW w:w="4580" w:type="dxa"/>
            <w:vAlign w:val="bottom"/>
            <w:tcBorders>
              <w:bottom w:val="single" w:sz="8" w:color="CCEEFF"/>
            </w:tcBorders>
          </w:tcPr>
          <w:p>
            <w:pPr>
              <w:spacing w:after="0"/>
              <w:rPr>
                <w:sz w:val="5"/>
                <w:szCs w:val="5"/>
                <w:color w:val="auto"/>
              </w:rPr>
            </w:pPr>
          </w:p>
        </w:tc>
        <w:tc>
          <w:tcPr>
            <w:tcW w:w="320" w:type="dxa"/>
            <w:vAlign w:val="bottom"/>
            <w:tcBorders>
              <w:bottom w:val="single" w:sz="8" w:color="auto"/>
            </w:tcBorders>
          </w:tcPr>
          <w:p>
            <w:pPr>
              <w:spacing w:after="0"/>
              <w:rPr>
                <w:sz w:val="5"/>
                <w:szCs w:val="5"/>
                <w:color w:val="auto"/>
              </w:rPr>
            </w:pPr>
          </w:p>
        </w:tc>
        <w:tc>
          <w:tcPr>
            <w:tcW w:w="1100" w:type="dxa"/>
            <w:vAlign w:val="bottom"/>
            <w:tcBorders>
              <w:bottom w:val="single" w:sz="8" w:color="auto"/>
            </w:tcBorders>
          </w:tcPr>
          <w:p>
            <w:pPr>
              <w:spacing w:after="0"/>
              <w:rPr>
                <w:sz w:val="5"/>
                <w:szCs w:val="5"/>
                <w:color w:val="auto"/>
              </w:rPr>
            </w:pPr>
          </w:p>
        </w:tc>
        <w:tc>
          <w:tcPr>
            <w:tcW w:w="220" w:type="dxa"/>
            <w:vAlign w:val="bottom"/>
            <w:tcBorders>
              <w:bottom w:val="single" w:sz="8" w:color="CCEEFF"/>
            </w:tcBorders>
          </w:tcPr>
          <w:p>
            <w:pPr>
              <w:spacing w:after="0"/>
              <w:rPr>
                <w:sz w:val="5"/>
                <w:szCs w:val="5"/>
                <w:color w:val="auto"/>
              </w:rPr>
            </w:pPr>
          </w:p>
        </w:tc>
        <w:tc>
          <w:tcPr>
            <w:tcW w:w="380" w:type="dxa"/>
            <w:vAlign w:val="bottom"/>
            <w:tcBorders>
              <w:bottom w:val="single" w:sz="8" w:color="auto"/>
            </w:tcBorders>
          </w:tcPr>
          <w:p>
            <w:pPr>
              <w:spacing w:after="0"/>
              <w:rPr>
                <w:sz w:val="5"/>
                <w:szCs w:val="5"/>
                <w:color w:val="auto"/>
              </w:rPr>
            </w:pPr>
          </w:p>
        </w:tc>
        <w:tc>
          <w:tcPr>
            <w:tcW w:w="1040" w:type="dxa"/>
            <w:vAlign w:val="bottom"/>
            <w:tcBorders>
              <w:bottom w:val="single" w:sz="8" w:color="auto"/>
            </w:tcBorders>
          </w:tcPr>
          <w:p>
            <w:pPr>
              <w:spacing w:after="0"/>
              <w:rPr>
                <w:sz w:val="5"/>
                <w:szCs w:val="5"/>
                <w:color w:val="auto"/>
              </w:rPr>
            </w:pPr>
          </w:p>
        </w:tc>
        <w:tc>
          <w:tcPr>
            <w:tcW w:w="220" w:type="dxa"/>
            <w:vAlign w:val="bottom"/>
            <w:tcBorders>
              <w:bottom w:val="single" w:sz="8" w:color="CCEEFF"/>
            </w:tcBorders>
          </w:tcPr>
          <w:p>
            <w:pPr>
              <w:spacing w:after="0"/>
              <w:rPr>
                <w:sz w:val="5"/>
                <w:szCs w:val="5"/>
                <w:color w:val="auto"/>
              </w:rPr>
            </w:pPr>
          </w:p>
        </w:tc>
        <w:tc>
          <w:tcPr>
            <w:tcW w:w="300" w:type="dxa"/>
            <w:vAlign w:val="bottom"/>
            <w:tcBorders>
              <w:bottom w:val="single" w:sz="8" w:color="auto"/>
            </w:tcBorders>
          </w:tcPr>
          <w:p>
            <w:pPr>
              <w:spacing w:after="0"/>
              <w:rPr>
                <w:sz w:val="5"/>
                <w:szCs w:val="5"/>
                <w:color w:val="auto"/>
              </w:rPr>
            </w:pPr>
          </w:p>
        </w:tc>
        <w:tc>
          <w:tcPr>
            <w:tcW w:w="1100" w:type="dxa"/>
            <w:vAlign w:val="bottom"/>
            <w:tcBorders>
              <w:bottom w:val="single" w:sz="8" w:color="auto"/>
            </w:tcBorders>
          </w:tcPr>
          <w:p>
            <w:pPr>
              <w:spacing w:after="0"/>
              <w:rPr>
                <w:sz w:val="5"/>
                <w:szCs w:val="5"/>
                <w:color w:val="auto"/>
              </w:rPr>
            </w:pPr>
          </w:p>
        </w:tc>
        <w:tc>
          <w:tcPr>
            <w:tcW w:w="220" w:type="dxa"/>
            <w:vAlign w:val="bottom"/>
            <w:tcBorders>
              <w:bottom w:val="single" w:sz="8" w:color="CCEEFF"/>
            </w:tcBorders>
          </w:tcPr>
          <w:p>
            <w:pPr>
              <w:spacing w:after="0"/>
              <w:rPr>
                <w:sz w:val="5"/>
                <w:szCs w:val="5"/>
                <w:color w:val="auto"/>
              </w:rPr>
            </w:pPr>
          </w:p>
        </w:tc>
        <w:tc>
          <w:tcPr>
            <w:tcW w:w="380" w:type="dxa"/>
            <w:vAlign w:val="bottom"/>
            <w:tcBorders>
              <w:bottom w:val="single" w:sz="8" w:color="auto"/>
            </w:tcBorders>
          </w:tcPr>
          <w:p>
            <w:pPr>
              <w:spacing w:after="0"/>
              <w:rPr>
                <w:sz w:val="5"/>
                <w:szCs w:val="5"/>
                <w:color w:val="auto"/>
              </w:rPr>
            </w:pPr>
          </w:p>
        </w:tc>
        <w:tc>
          <w:tcPr>
            <w:tcW w:w="1040" w:type="dxa"/>
            <w:vAlign w:val="bottom"/>
            <w:tcBorders>
              <w:bottom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56"/>
        </w:trPr>
        <w:tc>
          <w:tcPr>
            <w:tcW w:w="4580" w:type="dxa"/>
            <w:vAlign w:val="bottom"/>
            <w:tcBorders>
              <w:bottom w:val="single" w:sz="8" w:color="CCEEFF"/>
            </w:tcBorders>
            <w:shd w:val="clear" w:color="auto" w:fill="CCEEFF"/>
          </w:tcPr>
          <w:p>
            <w:pPr>
              <w:ind w:left="340"/>
              <w:spacing w:after="0" w:line="196" w:lineRule="exact"/>
              <w:rPr>
                <w:sz w:val="20"/>
                <w:szCs w:val="20"/>
                <w:color w:val="auto"/>
              </w:rPr>
            </w:pPr>
            <w:r>
              <w:rPr>
                <w:rFonts w:ascii="Arial" w:cs="Arial" w:eastAsia="Arial" w:hAnsi="Arial"/>
                <w:sz w:val="18"/>
                <w:szCs w:val="18"/>
                <w:color w:val="auto"/>
              </w:rPr>
              <w:t>Diluted</w:t>
            </w:r>
          </w:p>
        </w:tc>
        <w:tc>
          <w:tcPr>
            <w:tcW w:w="320" w:type="dxa"/>
            <w:vAlign w:val="bottom"/>
            <w:tcBorders>
              <w:bottom w:val="single" w:sz="8" w:color="CCEEFF"/>
            </w:tcBorders>
            <w:shd w:val="clear" w:color="auto" w:fill="CCEEFF"/>
          </w:tcPr>
          <w:p>
            <w:pPr>
              <w:jc w:val="right"/>
              <w:ind w:right="110"/>
              <w:spacing w:after="0"/>
              <w:rPr>
                <w:sz w:val="20"/>
                <w:szCs w:val="20"/>
                <w:color w:val="auto"/>
              </w:rPr>
            </w:pPr>
            <w:r>
              <w:rPr>
                <w:rFonts w:ascii="Arial" w:cs="Arial" w:eastAsia="Arial" w:hAnsi="Arial"/>
                <w:sz w:val="18"/>
                <w:szCs w:val="18"/>
                <w:color w:val="auto"/>
                <w:w w:val="99"/>
              </w:rPr>
              <w:t>$</w:t>
            </w:r>
          </w:p>
        </w:tc>
        <w:tc>
          <w:tcPr>
            <w:tcW w:w="1320" w:type="dxa"/>
            <w:vAlign w:val="bottom"/>
            <w:tcBorders>
              <w:bottom w:val="single" w:sz="8" w:color="CCEEFF"/>
            </w:tcBorders>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w:t>
            </w:r>
          </w:p>
        </w:tc>
        <w:tc>
          <w:tcPr>
            <w:tcW w:w="380" w:type="dxa"/>
            <w:vAlign w:val="bottom"/>
            <w:tcBorders>
              <w:bottom w:val="single" w:sz="8" w:color="CCEEFF"/>
            </w:tcBorders>
            <w:shd w:val="clear" w:color="auto" w:fill="CCEEFF"/>
          </w:tcPr>
          <w:p>
            <w:pPr>
              <w:jc w:val="right"/>
              <w:ind w:right="170"/>
              <w:spacing w:after="0"/>
              <w:rPr>
                <w:sz w:val="20"/>
                <w:szCs w:val="20"/>
                <w:color w:val="auto"/>
              </w:rPr>
            </w:pPr>
            <w:r>
              <w:rPr>
                <w:rFonts w:ascii="Arial" w:cs="Arial" w:eastAsia="Arial" w:hAnsi="Arial"/>
                <w:sz w:val="18"/>
                <w:szCs w:val="18"/>
                <w:color w:val="auto"/>
                <w:w w:val="99"/>
              </w:rPr>
              <w:t>$</w:t>
            </w:r>
          </w:p>
        </w:tc>
        <w:tc>
          <w:tcPr>
            <w:tcW w:w="10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(0.01)</w:t>
            </w:r>
          </w:p>
        </w:tc>
        <w:tc>
          <w:tcPr>
            <w:tcW w:w="22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jc w:val="right"/>
              <w:ind w:right="110"/>
              <w:spacing w:after="0"/>
              <w:rPr>
                <w:sz w:val="20"/>
                <w:szCs w:val="20"/>
                <w:color w:val="auto"/>
              </w:rPr>
            </w:pPr>
            <w:r>
              <w:rPr>
                <w:rFonts w:ascii="Arial" w:cs="Arial" w:eastAsia="Arial" w:hAnsi="Arial"/>
                <w:sz w:val="18"/>
                <w:szCs w:val="18"/>
                <w:color w:val="auto"/>
                <w:w w:val="79"/>
              </w:rPr>
              <w:t>$</w:t>
            </w:r>
          </w:p>
        </w:tc>
        <w:tc>
          <w:tcPr>
            <w:tcW w:w="1320" w:type="dxa"/>
            <w:vAlign w:val="bottom"/>
            <w:tcBorders>
              <w:bottom w:val="single" w:sz="8" w:color="CCEEFF"/>
            </w:tcBorders>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w:t>
            </w:r>
          </w:p>
        </w:tc>
        <w:tc>
          <w:tcPr>
            <w:tcW w:w="380" w:type="dxa"/>
            <w:vAlign w:val="bottom"/>
            <w:tcBorders>
              <w:bottom w:val="single" w:sz="8" w:color="CCEEFF"/>
            </w:tcBorders>
            <w:shd w:val="clear" w:color="auto" w:fill="CCEEFF"/>
          </w:tcPr>
          <w:p>
            <w:pPr>
              <w:jc w:val="right"/>
              <w:ind w:right="170"/>
              <w:spacing w:after="0"/>
              <w:rPr>
                <w:sz w:val="20"/>
                <w:szCs w:val="20"/>
                <w:color w:val="auto"/>
              </w:rPr>
            </w:pPr>
            <w:r>
              <w:rPr>
                <w:rFonts w:ascii="Arial" w:cs="Arial" w:eastAsia="Arial" w:hAnsi="Arial"/>
                <w:sz w:val="18"/>
                <w:szCs w:val="18"/>
                <w:color w:val="auto"/>
                <w:w w:val="99"/>
              </w:rPr>
              <w:t>$</w:t>
            </w:r>
          </w:p>
        </w:tc>
        <w:tc>
          <w:tcPr>
            <w:tcW w:w="10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(0.03)</w:t>
            </w:r>
          </w:p>
        </w:tc>
        <w:tc>
          <w:tcPr>
            <w:tcW w:w="0" w:type="dxa"/>
            <w:vAlign w:val="bottom"/>
          </w:tcPr>
          <w:p>
            <w:pPr>
              <w:spacing w:after="0"/>
              <w:rPr>
                <w:sz w:val="1"/>
                <w:szCs w:val="1"/>
                <w:color w:val="auto"/>
              </w:rPr>
            </w:pPr>
          </w:p>
        </w:tc>
      </w:tr>
      <w:tr>
        <w:trPr>
          <w:trHeight w:val="20"/>
        </w:trPr>
        <w:tc>
          <w:tcPr>
            <w:tcW w:w="4580" w:type="dxa"/>
            <w:vAlign w:val="bottom"/>
            <w:tcBorders>
              <w:top w:val="single" w:sz="8" w:color="CCEEFF"/>
              <w:bottom w:val="single" w:sz="8" w:color="CCEEFF"/>
            </w:tcBorders>
            <w:vMerge w:val="restart"/>
          </w:tcPr>
          <w:p>
            <w:pPr>
              <w:ind w:left="40"/>
              <w:spacing w:after="0"/>
              <w:rPr>
                <w:sz w:val="20"/>
                <w:szCs w:val="20"/>
                <w:color w:val="auto"/>
              </w:rPr>
            </w:pPr>
            <w:r>
              <w:rPr>
                <w:rFonts w:ascii="Arial" w:cs="Arial" w:eastAsia="Arial" w:hAnsi="Arial"/>
                <w:sz w:val="18"/>
                <w:szCs w:val="18"/>
                <w:color w:val="auto"/>
              </w:rPr>
              <w:t>Net income/(loss) per share attributable to common</w:t>
            </w:r>
          </w:p>
        </w:tc>
        <w:tc>
          <w:tcPr>
            <w:tcW w:w="320" w:type="dxa"/>
            <w:vAlign w:val="bottom"/>
            <w:tcBorders>
              <w:top w:val="single" w:sz="8" w:color="auto"/>
              <w:bottom w:val="single" w:sz="8" w:color="auto"/>
            </w:tcBorders>
          </w:tcPr>
          <w:p>
            <w:pPr>
              <w:spacing w:after="0" w:line="20" w:lineRule="exact"/>
              <w:rPr>
                <w:sz w:val="1"/>
                <w:szCs w:val="1"/>
                <w:color w:val="auto"/>
              </w:rPr>
            </w:pPr>
          </w:p>
        </w:tc>
        <w:tc>
          <w:tcPr>
            <w:tcW w:w="110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top w:val="single" w:sz="8" w:color="CCEEFF"/>
            </w:tcBorders>
          </w:tcPr>
          <w:p>
            <w:pPr>
              <w:spacing w:after="0" w:line="20" w:lineRule="exact"/>
              <w:rPr>
                <w:sz w:val="1"/>
                <w:szCs w:val="1"/>
                <w:color w:val="auto"/>
              </w:rPr>
            </w:pPr>
          </w:p>
        </w:tc>
        <w:tc>
          <w:tcPr>
            <w:tcW w:w="380" w:type="dxa"/>
            <w:vAlign w:val="bottom"/>
            <w:tcBorders>
              <w:top w:val="single" w:sz="8" w:color="auto"/>
              <w:bottom w:val="single" w:sz="8" w:color="auto"/>
            </w:tcBorders>
          </w:tcPr>
          <w:p>
            <w:pPr>
              <w:spacing w:after="0" w:line="20" w:lineRule="exact"/>
              <w:rPr>
                <w:sz w:val="1"/>
                <w:szCs w:val="1"/>
                <w:color w:val="auto"/>
              </w:rPr>
            </w:pPr>
          </w:p>
        </w:tc>
        <w:tc>
          <w:tcPr>
            <w:tcW w:w="104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top w:val="single" w:sz="8" w:color="CCEEFF"/>
            </w:tcBorders>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110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top w:val="single" w:sz="8" w:color="CCEEFF"/>
            </w:tcBorders>
          </w:tcPr>
          <w:p>
            <w:pPr>
              <w:spacing w:after="0" w:line="20" w:lineRule="exact"/>
              <w:rPr>
                <w:sz w:val="1"/>
                <w:szCs w:val="1"/>
                <w:color w:val="auto"/>
              </w:rPr>
            </w:pPr>
          </w:p>
        </w:tc>
        <w:tc>
          <w:tcPr>
            <w:tcW w:w="380" w:type="dxa"/>
            <w:vAlign w:val="bottom"/>
            <w:tcBorders>
              <w:top w:val="single" w:sz="8" w:color="auto"/>
              <w:bottom w:val="single" w:sz="8" w:color="auto"/>
            </w:tcBorders>
          </w:tcPr>
          <w:p>
            <w:pPr>
              <w:spacing w:after="0" w:line="20" w:lineRule="exact"/>
              <w:rPr>
                <w:sz w:val="1"/>
                <w:szCs w:val="1"/>
                <w:color w:val="auto"/>
              </w:rPr>
            </w:pPr>
          </w:p>
        </w:tc>
        <w:tc>
          <w:tcPr>
            <w:tcW w:w="104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82"/>
        </w:trPr>
        <w:tc>
          <w:tcPr>
            <w:tcW w:w="4580" w:type="dxa"/>
            <w:vAlign w:val="bottom"/>
            <w:vMerge w:val="continue"/>
          </w:tcPr>
          <w:p>
            <w:pPr>
              <w:spacing w:after="0"/>
              <w:rPr>
                <w:sz w:val="15"/>
                <w:szCs w:val="15"/>
                <w:color w:val="auto"/>
              </w:rPr>
            </w:pPr>
          </w:p>
        </w:tc>
        <w:tc>
          <w:tcPr>
            <w:tcW w:w="320" w:type="dxa"/>
            <w:vAlign w:val="bottom"/>
          </w:tcPr>
          <w:p>
            <w:pPr>
              <w:spacing w:after="0"/>
              <w:rPr>
                <w:sz w:val="15"/>
                <w:szCs w:val="15"/>
                <w:color w:val="auto"/>
              </w:rPr>
            </w:pPr>
          </w:p>
        </w:tc>
        <w:tc>
          <w:tcPr>
            <w:tcW w:w="110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380" w:type="dxa"/>
            <w:vAlign w:val="bottom"/>
          </w:tcPr>
          <w:p>
            <w:pPr>
              <w:spacing w:after="0"/>
              <w:rPr>
                <w:sz w:val="15"/>
                <w:szCs w:val="15"/>
                <w:color w:val="auto"/>
              </w:rPr>
            </w:pPr>
          </w:p>
        </w:tc>
        <w:tc>
          <w:tcPr>
            <w:tcW w:w="104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110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380" w:type="dxa"/>
            <w:vAlign w:val="bottom"/>
          </w:tcPr>
          <w:p>
            <w:pPr>
              <w:spacing w:after="0"/>
              <w:rPr>
                <w:sz w:val="15"/>
                <w:szCs w:val="15"/>
                <w:color w:val="auto"/>
              </w:rPr>
            </w:pPr>
          </w:p>
        </w:tc>
        <w:tc>
          <w:tcPr>
            <w:tcW w:w="10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30"/>
        </w:trPr>
        <w:tc>
          <w:tcPr>
            <w:tcW w:w="4580" w:type="dxa"/>
            <w:vAlign w:val="bottom"/>
          </w:tcPr>
          <w:p>
            <w:pPr>
              <w:ind w:left="40"/>
              <w:spacing w:after="0"/>
              <w:rPr>
                <w:sz w:val="20"/>
                <w:szCs w:val="20"/>
                <w:color w:val="auto"/>
              </w:rPr>
            </w:pPr>
            <w:r>
              <w:rPr>
                <w:rFonts w:ascii="Arial" w:cs="Arial" w:eastAsia="Arial" w:hAnsi="Arial"/>
                <w:sz w:val="18"/>
                <w:szCs w:val="18"/>
                <w:color w:val="auto"/>
              </w:rPr>
              <w:t>stockholders:</w:t>
            </w:r>
          </w:p>
        </w:tc>
        <w:tc>
          <w:tcPr>
            <w:tcW w:w="320" w:type="dxa"/>
            <w:vAlign w:val="bottom"/>
          </w:tcPr>
          <w:p>
            <w:pPr>
              <w:spacing w:after="0"/>
              <w:rPr>
                <w:sz w:val="20"/>
                <w:szCs w:val="20"/>
                <w:color w:val="auto"/>
              </w:rPr>
            </w:pPr>
          </w:p>
        </w:tc>
        <w:tc>
          <w:tcPr>
            <w:tcW w:w="11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380" w:type="dxa"/>
            <w:vAlign w:val="bottom"/>
          </w:tcPr>
          <w:p>
            <w:pPr>
              <w:spacing w:after="0"/>
              <w:rPr>
                <w:sz w:val="20"/>
                <w:szCs w:val="20"/>
                <w:color w:val="auto"/>
              </w:rPr>
            </w:pPr>
          </w:p>
        </w:tc>
        <w:tc>
          <w:tcPr>
            <w:tcW w:w="104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11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380" w:type="dxa"/>
            <w:vAlign w:val="bottom"/>
          </w:tcPr>
          <w:p>
            <w:pPr>
              <w:spacing w:after="0"/>
              <w:rPr>
                <w:sz w:val="20"/>
                <w:szCs w:val="20"/>
                <w:color w:val="auto"/>
              </w:rPr>
            </w:pPr>
          </w:p>
        </w:tc>
        <w:tc>
          <w:tcPr>
            <w:tcW w:w="10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7"/>
        </w:trPr>
        <w:tc>
          <w:tcPr>
            <w:tcW w:w="4580" w:type="dxa"/>
            <w:vAlign w:val="bottom"/>
          </w:tcPr>
          <w:p>
            <w:pPr>
              <w:spacing w:after="0"/>
              <w:rPr>
                <w:sz w:val="2"/>
                <w:szCs w:val="2"/>
                <w:color w:val="auto"/>
              </w:rPr>
            </w:pPr>
          </w:p>
        </w:tc>
        <w:tc>
          <w:tcPr>
            <w:tcW w:w="320" w:type="dxa"/>
            <w:vAlign w:val="bottom"/>
          </w:tcPr>
          <w:p>
            <w:pPr>
              <w:spacing w:after="0"/>
              <w:rPr>
                <w:sz w:val="2"/>
                <w:szCs w:val="2"/>
                <w:color w:val="auto"/>
              </w:rPr>
            </w:pPr>
          </w:p>
        </w:tc>
        <w:tc>
          <w:tcPr>
            <w:tcW w:w="1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380" w:type="dxa"/>
            <w:vAlign w:val="bottom"/>
          </w:tcPr>
          <w:p>
            <w:pPr>
              <w:spacing w:after="0"/>
              <w:rPr>
                <w:sz w:val="2"/>
                <w:szCs w:val="2"/>
                <w:color w:val="auto"/>
              </w:rPr>
            </w:pPr>
          </w:p>
        </w:tc>
        <w:tc>
          <w:tcPr>
            <w:tcW w:w="1040" w:type="dxa"/>
            <w:vAlign w:val="bottom"/>
          </w:tcPr>
          <w:p>
            <w:pPr>
              <w:spacing w:after="0"/>
              <w:rPr>
                <w:sz w:val="2"/>
                <w:szCs w:val="2"/>
                <w:color w:val="auto"/>
              </w:rPr>
            </w:pPr>
          </w:p>
        </w:tc>
        <w:tc>
          <w:tcPr>
            <w:tcW w:w="220" w:type="dxa"/>
            <w:vAlign w:val="bottom"/>
          </w:tcPr>
          <w:p>
            <w:pPr>
              <w:spacing w:after="0"/>
              <w:rPr>
                <w:sz w:val="2"/>
                <w:szCs w:val="2"/>
                <w:color w:val="auto"/>
              </w:rPr>
            </w:pPr>
          </w:p>
        </w:tc>
        <w:tc>
          <w:tcPr>
            <w:tcW w:w="300" w:type="dxa"/>
            <w:vAlign w:val="bottom"/>
          </w:tcPr>
          <w:p>
            <w:pPr>
              <w:spacing w:after="0"/>
              <w:rPr>
                <w:sz w:val="2"/>
                <w:szCs w:val="2"/>
                <w:color w:val="auto"/>
              </w:rPr>
            </w:pPr>
          </w:p>
        </w:tc>
        <w:tc>
          <w:tcPr>
            <w:tcW w:w="1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380" w:type="dxa"/>
            <w:vAlign w:val="bottom"/>
          </w:tcPr>
          <w:p>
            <w:pPr>
              <w:spacing w:after="0"/>
              <w:rPr>
                <w:sz w:val="2"/>
                <w:szCs w:val="2"/>
                <w:color w:val="auto"/>
              </w:rPr>
            </w:pPr>
          </w:p>
        </w:tc>
        <w:tc>
          <w:tcPr>
            <w:tcW w:w="10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5"/>
        </w:trPr>
        <w:tc>
          <w:tcPr>
            <w:tcW w:w="4580" w:type="dxa"/>
            <w:vAlign w:val="bottom"/>
            <w:tcBorders>
              <w:bottom w:val="single" w:sz="8" w:color="CCEEFF"/>
            </w:tcBorders>
            <w:shd w:val="clear" w:color="auto" w:fill="CCEEFF"/>
          </w:tcPr>
          <w:p>
            <w:pPr>
              <w:ind w:left="400"/>
              <w:spacing w:after="0"/>
              <w:rPr>
                <w:sz w:val="20"/>
                <w:szCs w:val="20"/>
                <w:color w:val="auto"/>
              </w:rPr>
            </w:pPr>
            <w:r>
              <w:rPr>
                <w:rFonts w:ascii="Arial" w:cs="Arial" w:eastAsia="Arial" w:hAnsi="Arial"/>
                <w:sz w:val="18"/>
                <w:szCs w:val="18"/>
                <w:color w:val="auto"/>
              </w:rPr>
              <w:t>Basic</w:t>
            </w:r>
          </w:p>
        </w:tc>
        <w:tc>
          <w:tcPr>
            <w:tcW w:w="320" w:type="dxa"/>
            <w:vAlign w:val="bottom"/>
            <w:tcBorders>
              <w:bottom w:val="single" w:sz="8" w:color="CCEEFF"/>
            </w:tcBorders>
            <w:shd w:val="clear" w:color="auto" w:fill="CCEEFF"/>
          </w:tcPr>
          <w:p>
            <w:pPr>
              <w:jc w:val="right"/>
              <w:ind w:right="110"/>
              <w:spacing w:after="0"/>
              <w:rPr>
                <w:sz w:val="20"/>
                <w:szCs w:val="20"/>
                <w:color w:val="auto"/>
              </w:rPr>
            </w:pPr>
            <w:r>
              <w:rPr>
                <w:rFonts w:ascii="Arial" w:cs="Arial" w:eastAsia="Arial" w:hAnsi="Arial"/>
                <w:sz w:val="18"/>
                <w:szCs w:val="18"/>
                <w:color w:val="auto"/>
                <w:w w:val="99"/>
              </w:rPr>
              <w:t>$</w:t>
            </w:r>
          </w:p>
        </w:tc>
        <w:tc>
          <w:tcPr>
            <w:tcW w:w="110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0.04</w:t>
            </w:r>
          </w:p>
        </w:tc>
        <w:tc>
          <w:tcPr>
            <w:tcW w:w="220" w:type="dxa"/>
            <w:vAlign w:val="bottom"/>
            <w:tcBorders>
              <w:bottom w:val="single" w:sz="8" w:color="CCEEFF"/>
            </w:tcBorders>
            <w:shd w:val="clear" w:color="auto" w:fill="CCEEFF"/>
          </w:tcPr>
          <w:p>
            <w:pPr>
              <w:spacing w:after="0"/>
              <w:rPr>
                <w:sz w:val="23"/>
                <w:szCs w:val="23"/>
                <w:color w:val="auto"/>
              </w:rPr>
            </w:pPr>
          </w:p>
        </w:tc>
        <w:tc>
          <w:tcPr>
            <w:tcW w:w="380" w:type="dxa"/>
            <w:vAlign w:val="bottom"/>
            <w:tcBorders>
              <w:bottom w:val="single" w:sz="8" w:color="CCEEFF"/>
            </w:tcBorders>
            <w:shd w:val="clear" w:color="auto" w:fill="CCEEFF"/>
          </w:tcPr>
          <w:p>
            <w:pPr>
              <w:jc w:val="right"/>
              <w:ind w:right="170"/>
              <w:spacing w:after="0"/>
              <w:rPr>
                <w:sz w:val="20"/>
                <w:szCs w:val="20"/>
                <w:color w:val="auto"/>
              </w:rPr>
            </w:pPr>
            <w:r>
              <w:rPr>
                <w:rFonts w:ascii="Arial" w:cs="Arial" w:eastAsia="Arial" w:hAnsi="Arial"/>
                <w:sz w:val="18"/>
                <w:szCs w:val="18"/>
                <w:color w:val="auto"/>
                <w:w w:val="99"/>
              </w:rPr>
              <w:t>$</w:t>
            </w:r>
          </w:p>
        </w:tc>
        <w:tc>
          <w:tcPr>
            <w:tcW w:w="10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(0.01)</w:t>
            </w:r>
          </w:p>
        </w:tc>
        <w:tc>
          <w:tcPr>
            <w:tcW w:w="220" w:type="dxa"/>
            <w:vAlign w:val="bottom"/>
            <w:tcBorders>
              <w:bottom w:val="single" w:sz="8" w:color="CCEEFF"/>
            </w:tcBorders>
            <w:shd w:val="clear" w:color="auto" w:fill="CCEEFF"/>
          </w:tcPr>
          <w:p>
            <w:pPr>
              <w:spacing w:after="0"/>
              <w:rPr>
                <w:sz w:val="23"/>
                <w:szCs w:val="23"/>
                <w:color w:val="auto"/>
              </w:rPr>
            </w:pPr>
          </w:p>
        </w:tc>
        <w:tc>
          <w:tcPr>
            <w:tcW w:w="300" w:type="dxa"/>
            <w:vAlign w:val="bottom"/>
            <w:tcBorders>
              <w:bottom w:val="single" w:sz="8" w:color="CCEEFF"/>
            </w:tcBorders>
            <w:shd w:val="clear" w:color="auto" w:fill="CCEEFF"/>
          </w:tcPr>
          <w:p>
            <w:pPr>
              <w:jc w:val="right"/>
              <w:ind w:right="110"/>
              <w:spacing w:after="0"/>
              <w:rPr>
                <w:sz w:val="20"/>
                <w:szCs w:val="20"/>
                <w:color w:val="auto"/>
              </w:rPr>
            </w:pPr>
            <w:r>
              <w:rPr>
                <w:rFonts w:ascii="Arial" w:cs="Arial" w:eastAsia="Arial" w:hAnsi="Arial"/>
                <w:sz w:val="18"/>
                <w:szCs w:val="18"/>
                <w:color w:val="auto"/>
                <w:w w:val="79"/>
              </w:rPr>
              <w:t>$</w:t>
            </w:r>
          </w:p>
        </w:tc>
        <w:tc>
          <w:tcPr>
            <w:tcW w:w="110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0.04</w:t>
            </w:r>
          </w:p>
        </w:tc>
        <w:tc>
          <w:tcPr>
            <w:tcW w:w="220" w:type="dxa"/>
            <w:vAlign w:val="bottom"/>
            <w:tcBorders>
              <w:bottom w:val="single" w:sz="8" w:color="CCEEFF"/>
            </w:tcBorders>
            <w:shd w:val="clear" w:color="auto" w:fill="CCEEFF"/>
          </w:tcPr>
          <w:p>
            <w:pPr>
              <w:spacing w:after="0"/>
              <w:rPr>
                <w:sz w:val="23"/>
                <w:szCs w:val="23"/>
                <w:color w:val="auto"/>
              </w:rPr>
            </w:pPr>
          </w:p>
        </w:tc>
        <w:tc>
          <w:tcPr>
            <w:tcW w:w="380" w:type="dxa"/>
            <w:vAlign w:val="bottom"/>
            <w:tcBorders>
              <w:bottom w:val="single" w:sz="8" w:color="CCEEFF"/>
            </w:tcBorders>
            <w:shd w:val="clear" w:color="auto" w:fill="CCEEFF"/>
          </w:tcPr>
          <w:p>
            <w:pPr>
              <w:jc w:val="right"/>
              <w:ind w:right="170"/>
              <w:spacing w:after="0"/>
              <w:rPr>
                <w:sz w:val="20"/>
                <w:szCs w:val="20"/>
                <w:color w:val="auto"/>
              </w:rPr>
            </w:pPr>
            <w:r>
              <w:rPr>
                <w:rFonts w:ascii="Arial" w:cs="Arial" w:eastAsia="Arial" w:hAnsi="Arial"/>
                <w:sz w:val="18"/>
                <w:szCs w:val="18"/>
                <w:color w:val="auto"/>
                <w:w w:val="99"/>
              </w:rPr>
              <w:t>$</w:t>
            </w:r>
          </w:p>
        </w:tc>
        <w:tc>
          <w:tcPr>
            <w:tcW w:w="10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(0.06)</w:t>
            </w:r>
          </w:p>
        </w:tc>
        <w:tc>
          <w:tcPr>
            <w:tcW w:w="0" w:type="dxa"/>
            <w:vAlign w:val="bottom"/>
          </w:tcPr>
          <w:p>
            <w:pPr>
              <w:spacing w:after="0"/>
              <w:rPr>
                <w:sz w:val="1"/>
                <w:szCs w:val="1"/>
                <w:color w:val="auto"/>
              </w:rPr>
            </w:pPr>
          </w:p>
        </w:tc>
      </w:tr>
      <w:tr>
        <w:trPr>
          <w:trHeight w:val="20"/>
        </w:trPr>
        <w:tc>
          <w:tcPr>
            <w:tcW w:w="4580" w:type="dxa"/>
            <w:vAlign w:val="bottom"/>
            <w:tcBorders>
              <w:top w:val="single" w:sz="8" w:color="CCEEFF"/>
              <w:bottom w:val="single" w:sz="8" w:color="CCEEFF"/>
            </w:tcBorders>
            <w:vMerge w:val="restart"/>
          </w:tcPr>
          <w:p>
            <w:pPr>
              <w:ind w:left="400"/>
              <w:spacing w:after="0"/>
              <w:rPr>
                <w:sz w:val="20"/>
                <w:szCs w:val="20"/>
                <w:color w:val="auto"/>
              </w:rPr>
            </w:pPr>
            <w:r>
              <w:rPr>
                <w:rFonts w:ascii="Arial" w:cs="Arial" w:eastAsia="Arial" w:hAnsi="Arial"/>
                <w:sz w:val="18"/>
                <w:szCs w:val="18"/>
                <w:color w:val="auto"/>
              </w:rPr>
              <w:t>Diluted</w:t>
            </w:r>
          </w:p>
        </w:tc>
        <w:tc>
          <w:tcPr>
            <w:tcW w:w="320" w:type="dxa"/>
            <w:vAlign w:val="bottom"/>
            <w:tcBorders>
              <w:top w:val="single" w:sz="8" w:color="auto"/>
              <w:bottom w:val="single" w:sz="8" w:color="auto"/>
            </w:tcBorders>
          </w:tcPr>
          <w:p>
            <w:pPr>
              <w:spacing w:after="0" w:line="20" w:lineRule="exact"/>
              <w:rPr>
                <w:sz w:val="1"/>
                <w:szCs w:val="1"/>
                <w:color w:val="auto"/>
              </w:rPr>
            </w:pPr>
          </w:p>
        </w:tc>
        <w:tc>
          <w:tcPr>
            <w:tcW w:w="110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top w:val="single" w:sz="8" w:color="CCEEFF"/>
            </w:tcBorders>
          </w:tcPr>
          <w:p>
            <w:pPr>
              <w:spacing w:after="0" w:line="20" w:lineRule="exact"/>
              <w:rPr>
                <w:sz w:val="1"/>
                <w:szCs w:val="1"/>
                <w:color w:val="auto"/>
              </w:rPr>
            </w:pPr>
          </w:p>
        </w:tc>
        <w:tc>
          <w:tcPr>
            <w:tcW w:w="380" w:type="dxa"/>
            <w:vAlign w:val="bottom"/>
            <w:tcBorders>
              <w:top w:val="single" w:sz="8" w:color="auto"/>
              <w:bottom w:val="single" w:sz="8" w:color="auto"/>
            </w:tcBorders>
          </w:tcPr>
          <w:p>
            <w:pPr>
              <w:spacing w:after="0" w:line="20" w:lineRule="exact"/>
              <w:rPr>
                <w:sz w:val="1"/>
                <w:szCs w:val="1"/>
                <w:color w:val="auto"/>
              </w:rPr>
            </w:pPr>
          </w:p>
        </w:tc>
        <w:tc>
          <w:tcPr>
            <w:tcW w:w="104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top w:val="single" w:sz="8" w:color="CCEEFF"/>
            </w:tcBorders>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110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top w:val="single" w:sz="8" w:color="CCEEFF"/>
            </w:tcBorders>
          </w:tcPr>
          <w:p>
            <w:pPr>
              <w:spacing w:after="0" w:line="20" w:lineRule="exact"/>
              <w:rPr>
                <w:sz w:val="1"/>
                <w:szCs w:val="1"/>
                <w:color w:val="auto"/>
              </w:rPr>
            </w:pPr>
          </w:p>
        </w:tc>
        <w:tc>
          <w:tcPr>
            <w:tcW w:w="380" w:type="dxa"/>
            <w:vAlign w:val="bottom"/>
            <w:tcBorders>
              <w:top w:val="single" w:sz="8" w:color="auto"/>
              <w:bottom w:val="single" w:sz="8" w:color="auto"/>
            </w:tcBorders>
          </w:tcPr>
          <w:p>
            <w:pPr>
              <w:spacing w:after="0" w:line="20" w:lineRule="exact"/>
              <w:rPr>
                <w:sz w:val="1"/>
                <w:szCs w:val="1"/>
                <w:color w:val="auto"/>
              </w:rPr>
            </w:pPr>
          </w:p>
        </w:tc>
        <w:tc>
          <w:tcPr>
            <w:tcW w:w="104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4"/>
        </w:trPr>
        <w:tc>
          <w:tcPr>
            <w:tcW w:w="4580" w:type="dxa"/>
            <w:vAlign w:val="bottom"/>
            <w:vMerge w:val="continue"/>
          </w:tcPr>
          <w:p>
            <w:pPr>
              <w:spacing w:after="0"/>
              <w:rPr>
                <w:sz w:val="19"/>
                <w:szCs w:val="19"/>
                <w:color w:val="auto"/>
              </w:rPr>
            </w:pPr>
          </w:p>
        </w:tc>
        <w:tc>
          <w:tcPr>
            <w:tcW w:w="320" w:type="dxa"/>
            <w:vAlign w:val="bottom"/>
          </w:tcPr>
          <w:p>
            <w:pPr>
              <w:jc w:val="right"/>
              <w:ind w:right="110"/>
              <w:spacing w:after="0"/>
              <w:rPr>
                <w:sz w:val="20"/>
                <w:szCs w:val="20"/>
                <w:color w:val="auto"/>
              </w:rPr>
            </w:pPr>
            <w:r>
              <w:rPr>
                <w:rFonts w:ascii="Arial" w:cs="Arial" w:eastAsia="Arial" w:hAnsi="Arial"/>
                <w:sz w:val="18"/>
                <w:szCs w:val="18"/>
                <w:color w:val="auto"/>
                <w:w w:val="99"/>
              </w:rPr>
              <w:t>$</w:t>
            </w:r>
          </w:p>
        </w:tc>
        <w:tc>
          <w:tcPr>
            <w:tcW w:w="1100" w:type="dxa"/>
            <w:vAlign w:val="bottom"/>
          </w:tcPr>
          <w:p>
            <w:pPr>
              <w:jc w:val="right"/>
              <w:ind w:right="12"/>
              <w:spacing w:after="0"/>
              <w:rPr>
                <w:sz w:val="20"/>
                <w:szCs w:val="20"/>
                <w:color w:val="auto"/>
              </w:rPr>
            </w:pPr>
            <w:r>
              <w:rPr>
                <w:rFonts w:ascii="Arial" w:cs="Arial" w:eastAsia="Arial" w:hAnsi="Arial"/>
                <w:sz w:val="18"/>
                <w:szCs w:val="18"/>
                <w:color w:val="auto"/>
              </w:rPr>
              <w:t>0.03</w:t>
            </w:r>
          </w:p>
        </w:tc>
        <w:tc>
          <w:tcPr>
            <w:tcW w:w="220" w:type="dxa"/>
            <w:vAlign w:val="bottom"/>
          </w:tcPr>
          <w:p>
            <w:pPr>
              <w:spacing w:after="0"/>
              <w:rPr>
                <w:sz w:val="19"/>
                <w:szCs w:val="19"/>
                <w:color w:val="auto"/>
              </w:rPr>
            </w:pPr>
          </w:p>
        </w:tc>
        <w:tc>
          <w:tcPr>
            <w:tcW w:w="380" w:type="dxa"/>
            <w:vAlign w:val="bottom"/>
          </w:tcPr>
          <w:p>
            <w:pPr>
              <w:jc w:val="right"/>
              <w:ind w:right="170"/>
              <w:spacing w:after="0"/>
              <w:rPr>
                <w:sz w:val="20"/>
                <w:szCs w:val="20"/>
                <w:color w:val="auto"/>
              </w:rPr>
            </w:pPr>
            <w:r>
              <w:rPr>
                <w:rFonts w:ascii="Arial" w:cs="Arial" w:eastAsia="Arial" w:hAnsi="Arial"/>
                <w:sz w:val="18"/>
                <w:szCs w:val="18"/>
                <w:color w:val="auto"/>
                <w:w w:val="99"/>
              </w:rPr>
              <w:t>$</w:t>
            </w:r>
          </w:p>
        </w:tc>
        <w:tc>
          <w:tcPr>
            <w:tcW w:w="1040" w:type="dxa"/>
            <w:vAlign w:val="bottom"/>
          </w:tcPr>
          <w:p>
            <w:pPr>
              <w:jc w:val="right"/>
              <w:spacing w:after="0"/>
              <w:rPr>
                <w:sz w:val="20"/>
                <w:szCs w:val="20"/>
                <w:color w:val="auto"/>
              </w:rPr>
            </w:pPr>
            <w:r>
              <w:rPr>
                <w:rFonts w:ascii="Arial" w:cs="Arial" w:eastAsia="Arial" w:hAnsi="Arial"/>
                <w:sz w:val="18"/>
                <w:szCs w:val="18"/>
                <w:color w:val="auto"/>
              </w:rPr>
              <w:t>(0.01)</w:t>
            </w:r>
          </w:p>
        </w:tc>
        <w:tc>
          <w:tcPr>
            <w:tcW w:w="220" w:type="dxa"/>
            <w:vAlign w:val="bottom"/>
          </w:tcPr>
          <w:p>
            <w:pPr>
              <w:spacing w:after="0"/>
              <w:rPr>
                <w:sz w:val="19"/>
                <w:szCs w:val="19"/>
                <w:color w:val="auto"/>
              </w:rPr>
            </w:pPr>
          </w:p>
        </w:tc>
        <w:tc>
          <w:tcPr>
            <w:tcW w:w="300" w:type="dxa"/>
            <w:vAlign w:val="bottom"/>
          </w:tcPr>
          <w:p>
            <w:pPr>
              <w:jc w:val="right"/>
              <w:ind w:right="110"/>
              <w:spacing w:after="0"/>
              <w:rPr>
                <w:sz w:val="20"/>
                <w:szCs w:val="20"/>
                <w:color w:val="auto"/>
              </w:rPr>
            </w:pPr>
            <w:r>
              <w:rPr>
                <w:rFonts w:ascii="Arial" w:cs="Arial" w:eastAsia="Arial" w:hAnsi="Arial"/>
                <w:sz w:val="18"/>
                <w:szCs w:val="18"/>
                <w:color w:val="auto"/>
                <w:w w:val="79"/>
              </w:rPr>
              <w:t>$</w:t>
            </w:r>
          </w:p>
        </w:tc>
        <w:tc>
          <w:tcPr>
            <w:tcW w:w="1100" w:type="dxa"/>
            <w:vAlign w:val="bottom"/>
          </w:tcPr>
          <w:p>
            <w:pPr>
              <w:jc w:val="right"/>
              <w:ind w:right="12"/>
              <w:spacing w:after="0"/>
              <w:rPr>
                <w:sz w:val="20"/>
                <w:szCs w:val="20"/>
                <w:color w:val="auto"/>
              </w:rPr>
            </w:pPr>
            <w:r>
              <w:rPr>
                <w:rFonts w:ascii="Arial" w:cs="Arial" w:eastAsia="Arial" w:hAnsi="Arial"/>
                <w:sz w:val="18"/>
                <w:szCs w:val="18"/>
                <w:color w:val="auto"/>
              </w:rPr>
              <w:t>0.03</w:t>
            </w:r>
          </w:p>
        </w:tc>
        <w:tc>
          <w:tcPr>
            <w:tcW w:w="220" w:type="dxa"/>
            <w:vAlign w:val="bottom"/>
          </w:tcPr>
          <w:p>
            <w:pPr>
              <w:spacing w:after="0"/>
              <w:rPr>
                <w:sz w:val="19"/>
                <w:szCs w:val="19"/>
                <w:color w:val="auto"/>
              </w:rPr>
            </w:pPr>
          </w:p>
        </w:tc>
        <w:tc>
          <w:tcPr>
            <w:tcW w:w="380" w:type="dxa"/>
            <w:vAlign w:val="bottom"/>
          </w:tcPr>
          <w:p>
            <w:pPr>
              <w:jc w:val="right"/>
              <w:ind w:right="170"/>
              <w:spacing w:after="0"/>
              <w:rPr>
                <w:sz w:val="20"/>
                <w:szCs w:val="20"/>
                <w:color w:val="auto"/>
              </w:rPr>
            </w:pPr>
            <w:r>
              <w:rPr>
                <w:rFonts w:ascii="Arial" w:cs="Arial" w:eastAsia="Arial" w:hAnsi="Arial"/>
                <w:sz w:val="18"/>
                <w:szCs w:val="18"/>
                <w:color w:val="auto"/>
                <w:w w:val="99"/>
              </w:rPr>
              <w:t>$</w:t>
            </w:r>
          </w:p>
        </w:tc>
        <w:tc>
          <w:tcPr>
            <w:tcW w:w="1040" w:type="dxa"/>
            <w:vAlign w:val="bottom"/>
          </w:tcPr>
          <w:p>
            <w:pPr>
              <w:jc w:val="right"/>
              <w:spacing w:after="0"/>
              <w:rPr>
                <w:sz w:val="20"/>
                <w:szCs w:val="20"/>
                <w:color w:val="auto"/>
              </w:rPr>
            </w:pPr>
            <w:r>
              <w:rPr>
                <w:rFonts w:ascii="Arial" w:cs="Arial" w:eastAsia="Arial" w:hAnsi="Arial"/>
                <w:sz w:val="18"/>
                <w:szCs w:val="18"/>
                <w:color w:val="auto"/>
              </w:rPr>
              <w:t>(0.06)</w:t>
            </w:r>
          </w:p>
        </w:tc>
        <w:tc>
          <w:tcPr>
            <w:tcW w:w="0" w:type="dxa"/>
            <w:vAlign w:val="bottom"/>
          </w:tcPr>
          <w:p>
            <w:pPr>
              <w:spacing w:after="0"/>
              <w:rPr>
                <w:sz w:val="1"/>
                <w:szCs w:val="1"/>
                <w:color w:val="auto"/>
              </w:rPr>
            </w:pPr>
          </w:p>
        </w:tc>
      </w:tr>
      <w:tr>
        <w:trPr>
          <w:trHeight w:val="67"/>
        </w:trPr>
        <w:tc>
          <w:tcPr>
            <w:tcW w:w="4580" w:type="dxa"/>
            <w:vAlign w:val="bottom"/>
            <w:tcBorders>
              <w:bottom w:val="single" w:sz="8" w:color="CCEEFF"/>
            </w:tcBorders>
          </w:tcPr>
          <w:p>
            <w:pPr>
              <w:spacing w:after="0"/>
              <w:rPr>
                <w:sz w:val="5"/>
                <w:szCs w:val="5"/>
                <w:color w:val="auto"/>
              </w:rPr>
            </w:pPr>
          </w:p>
        </w:tc>
        <w:tc>
          <w:tcPr>
            <w:tcW w:w="320" w:type="dxa"/>
            <w:vAlign w:val="bottom"/>
            <w:tcBorders>
              <w:bottom w:val="single" w:sz="8" w:color="auto"/>
            </w:tcBorders>
          </w:tcPr>
          <w:p>
            <w:pPr>
              <w:spacing w:after="0"/>
              <w:rPr>
                <w:sz w:val="5"/>
                <w:szCs w:val="5"/>
                <w:color w:val="auto"/>
              </w:rPr>
            </w:pPr>
          </w:p>
        </w:tc>
        <w:tc>
          <w:tcPr>
            <w:tcW w:w="1100" w:type="dxa"/>
            <w:vAlign w:val="bottom"/>
            <w:tcBorders>
              <w:bottom w:val="single" w:sz="8" w:color="auto"/>
            </w:tcBorders>
          </w:tcPr>
          <w:p>
            <w:pPr>
              <w:spacing w:after="0"/>
              <w:rPr>
                <w:sz w:val="5"/>
                <w:szCs w:val="5"/>
                <w:color w:val="auto"/>
              </w:rPr>
            </w:pPr>
          </w:p>
        </w:tc>
        <w:tc>
          <w:tcPr>
            <w:tcW w:w="220" w:type="dxa"/>
            <w:vAlign w:val="bottom"/>
            <w:tcBorders>
              <w:bottom w:val="single" w:sz="8" w:color="CCEEFF"/>
            </w:tcBorders>
          </w:tcPr>
          <w:p>
            <w:pPr>
              <w:spacing w:after="0"/>
              <w:rPr>
                <w:sz w:val="5"/>
                <w:szCs w:val="5"/>
                <w:color w:val="auto"/>
              </w:rPr>
            </w:pPr>
          </w:p>
        </w:tc>
        <w:tc>
          <w:tcPr>
            <w:tcW w:w="380" w:type="dxa"/>
            <w:vAlign w:val="bottom"/>
            <w:tcBorders>
              <w:bottom w:val="single" w:sz="8" w:color="auto"/>
            </w:tcBorders>
          </w:tcPr>
          <w:p>
            <w:pPr>
              <w:spacing w:after="0"/>
              <w:rPr>
                <w:sz w:val="5"/>
                <w:szCs w:val="5"/>
                <w:color w:val="auto"/>
              </w:rPr>
            </w:pPr>
          </w:p>
        </w:tc>
        <w:tc>
          <w:tcPr>
            <w:tcW w:w="1040" w:type="dxa"/>
            <w:vAlign w:val="bottom"/>
            <w:tcBorders>
              <w:bottom w:val="single" w:sz="8" w:color="auto"/>
            </w:tcBorders>
          </w:tcPr>
          <w:p>
            <w:pPr>
              <w:spacing w:after="0"/>
              <w:rPr>
                <w:sz w:val="5"/>
                <w:szCs w:val="5"/>
                <w:color w:val="auto"/>
              </w:rPr>
            </w:pPr>
          </w:p>
        </w:tc>
        <w:tc>
          <w:tcPr>
            <w:tcW w:w="220" w:type="dxa"/>
            <w:vAlign w:val="bottom"/>
            <w:tcBorders>
              <w:bottom w:val="single" w:sz="8" w:color="CCEEFF"/>
            </w:tcBorders>
          </w:tcPr>
          <w:p>
            <w:pPr>
              <w:spacing w:after="0"/>
              <w:rPr>
                <w:sz w:val="5"/>
                <w:szCs w:val="5"/>
                <w:color w:val="auto"/>
              </w:rPr>
            </w:pPr>
          </w:p>
        </w:tc>
        <w:tc>
          <w:tcPr>
            <w:tcW w:w="300" w:type="dxa"/>
            <w:vAlign w:val="bottom"/>
            <w:tcBorders>
              <w:bottom w:val="single" w:sz="8" w:color="auto"/>
            </w:tcBorders>
          </w:tcPr>
          <w:p>
            <w:pPr>
              <w:spacing w:after="0"/>
              <w:rPr>
                <w:sz w:val="5"/>
                <w:szCs w:val="5"/>
                <w:color w:val="auto"/>
              </w:rPr>
            </w:pPr>
          </w:p>
        </w:tc>
        <w:tc>
          <w:tcPr>
            <w:tcW w:w="1100" w:type="dxa"/>
            <w:vAlign w:val="bottom"/>
            <w:tcBorders>
              <w:bottom w:val="single" w:sz="8" w:color="auto"/>
            </w:tcBorders>
          </w:tcPr>
          <w:p>
            <w:pPr>
              <w:spacing w:after="0"/>
              <w:rPr>
                <w:sz w:val="5"/>
                <w:szCs w:val="5"/>
                <w:color w:val="auto"/>
              </w:rPr>
            </w:pPr>
          </w:p>
        </w:tc>
        <w:tc>
          <w:tcPr>
            <w:tcW w:w="220" w:type="dxa"/>
            <w:vAlign w:val="bottom"/>
            <w:tcBorders>
              <w:bottom w:val="single" w:sz="8" w:color="CCEEFF"/>
            </w:tcBorders>
          </w:tcPr>
          <w:p>
            <w:pPr>
              <w:spacing w:after="0"/>
              <w:rPr>
                <w:sz w:val="5"/>
                <w:szCs w:val="5"/>
                <w:color w:val="auto"/>
              </w:rPr>
            </w:pPr>
          </w:p>
        </w:tc>
        <w:tc>
          <w:tcPr>
            <w:tcW w:w="380" w:type="dxa"/>
            <w:vAlign w:val="bottom"/>
            <w:tcBorders>
              <w:bottom w:val="single" w:sz="8" w:color="auto"/>
            </w:tcBorders>
          </w:tcPr>
          <w:p>
            <w:pPr>
              <w:spacing w:after="0"/>
              <w:rPr>
                <w:sz w:val="5"/>
                <w:szCs w:val="5"/>
                <w:color w:val="auto"/>
              </w:rPr>
            </w:pPr>
          </w:p>
        </w:tc>
        <w:tc>
          <w:tcPr>
            <w:tcW w:w="1040" w:type="dxa"/>
            <w:vAlign w:val="bottom"/>
            <w:tcBorders>
              <w:bottom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182"/>
        </w:trPr>
        <w:tc>
          <w:tcPr>
            <w:tcW w:w="4580" w:type="dxa"/>
            <w:vAlign w:val="bottom"/>
            <w:shd w:val="clear" w:color="auto" w:fill="CCEEFF"/>
          </w:tcPr>
          <w:p>
            <w:pPr>
              <w:ind w:left="40"/>
              <w:spacing w:after="0" w:line="182" w:lineRule="exact"/>
              <w:rPr>
                <w:sz w:val="20"/>
                <w:szCs w:val="20"/>
                <w:color w:val="auto"/>
              </w:rPr>
            </w:pPr>
            <w:r>
              <w:rPr>
                <w:rFonts w:ascii="Arial" w:cs="Arial" w:eastAsia="Arial" w:hAnsi="Arial"/>
                <w:sz w:val="18"/>
                <w:szCs w:val="18"/>
                <w:color w:val="auto"/>
                <w:w w:val="95"/>
              </w:rPr>
              <w:t>Weighted average common shares and common equivalent</w:t>
            </w:r>
          </w:p>
        </w:tc>
        <w:tc>
          <w:tcPr>
            <w:tcW w:w="320" w:type="dxa"/>
            <w:vAlign w:val="bottom"/>
            <w:shd w:val="clear" w:color="auto" w:fill="CCEEFF"/>
          </w:tcPr>
          <w:p>
            <w:pPr>
              <w:spacing w:after="0"/>
              <w:rPr>
                <w:sz w:val="15"/>
                <w:szCs w:val="15"/>
                <w:color w:val="auto"/>
              </w:rPr>
            </w:pPr>
          </w:p>
        </w:tc>
        <w:tc>
          <w:tcPr>
            <w:tcW w:w="1100" w:type="dxa"/>
            <w:vAlign w:val="bottom"/>
            <w:shd w:val="clear" w:color="auto" w:fill="CCEEFF"/>
          </w:tcPr>
          <w:p>
            <w:pPr>
              <w:spacing w:after="0"/>
              <w:rPr>
                <w:sz w:val="15"/>
                <w:szCs w:val="15"/>
                <w:color w:val="auto"/>
              </w:rPr>
            </w:pPr>
          </w:p>
        </w:tc>
        <w:tc>
          <w:tcPr>
            <w:tcW w:w="220" w:type="dxa"/>
            <w:vAlign w:val="bottom"/>
            <w:shd w:val="clear" w:color="auto" w:fill="CCEEFF"/>
          </w:tcPr>
          <w:p>
            <w:pPr>
              <w:spacing w:after="0"/>
              <w:rPr>
                <w:sz w:val="15"/>
                <w:szCs w:val="15"/>
                <w:color w:val="auto"/>
              </w:rPr>
            </w:pPr>
          </w:p>
        </w:tc>
        <w:tc>
          <w:tcPr>
            <w:tcW w:w="380" w:type="dxa"/>
            <w:vAlign w:val="bottom"/>
            <w:shd w:val="clear" w:color="auto" w:fill="CCEEFF"/>
          </w:tcPr>
          <w:p>
            <w:pPr>
              <w:spacing w:after="0"/>
              <w:rPr>
                <w:sz w:val="15"/>
                <w:szCs w:val="15"/>
                <w:color w:val="auto"/>
              </w:rPr>
            </w:pPr>
          </w:p>
        </w:tc>
        <w:tc>
          <w:tcPr>
            <w:tcW w:w="1040" w:type="dxa"/>
            <w:vAlign w:val="bottom"/>
            <w:shd w:val="clear" w:color="auto" w:fill="CCEEFF"/>
          </w:tcPr>
          <w:p>
            <w:pPr>
              <w:spacing w:after="0"/>
              <w:rPr>
                <w:sz w:val="15"/>
                <w:szCs w:val="15"/>
                <w:color w:val="auto"/>
              </w:rPr>
            </w:pPr>
          </w:p>
        </w:tc>
        <w:tc>
          <w:tcPr>
            <w:tcW w:w="220" w:type="dxa"/>
            <w:vAlign w:val="bottom"/>
            <w:shd w:val="clear" w:color="auto" w:fill="CCEEFF"/>
          </w:tcPr>
          <w:p>
            <w:pPr>
              <w:spacing w:after="0"/>
              <w:rPr>
                <w:sz w:val="15"/>
                <w:szCs w:val="15"/>
                <w:color w:val="auto"/>
              </w:rPr>
            </w:pPr>
          </w:p>
        </w:tc>
        <w:tc>
          <w:tcPr>
            <w:tcW w:w="300" w:type="dxa"/>
            <w:vAlign w:val="bottom"/>
            <w:shd w:val="clear" w:color="auto" w:fill="CCEEFF"/>
          </w:tcPr>
          <w:p>
            <w:pPr>
              <w:spacing w:after="0"/>
              <w:rPr>
                <w:sz w:val="15"/>
                <w:szCs w:val="15"/>
                <w:color w:val="auto"/>
              </w:rPr>
            </w:pPr>
          </w:p>
        </w:tc>
        <w:tc>
          <w:tcPr>
            <w:tcW w:w="1100" w:type="dxa"/>
            <w:vAlign w:val="bottom"/>
            <w:shd w:val="clear" w:color="auto" w:fill="CCEEFF"/>
          </w:tcPr>
          <w:p>
            <w:pPr>
              <w:spacing w:after="0"/>
              <w:rPr>
                <w:sz w:val="15"/>
                <w:szCs w:val="15"/>
                <w:color w:val="auto"/>
              </w:rPr>
            </w:pPr>
          </w:p>
        </w:tc>
        <w:tc>
          <w:tcPr>
            <w:tcW w:w="220" w:type="dxa"/>
            <w:vAlign w:val="bottom"/>
            <w:shd w:val="clear" w:color="auto" w:fill="CCEEFF"/>
          </w:tcPr>
          <w:p>
            <w:pPr>
              <w:spacing w:after="0"/>
              <w:rPr>
                <w:sz w:val="15"/>
                <w:szCs w:val="15"/>
                <w:color w:val="auto"/>
              </w:rPr>
            </w:pPr>
          </w:p>
        </w:tc>
        <w:tc>
          <w:tcPr>
            <w:tcW w:w="380" w:type="dxa"/>
            <w:vAlign w:val="bottom"/>
            <w:shd w:val="clear" w:color="auto" w:fill="CCEEFF"/>
          </w:tcPr>
          <w:p>
            <w:pPr>
              <w:spacing w:after="0"/>
              <w:rPr>
                <w:sz w:val="15"/>
                <w:szCs w:val="15"/>
                <w:color w:val="auto"/>
              </w:rPr>
            </w:pPr>
          </w:p>
        </w:tc>
        <w:tc>
          <w:tcPr>
            <w:tcW w:w="1040" w:type="dxa"/>
            <w:vAlign w:val="bottom"/>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237"/>
        </w:trPr>
        <w:tc>
          <w:tcPr>
            <w:tcW w:w="45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shares outstanding:</w:t>
            </w:r>
          </w:p>
        </w:tc>
        <w:tc>
          <w:tcPr>
            <w:tcW w:w="320" w:type="dxa"/>
            <w:vAlign w:val="bottom"/>
            <w:tcBorders>
              <w:bottom w:val="single" w:sz="8" w:color="CCEEFF"/>
            </w:tcBorders>
            <w:shd w:val="clear" w:color="auto" w:fill="CCEEFF"/>
          </w:tcPr>
          <w:p>
            <w:pPr>
              <w:spacing w:after="0"/>
              <w:rPr>
                <w:sz w:val="20"/>
                <w:szCs w:val="20"/>
                <w:color w:val="auto"/>
              </w:rPr>
            </w:pPr>
          </w:p>
        </w:tc>
        <w:tc>
          <w:tcPr>
            <w:tcW w:w="1100" w:type="dxa"/>
            <w:vAlign w:val="bottom"/>
            <w:tcBorders>
              <w:bottom w:val="single" w:sz="8" w:color="CCEEFF"/>
            </w:tcBorders>
            <w:shd w:val="clear" w:color="auto" w:fill="CCEEFF"/>
          </w:tcPr>
          <w:p>
            <w:pPr>
              <w:spacing w:after="0"/>
              <w:rPr>
                <w:sz w:val="20"/>
                <w:szCs w:val="20"/>
                <w:color w:val="auto"/>
              </w:rPr>
            </w:pPr>
          </w:p>
        </w:tc>
        <w:tc>
          <w:tcPr>
            <w:tcW w:w="220" w:type="dxa"/>
            <w:vAlign w:val="bottom"/>
            <w:tcBorders>
              <w:bottom w:val="single" w:sz="8" w:color="CCEEFF"/>
            </w:tcBorders>
            <w:shd w:val="clear" w:color="auto" w:fill="CCEEFF"/>
          </w:tcPr>
          <w:p>
            <w:pPr>
              <w:spacing w:after="0"/>
              <w:rPr>
                <w:sz w:val="20"/>
                <w:szCs w:val="20"/>
                <w:color w:val="auto"/>
              </w:rPr>
            </w:pPr>
          </w:p>
        </w:tc>
        <w:tc>
          <w:tcPr>
            <w:tcW w:w="380" w:type="dxa"/>
            <w:vAlign w:val="bottom"/>
            <w:tcBorders>
              <w:bottom w:val="single" w:sz="8" w:color="CCEEFF"/>
            </w:tcBorders>
            <w:shd w:val="clear" w:color="auto" w:fill="CCEEFF"/>
          </w:tcPr>
          <w:p>
            <w:pPr>
              <w:spacing w:after="0"/>
              <w:rPr>
                <w:sz w:val="20"/>
                <w:szCs w:val="20"/>
                <w:color w:val="auto"/>
              </w:rPr>
            </w:pPr>
          </w:p>
        </w:tc>
        <w:tc>
          <w:tcPr>
            <w:tcW w:w="1040" w:type="dxa"/>
            <w:vAlign w:val="bottom"/>
            <w:tcBorders>
              <w:bottom w:val="single" w:sz="8" w:color="CCEEFF"/>
            </w:tcBorders>
            <w:shd w:val="clear" w:color="auto" w:fill="CCEEFF"/>
          </w:tcPr>
          <w:p>
            <w:pPr>
              <w:spacing w:after="0"/>
              <w:rPr>
                <w:sz w:val="20"/>
                <w:szCs w:val="20"/>
                <w:color w:val="auto"/>
              </w:rPr>
            </w:pPr>
          </w:p>
        </w:tc>
        <w:tc>
          <w:tcPr>
            <w:tcW w:w="220" w:type="dxa"/>
            <w:vAlign w:val="bottom"/>
            <w:tcBorders>
              <w:bottom w:val="single" w:sz="8" w:color="CCEEFF"/>
            </w:tcBorders>
            <w:shd w:val="clear" w:color="auto" w:fill="CCEEFF"/>
          </w:tcPr>
          <w:p>
            <w:pPr>
              <w:spacing w:after="0"/>
              <w:rPr>
                <w:sz w:val="20"/>
                <w:szCs w:val="20"/>
                <w:color w:val="auto"/>
              </w:rPr>
            </w:pPr>
          </w:p>
        </w:tc>
        <w:tc>
          <w:tcPr>
            <w:tcW w:w="300" w:type="dxa"/>
            <w:vAlign w:val="bottom"/>
            <w:tcBorders>
              <w:bottom w:val="single" w:sz="8" w:color="CCEEFF"/>
            </w:tcBorders>
            <w:shd w:val="clear" w:color="auto" w:fill="CCEEFF"/>
          </w:tcPr>
          <w:p>
            <w:pPr>
              <w:spacing w:after="0"/>
              <w:rPr>
                <w:sz w:val="20"/>
                <w:szCs w:val="20"/>
                <w:color w:val="auto"/>
              </w:rPr>
            </w:pPr>
          </w:p>
        </w:tc>
        <w:tc>
          <w:tcPr>
            <w:tcW w:w="1100" w:type="dxa"/>
            <w:vAlign w:val="bottom"/>
            <w:tcBorders>
              <w:bottom w:val="single" w:sz="8" w:color="CCEEFF"/>
            </w:tcBorders>
            <w:shd w:val="clear" w:color="auto" w:fill="CCEEFF"/>
          </w:tcPr>
          <w:p>
            <w:pPr>
              <w:spacing w:after="0"/>
              <w:rPr>
                <w:sz w:val="20"/>
                <w:szCs w:val="20"/>
                <w:color w:val="auto"/>
              </w:rPr>
            </w:pPr>
          </w:p>
        </w:tc>
        <w:tc>
          <w:tcPr>
            <w:tcW w:w="220" w:type="dxa"/>
            <w:vAlign w:val="bottom"/>
            <w:tcBorders>
              <w:bottom w:val="single" w:sz="8" w:color="CCEEFF"/>
            </w:tcBorders>
            <w:shd w:val="clear" w:color="auto" w:fill="CCEEFF"/>
          </w:tcPr>
          <w:p>
            <w:pPr>
              <w:spacing w:after="0"/>
              <w:rPr>
                <w:sz w:val="20"/>
                <w:szCs w:val="20"/>
                <w:color w:val="auto"/>
              </w:rPr>
            </w:pPr>
          </w:p>
        </w:tc>
        <w:tc>
          <w:tcPr>
            <w:tcW w:w="380" w:type="dxa"/>
            <w:vAlign w:val="bottom"/>
            <w:tcBorders>
              <w:bottom w:val="single" w:sz="8" w:color="CCEEFF"/>
            </w:tcBorders>
            <w:shd w:val="clear" w:color="auto" w:fill="CCEEFF"/>
          </w:tcPr>
          <w:p>
            <w:pPr>
              <w:spacing w:after="0"/>
              <w:rPr>
                <w:sz w:val="20"/>
                <w:szCs w:val="20"/>
                <w:color w:val="auto"/>
              </w:rPr>
            </w:pPr>
          </w:p>
        </w:tc>
        <w:tc>
          <w:tcPr>
            <w:tcW w:w="1040" w:type="dxa"/>
            <w:vAlign w:val="bottom"/>
            <w:tcBorders>
              <w:bottom w:val="single" w:sz="8" w:color="CCEEFF"/>
            </w:tcBorders>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243"/>
        </w:trPr>
        <w:tc>
          <w:tcPr>
            <w:tcW w:w="4580" w:type="dxa"/>
            <w:vAlign w:val="bottom"/>
          </w:tcPr>
          <w:p>
            <w:pPr>
              <w:ind w:left="400"/>
              <w:spacing w:after="0"/>
              <w:rPr>
                <w:sz w:val="20"/>
                <w:szCs w:val="20"/>
                <w:color w:val="auto"/>
              </w:rPr>
            </w:pPr>
            <w:r>
              <w:rPr>
                <w:rFonts w:ascii="Arial" w:cs="Arial" w:eastAsia="Arial" w:hAnsi="Arial"/>
                <w:sz w:val="18"/>
                <w:szCs w:val="18"/>
                <w:color w:val="auto"/>
              </w:rPr>
              <w:t>Basic</w:t>
            </w:r>
          </w:p>
        </w:tc>
        <w:tc>
          <w:tcPr>
            <w:tcW w:w="320" w:type="dxa"/>
            <w:vAlign w:val="bottom"/>
          </w:tcPr>
          <w:p>
            <w:pPr>
              <w:spacing w:after="0"/>
              <w:rPr>
                <w:sz w:val="21"/>
                <w:szCs w:val="21"/>
                <w:color w:val="auto"/>
              </w:rPr>
            </w:pPr>
          </w:p>
        </w:tc>
        <w:tc>
          <w:tcPr>
            <w:tcW w:w="1100" w:type="dxa"/>
            <w:vAlign w:val="bottom"/>
          </w:tcPr>
          <w:p>
            <w:pPr>
              <w:jc w:val="right"/>
              <w:ind w:right="12"/>
              <w:spacing w:after="0"/>
              <w:rPr>
                <w:sz w:val="20"/>
                <w:szCs w:val="20"/>
                <w:color w:val="auto"/>
              </w:rPr>
            </w:pPr>
            <w:r>
              <w:rPr>
                <w:rFonts w:ascii="Arial" w:cs="Arial" w:eastAsia="Arial" w:hAnsi="Arial"/>
                <w:sz w:val="18"/>
                <w:szCs w:val="18"/>
                <w:color w:val="auto"/>
              </w:rPr>
              <w:t>27,531,361</w:t>
            </w:r>
          </w:p>
        </w:tc>
        <w:tc>
          <w:tcPr>
            <w:tcW w:w="22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1040" w:type="dxa"/>
            <w:vAlign w:val="bottom"/>
          </w:tcPr>
          <w:p>
            <w:pPr>
              <w:jc w:val="right"/>
              <w:ind w:right="31"/>
              <w:spacing w:after="0"/>
              <w:rPr>
                <w:sz w:val="20"/>
                <w:szCs w:val="20"/>
                <w:color w:val="auto"/>
              </w:rPr>
            </w:pPr>
            <w:r>
              <w:rPr>
                <w:rFonts w:ascii="Arial" w:cs="Arial" w:eastAsia="Arial" w:hAnsi="Arial"/>
                <w:sz w:val="18"/>
                <w:szCs w:val="18"/>
                <w:color w:val="auto"/>
                <w:w w:val="99"/>
              </w:rPr>
              <w:t>27,600,147</w:t>
            </w:r>
          </w:p>
        </w:tc>
        <w:tc>
          <w:tcPr>
            <w:tcW w:w="22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100" w:type="dxa"/>
            <w:vAlign w:val="bottom"/>
          </w:tcPr>
          <w:p>
            <w:pPr>
              <w:jc w:val="right"/>
              <w:ind w:right="12"/>
              <w:spacing w:after="0"/>
              <w:rPr>
                <w:sz w:val="20"/>
                <w:szCs w:val="20"/>
                <w:color w:val="auto"/>
              </w:rPr>
            </w:pPr>
            <w:r>
              <w:rPr>
                <w:rFonts w:ascii="Arial" w:cs="Arial" w:eastAsia="Arial" w:hAnsi="Arial"/>
                <w:sz w:val="18"/>
                <w:szCs w:val="18"/>
                <w:color w:val="auto"/>
              </w:rPr>
              <w:t>27,368,185</w:t>
            </w:r>
          </w:p>
        </w:tc>
        <w:tc>
          <w:tcPr>
            <w:tcW w:w="22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1040" w:type="dxa"/>
            <w:vAlign w:val="bottom"/>
          </w:tcPr>
          <w:p>
            <w:pPr>
              <w:jc w:val="right"/>
              <w:ind w:right="11"/>
              <w:spacing w:after="0"/>
              <w:rPr>
                <w:sz w:val="20"/>
                <w:szCs w:val="20"/>
                <w:color w:val="auto"/>
              </w:rPr>
            </w:pPr>
            <w:r>
              <w:rPr>
                <w:rFonts w:ascii="Arial" w:cs="Arial" w:eastAsia="Arial" w:hAnsi="Arial"/>
                <w:sz w:val="18"/>
                <w:szCs w:val="18"/>
                <w:color w:val="auto"/>
              </w:rPr>
              <w:t>27,570,919</w:t>
            </w:r>
          </w:p>
        </w:tc>
        <w:tc>
          <w:tcPr>
            <w:tcW w:w="0" w:type="dxa"/>
            <w:vAlign w:val="bottom"/>
          </w:tcPr>
          <w:p>
            <w:pPr>
              <w:spacing w:after="0"/>
              <w:rPr>
                <w:sz w:val="1"/>
                <w:szCs w:val="1"/>
                <w:color w:val="auto"/>
              </w:rPr>
            </w:pPr>
          </w:p>
        </w:tc>
      </w:tr>
      <w:tr>
        <w:trPr>
          <w:trHeight w:val="27"/>
        </w:trPr>
        <w:tc>
          <w:tcPr>
            <w:tcW w:w="4580" w:type="dxa"/>
            <w:vAlign w:val="bottom"/>
          </w:tcPr>
          <w:p>
            <w:pPr>
              <w:spacing w:after="0"/>
              <w:rPr>
                <w:sz w:val="2"/>
                <w:szCs w:val="2"/>
                <w:color w:val="auto"/>
              </w:rPr>
            </w:pPr>
          </w:p>
        </w:tc>
        <w:tc>
          <w:tcPr>
            <w:tcW w:w="320" w:type="dxa"/>
            <w:vAlign w:val="bottom"/>
          </w:tcPr>
          <w:p>
            <w:pPr>
              <w:spacing w:after="0"/>
              <w:rPr>
                <w:sz w:val="2"/>
                <w:szCs w:val="2"/>
                <w:color w:val="auto"/>
              </w:rPr>
            </w:pPr>
          </w:p>
        </w:tc>
        <w:tc>
          <w:tcPr>
            <w:tcW w:w="1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380" w:type="dxa"/>
            <w:vAlign w:val="bottom"/>
          </w:tcPr>
          <w:p>
            <w:pPr>
              <w:spacing w:after="0"/>
              <w:rPr>
                <w:sz w:val="2"/>
                <w:szCs w:val="2"/>
                <w:color w:val="auto"/>
              </w:rPr>
            </w:pPr>
          </w:p>
        </w:tc>
        <w:tc>
          <w:tcPr>
            <w:tcW w:w="1040" w:type="dxa"/>
            <w:vAlign w:val="bottom"/>
          </w:tcPr>
          <w:p>
            <w:pPr>
              <w:spacing w:after="0"/>
              <w:rPr>
                <w:sz w:val="2"/>
                <w:szCs w:val="2"/>
                <w:color w:val="auto"/>
              </w:rPr>
            </w:pPr>
          </w:p>
        </w:tc>
        <w:tc>
          <w:tcPr>
            <w:tcW w:w="220" w:type="dxa"/>
            <w:vAlign w:val="bottom"/>
          </w:tcPr>
          <w:p>
            <w:pPr>
              <w:spacing w:after="0"/>
              <w:rPr>
                <w:sz w:val="2"/>
                <w:szCs w:val="2"/>
                <w:color w:val="auto"/>
              </w:rPr>
            </w:pPr>
          </w:p>
        </w:tc>
        <w:tc>
          <w:tcPr>
            <w:tcW w:w="300" w:type="dxa"/>
            <w:vAlign w:val="bottom"/>
          </w:tcPr>
          <w:p>
            <w:pPr>
              <w:spacing w:after="0"/>
              <w:rPr>
                <w:sz w:val="2"/>
                <w:szCs w:val="2"/>
                <w:color w:val="auto"/>
              </w:rPr>
            </w:pPr>
          </w:p>
        </w:tc>
        <w:tc>
          <w:tcPr>
            <w:tcW w:w="1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380" w:type="dxa"/>
            <w:vAlign w:val="bottom"/>
          </w:tcPr>
          <w:p>
            <w:pPr>
              <w:spacing w:after="0"/>
              <w:rPr>
                <w:sz w:val="2"/>
                <w:szCs w:val="2"/>
                <w:color w:val="auto"/>
              </w:rPr>
            </w:pPr>
          </w:p>
        </w:tc>
        <w:tc>
          <w:tcPr>
            <w:tcW w:w="10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4580" w:type="dxa"/>
            <w:vAlign w:val="bottom"/>
            <w:tcBorders>
              <w:bottom w:val="single" w:sz="8" w:color="CCEEFF"/>
            </w:tcBorders>
            <w:shd w:val="clear" w:color="auto" w:fill="CCEEFF"/>
          </w:tcPr>
          <w:p>
            <w:pPr>
              <w:ind w:left="400"/>
              <w:spacing w:after="0"/>
              <w:rPr>
                <w:sz w:val="20"/>
                <w:szCs w:val="20"/>
                <w:color w:val="auto"/>
              </w:rPr>
            </w:pPr>
            <w:r>
              <w:rPr>
                <w:rFonts w:ascii="Arial" w:cs="Arial" w:eastAsia="Arial" w:hAnsi="Arial"/>
                <w:sz w:val="18"/>
                <w:szCs w:val="18"/>
                <w:color w:val="auto"/>
              </w:rPr>
              <w:t>Diluted</w:t>
            </w:r>
          </w:p>
        </w:tc>
        <w:tc>
          <w:tcPr>
            <w:tcW w:w="32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31,506,745</w:t>
            </w:r>
          </w:p>
        </w:tc>
        <w:tc>
          <w:tcPr>
            <w:tcW w:w="220" w:type="dxa"/>
            <w:vAlign w:val="bottom"/>
            <w:tcBorders>
              <w:bottom w:val="single" w:sz="8" w:color="CCEEFF"/>
            </w:tcBorders>
            <w:shd w:val="clear" w:color="auto" w:fill="CCEEFF"/>
          </w:tcPr>
          <w:p>
            <w:pPr>
              <w:spacing w:after="0"/>
              <w:rPr>
                <w:sz w:val="21"/>
                <w:szCs w:val="21"/>
                <w:color w:val="auto"/>
              </w:rPr>
            </w:pPr>
          </w:p>
        </w:tc>
        <w:tc>
          <w:tcPr>
            <w:tcW w:w="38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w w:val="99"/>
              </w:rPr>
              <w:t>32,579,379</w:t>
            </w:r>
          </w:p>
        </w:tc>
        <w:tc>
          <w:tcPr>
            <w:tcW w:w="22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31,257,277</w:t>
            </w:r>
          </w:p>
        </w:tc>
        <w:tc>
          <w:tcPr>
            <w:tcW w:w="220" w:type="dxa"/>
            <w:vAlign w:val="bottom"/>
            <w:tcBorders>
              <w:bottom w:val="single" w:sz="8" w:color="CCEEFF"/>
            </w:tcBorders>
            <w:shd w:val="clear" w:color="auto" w:fill="CCEEFF"/>
          </w:tcPr>
          <w:p>
            <w:pPr>
              <w:spacing w:after="0"/>
              <w:rPr>
                <w:sz w:val="21"/>
                <w:szCs w:val="21"/>
                <w:color w:val="auto"/>
              </w:rPr>
            </w:pPr>
          </w:p>
        </w:tc>
        <w:tc>
          <w:tcPr>
            <w:tcW w:w="38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27,570,919</w:t>
            </w:r>
          </w:p>
        </w:tc>
        <w:tc>
          <w:tcPr>
            <w:tcW w:w="0" w:type="dxa"/>
            <w:vAlign w:val="bottom"/>
          </w:tcPr>
          <w:p>
            <w:pPr>
              <w:spacing w:after="0"/>
              <w:rPr>
                <w:sz w:val="1"/>
                <w:szCs w:val="1"/>
                <w:color w:val="auto"/>
              </w:rPr>
            </w:pPr>
          </w:p>
        </w:tc>
      </w:tr>
      <w:tr>
        <w:trPr>
          <w:trHeight w:val="230"/>
        </w:trPr>
        <w:tc>
          <w:tcPr>
            <w:tcW w:w="9480" w:type="dxa"/>
            <w:vAlign w:val="bottom"/>
            <w:gridSpan w:val="10"/>
          </w:tcPr>
          <w:p>
            <w:pPr>
              <w:ind w:left="2320"/>
              <w:spacing w:after="0"/>
              <w:rPr>
                <w:sz w:val="20"/>
                <w:szCs w:val="20"/>
                <w:color w:val="auto"/>
              </w:rPr>
            </w:pPr>
            <w:r>
              <w:rPr>
                <w:rFonts w:ascii="Arial" w:cs="Arial" w:eastAsia="Arial" w:hAnsi="Arial"/>
                <w:sz w:val="18"/>
                <w:szCs w:val="18"/>
                <w:color w:val="auto"/>
              </w:rPr>
              <w:t>The accompanying notes are an integral part of these consolidated financial statements.</w:t>
            </w:r>
          </w:p>
        </w:tc>
        <w:tc>
          <w:tcPr>
            <w:tcW w:w="380" w:type="dxa"/>
            <w:vAlign w:val="bottom"/>
          </w:tcPr>
          <w:p>
            <w:pPr>
              <w:spacing w:after="0"/>
              <w:rPr>
                <w:sz w:val="20"/>
                <w:szCs w:val="20"/>
                <w:color w:val="auto"/>
              </w:rPr>
            </w:pPr>
          </w:p>
        </w:tc>
        <w:tc>
          <w:tcPr>
            <w:tcW w:w="1040" w:type="dxa"/>
            <w:vAlign w:val="bottom"/>
          </w:tcPr>
          <w:p>
            <w:pPr>
              <w:spacing w:after="0"/>
              <w:rPr>
                <w:sz w:val="20"/>
                <w:szCs w:val="20"/>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ectPr>
          <w:pgSz w:w="11900" w:h="16838" w:orient="portrait"/>
          <w:cols w:equalWidth="0" w:num="1">
            <w:col w:w="11160"/>
          </w:cols>
          <w:pgMar w:left="240" w:top="118" w:right="499" w:bottom="1440" w:gutter="0" w:footer="0" w:header="0"/>
        </w:sectPr>
      </w:pPr>
    </w:p>
    <w:p>
      <w:pPr>
        <w:spacing w:after="0" w:line="14" w:lineRule="exact"/>
        <w:rPr>
          <w:sz w:val="20"/>
          <w:szCs w:val="20"/>
          <w:color w:val="auto"/>
        </w:rPr>
      </w:pPr>
    </w:p>
    <w:p>
      <w:pPr>
        <w:jc w:val="center"/>
        <w:ind w:right="-259"/>
        <w:spacing w:after="0"/>
        <w:rPr>
          <w:sz w:val="20"/>
          <w:szCs w:val="20"/>
          <w:color w:val="auto"/>
        </w:rPr>
      </w:pPr>
      <w:r>
        <w:rPr>
          <w:rFonts w:ascii="Arial" w:cs="Arial" w:eastAsia="Arial" w:hAnsi="Arial"/>
          <w:sz w:val="17"/>
          <w:szCs w:val="17"/>
          <w:color w:val="auto"/>
        </w:rPr>
        <w:t>4</w:t>
      </w:r>
    </w:p>
    <w:p>
      <w:pPr>
        <w:sectPr>
          <w:pgSz w:w="11900" w:h="16838" w:orient="portrait"/>
          <w:cols w:equalWidth="0" w:num="1">
            <w:col w:w="11160"/>
          </w:cols>
          <w:pgMar w:left="240" w:top="118" w:right="499" w:bottom="1440" w:gutter="0" w:footer="0" w:header="0"/>
          <w:type w:val="continuous"/>
        </w:sectPr>
      </w:pPr>
    </w:p>
    <w:bookmarkStart w:id="4" w:name="page5"/>
    <w:bookmarkEnd w:id="4"/>
    <w:p>
      <w:pPr>
        <w:spacing w:after="0"/>
        <w:rPr>
          <w:rFonts w:ascii="Arial" w:cs="Arial" w:eastAsia="Arial" w:hAnsi="Arial"/>
          <w:sz w:val="14"/>
          <w:szCs w:val="14"/>
          <w:b w:val="1"/>
          <w:bCs w:val="1"/>
          <w:u w:val="single" w:color="auto"/>
          <w:color w:val="0000EE"/>
        </w:rPr>
      </w:pPr>
      <w:hyperlink w:anchor="page2">
        <w:r>
          <w:rPr>
            <w:rFonts w:ascii="Arial" w:cs="Arial" w:eastAsia="Arial" w:hAnsi="Arial"/>
            <w:sz w:val="14"/>
            <w:szCs w:val="14"/>
            <w:b w:val="1"/>
            <w:bCs w:val="1"/>
            <w:u w:val="single" w:color="auto"/>
            <w:color w:val="0000EE"/>
          </w:rPr>
          <w:t>Table of Contents</w:t>
        </w:r>
      </w:hyperlink>
    </w:p>
    <w:p>
      <w:pPr>
        <w:spacing w:after="0" w:line="248" w:lineRule="exact"/>
        <w:rPr>
          <w:sz w:val="20"/>
          <w:szCs w:val="20"/>
          <w:color w:val="auto"/>
        </w:rPr>
      </w:pPr>
    </w:p>
    <w:p>
      <w:pPr>
        <w:jc w:val="center"/>
        <w:ind w:right="-399"/>
        <w:spacing w:after="0"/>
        <w:rPr>
          <w:sz w:val="20"/>
          <w:szCs w:val="20"/>
          <w:color w:val="auto"/>
        </w:rPr>
      </w:pPr>
      <w:r>
        <w:rPr>
          <w:rFonts w:ascii="Arial" w:cs="Arial" w:eastAsia="Arial" w:hAnsi="Arial"/>
          <w:sz w:val="18"/>
          <w:szCs w:val="18"/>
          <w:b w:val="1"/>
          <w:bCs w:val="1"/>
          <w:color w:val="auto"/>
        </w:rPr>
        <w:t>Luna Innovations Incorporated</w:t>
      </w:r>
    </w:p>
    <w:p>
      <w:pPr>
        <w:spacing w:after="0" w:line="27" w:lineRule="exact"/>
        <w:rPr>
          <w:sz w:val="20"/>
          <w:szCs w:val="20"/>
          <w:color w:val="auto"/>
        </w:rPr>
      </w:pPr>
    </w:p>
    <w:p>
      <w:pPr>
        <w:jc w:val="center"/>
        <w:ind w:right="-399"/>
        <w:spacing w:after="0"/>
        <w:rPr>
          <w:sz w:val="20"/>
          <w:szCs w:val="20"/>
          <w:color w:val="auto"/>
        </w:rPr>
      </w:pPr>
      <w:r>
        <w:rPr>
          <w:rFonts w:ascii="Arial" w:cs="Arial" w:eastAsia="Arial" w:hAnsi="Arial"/>
          <w:sz w:val="18"/>
          <w:szCs w:val="18"/>
          <w:b w:val="1"/>
          <w:bCs w:val="1"/>
          <w:color w:val="auto"/>
        </w:rPr>
        <w:t>Consolidated Statements of Cash Flows</w:t>
      </w:r>
    </w:p>
    <w:p>
      <w:pPr>
        <w:spacing w:after="0" w:line="200" w:lineRule="exact"/>
        <w:rPr>
          <w:sz w:val="20"/>
          <w:szCs w:val="20"/>
          <w:color w:val="auto"/>
        </w:rPr>
      </w:pPr>
    </w:p>
    <w:p>
      <w:pPr>
        <w:spacing w:after="0" w:line="273"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8260" w:type="dxa"/>
            <w:vAlign w:val="bottom"/>
          </w:tcPr>
          <w:p>
            <w:pPr>
              <w:spacing w:after="0"/>
              <w:rPr>
                <w:sz w:val="16"/>
                <w:szCs w:val="16"/>
                <w:color w:val="auto"/>
              </w:rPr>
            </w:pPr>
          </w:p>
        </w:tc>
        <w:tc>
          <w:tcPr>
            <w:tcW w:w="260" w:type="dxa"/>
            <w:vAlign w:val="bottom"/>
            <w:tcBorders>
              <w:bottom w:val="single" w:sz="8" w:color="auto"/>
            </w:tcBorders>
          </w:tcPr>
          <w:p>
            <w:pPr>
              <w:spacing w:after="0"/>
              <w:rPr>
                <w:sz w:val="16"/>
                <w:szCs w:val="16"/>
                <w:color w:val="auto"/>
              </w:rPr>
            </w:pPr>
          </w:p>
        </w:tc>
        <w:tc>
          <w:tcPr>
            <w:tcW w:w="2500" w:type="dxa"/>
            <w:vAlign w:val="bottom"/>
            <w:tcBorders>
              <w:bottom w:val="single" w:sz="8" w:color="auto"/>
            </w:tcBorders>
            <w:gridSpan w:val="4"/>
          </w:tcPr>
          <w:p>
            <w:pPr>
              <w:jc w:val="right"/>
              <w:ind w:right="431"/>
              <w:spacing w:after="0"/>
              <w:rPr>
                <w:sz w:val="20"/>
                <w:szCs w:val="20"/>
                <w:color w:val="auto"/>
              </w:rPr>
            </w:pPr>
            <w:r>
              <w:rPr>
                <w:rFonts w:ascii="Arial" w:cs="Arial" w:eastAsia="Arial" w:hAnsi="Arial"/>
                <w:sz w:val="14"/>
                <w:szCs w:val="14"/>
                <w:b w:val="1"/>
                <w:bCs w:val="1"/>
                <w:color w:val="auto"/>
              </w:rPr>
              <w:t>Six Months Ended June 30,</w:t>
            </w:r>
          </w:p>
        </w:tc>
        <w:tc>
          <w:tcPr>
            <w:tcW w:w="0" w:type="dxa"/>
            <w:vAlign w:val="bottom"/>
          </w:tcPr>
          <w:p>
            <w:pPr>
              <w:spacing w:after="0"/>
              <w:rPr>
                <w:sz w:val="1"/>
                <w:szCs w:val="1"/>
                <w:color w:val="auto"/>
              </w:rPr>
            </w:pPr>
          </w:p>
        </w:tc>
      </w:tr>
      <w:tr>
        <w:trPr>
          <w:trHeight w:val="264"/>
        </w:trPr>
        <w:tc>
          <w:tcPr>
            <w:tcW w:w="8260" w:type="dxa"/>
            <w:vAlign w:val="bottom"/>
          </w:tcPr>
          <w:p>
            <w:pPr>
              <w:spacing w:after="0"/>
              <w:rPr>
                <w:sz w:val="22"/>
                <w:szCs w:val="22"/>
                <w:color w:val="auto"/>
              </w:rPr>
            </w:pPr>
          </w:p>
        </w:tc>
        <w:tc>
          <w:tcPr>
            <w:tcW w:w="260" w:type="dxa"/>
            <w:vAlign w:val="bottom"/>
            <w:tcBorders>
              <w:bottom w:val="single" w:sz="8" w:color="auto"/>
            </w:tcBorders>
          </w:tcPr>
          <w:p>
            <w:pPr>
              <w:spacing w:after="0"/>
              <w:rPr>
                <w:sz w:val="22"/>
                <w:szCs w:val="22"/>
                <w:color w:val="auto"/>
              </w:rPr>
            </w:pPr>
          </w:p>
        </w:tc>
        <w:tc>
          <w:tcPr>
            <w:tcW w:w="1060" w:type="dxa"/>
            <w:vAlign w:val="bottom"/>
            <w:tcBorders>
              <w:bottom w:val="single" w:sz="8" w:color="auto"/>
            </w:tcBorders>
          </w:tcPr>
          <w:p>
            <w:pPr>
              <w:jc w:val="right"/>
              <w:ind w:right="432"/>
              <w:spacing w:after="0"/>
              <w:rPr>
                <w:sz w:val="20"/>
                <w:szCs w:val="20"/>
                <w:color w:val="auto"/>
              </w:rPr>
            </w:pPr>
            <w:r>
              <w:rPr>
                <w:rFonts w:ascii="Arial" w:cs="Arial" w:eastAsia="Arial" w:hAnsi="Arial"/>
                <w:sz w:val="14"/>
                <w:szCs w:val="14"/>
                <w:b w:val="1"/>
                <w:bCs w:val="1"/>
                <w:color w:val="auto"/>
              </w:rPr>
              <w:t>2018</w:t>
            </w:r>
          </w:p>
        </w:tc>
        <w:tc>
          <w:tcPr>
            <w:tcW w:w="120" w:type="dxa"/>
            <w:vAlign w:val="bottom"/>
            <w:tcBorders>
              <w:bottom w:val="single" w:sz="8" w:color="auto"/>
            </w:tcBorders>
          </w:tcPr>
          <w:p>
            <w:pPr>
              <w:spacing w:after="0"/>
              <w:rPr>
                <w:sz w:val="22"/>
                <w:szCs w:val="22"/>
                <w:color w:val="auto"/>
              </w:rPr>
            </w:pPr>
          </w:p>
        </w:tc>
        <w:tc>
          <w:tcPr>
            <w:tcW w:w="360" w:type="dxa"/>
            <w:vAlign w:val="bottom"/>
            <w:tcBorders>
              <w:bottom w:val="single" w:sz="8" w:color="auto"/>
            </w:tcBorders>
          </w:tcPr>
          <w:p>
            <w:pPr>
              <w:spacing w:after="0"/>
              <w:rPr>
                <w:sz w:val="22"/>
                <w:szCs w:val="22"/>
                <w:color w:val="auto"/>
              </w:rPr>
            </w:pPr>
          </w:p>
        </w:tc>
        <w:tc>
          <w:tcPr>
            <w:tcW w:w="960" w:type="dxa"/>
            <w:vAlign w:val="bottom"/>
            <w:tcBorders>
              <w:bottom w:val="single" w:sz="8" w:color="auto"/>
            </w:tcBorders>
          </w:tcPr>
          <w:p>
            <w:pPr>
              <w:jc w:val="right"/>
              <w:ind w:right="431"/>
              <w:spacing w:after="0"/>
              <w:rPr>
                <w:sz w:val="20"/>
                <w:szCs w:val="20"/>
                <w:color w:val="auto"/>
              </w:rPr>
            </w:pPr>
            <w:r>
              <w:rPr>
                <w:rFonts w:ascii="Arial" w:cs="Arial" w:eastAsia="Arial" w:hAnsi="Arial"/>
                <w:sz w:val="14"/>
                <w:szCs w:val="14"/>
                <w:b w:val="1"/>
                <w:bCs w:val="1"/>
                <w:color w:val="auto"/>
              </w:rPr>
              <w:t>2017</w:t>
            </w:r>
          </w:p>
        </w:tc>
        <w:tc>
          <w:tcPr>
            <w:tcW w:w="0" w:type="dxa"/>
            <w:vAlign w:val="bottom"/>
          </w:tcPr>
          <w:p>
            <w:pPr>
              <w:spacing w:after="0"/>
              <w:rPr>
                <w:sz w:val="1"/>
                <w:szCs w:val="1"/>
                <w:color w:val="auto"/>
              </w:rPr>
            </w:pPr>
          </w:p>
        </w:tc>
      </w:tr>
      <w:tr>
        <w:trPr>
          <w:trHeight w:val="196"/>
        </w:trPr>
        <w:tc>
          <w:tcPr>
            <w:tcW w:w="826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1540" w:type="dxa"/>
            <w:vAlign w:val="bottom"/>
            <w:gridSpan w:val="3"/>
          </w:tcPr>
          <w:p>
            <w:pPr>
              <w:jc w:val="right"/>
              <w:spacing w:after="0"/>
              <w:rPr>
                <w:sz w:val="20"/>
                <w:szCs w:val="20"/>
                <w:color w:val="auto"/>
              </w:rPr>
            </w:pPr>
            <w:r>
              <w:rPr>
                <w:rFonts w:ascii="Arial" w:cs="Arial" w:eastAsia="Arial" w:hAnsi="Arial"/>
                <w:sz w:val="14"/>
                <w:szCs w:val="14"/>
                <w:b w:val="1"/>
                <w:bCs w:val="1"/>
                <w:color w:val="auto"/>
              </w:rPr>
              <w:t>(unaudited)</w:t>
            </w:r>
          </w:p>
        </w:tc>
        <w:tc>
          <w:tcPr>
            <w:tcW w:w="9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56"/>
        </w:trPr>
        <w:tc>
          <w:tcPr>
            <w:tcW w:w="82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Cash flows used in operating activities</w:t>
            </w:r>
          </w:p>
        </w:tc>
        <w:tc>
          <w:tcPr>
            <w:tcW w:w="260" w:type="dxa"/>
            <w:vAlign w:val="bottom"/>
            <w:tcBorders>
              <w:bottom w:val="single" w:sz="8" w:color="CCEEFF"/>
            </w:tcBorders>
            <w:shd w:val="clear" w:color="auto" w:fill="CCEEFF"/>
          </w:tcPr>
          <w:p>
            <w:pPr>
              <w:spacing w:after="0"/>
              <w:rPr>
                <w:sz w:val="22"/>
                <w:szCs w:val="22"/>
                <w:color w:val="auto"/>
              </w:rPr>
            </w:pPr>
          </w:p>
        </w:tc>
        <w:tc>
          <w:tcPr>
            <w:tcW w:w="1060" w:type="dxa"/>
            <w:vAlign w:val="bottom"/>
            <w:tcBorders>
              <w:bottom w:val="single" w:sz="8" w:color="CCEEFF"/>
            </w:tcBorders>
            <w:shd w:val="clear" w:color="auto" w:fill="CCEEFF"/>
          </w:tcPr>
          <w:p>
            <w:pPr>
              <w:spacing w:after="0"/>
              <w:rPr>
                <w:sz w:val="22"/>
                <w:szCs w:val="22"/>
                <w:color w:val="auto"/>
              </w:rPr>
            </w:pPr>
          </w:p>
        </w:tc>
        <w:tc>
          <w:tcPr>
            <w:tcW w:w="120" w:type="dxa"/>
            <w:vAlign w:val="bottom"/>
            <w:tcBorders>
              <w:bottom w:val="single" w:sz="8" w:color="CCEEFF"/>
            </w:tcBorders>
            <w:shd w:val="clear" w:color="auto" w:fill="CCEEFF"/>
          </w:tcPr>
          <w:p>
            <w:pPr>
              <w:spacing w:after="0"/>
              <w:rPr>
                <w:sz w:val="22"/>
                <w:szCs w:val="22"/>
                <w:color w:val="auto"/>
              </w:rPr>
            </w:pPr>
          </w:p>
        </w:tc>
        <w:tc>
          <w:tcPr>
            <w:tcW w:w="360" w:type="dxa"/>
            <w:vAlign w:val="bottom"/>
            <w:tcBorders>
              <w:bottom w:val="single" w:sz="8" w:color="CCEEFF"/>
            </w:tcBorders>
            <w:shd w:val="clear" w:color="auto" w:fill="CCEEFF"/>
          </w:tcPr>
          <w:p>
            <w:pPr>
              <w:spacing w:after="0"/>
              <w:rPr>
                <w:sz w:val="22"/>
                <w:szCs w:val="22"/>
                <w:color w:val="auto"/>
              </w:rPr>
            </w:pPr>
          </w:p>
        </w:tc>
        <w:tc>
          <w:tcPr>
            <w:tcW w:w="960" w:type="dxa"/>
            <w:vAlign w:val="bottom"/>
            <w:tcBorders>
              <w:bottom w:val="single" w:sz="8" w:color="CCEEFF"/>
            </w:tcBorders>
            <w:shd w:val="clear" w:color="auto" w:fill="CCEEFF"/>
          </w:tcPr>
          <w:p>
            <w:pPr>
              <w:spacing w:after="0"/>
              <w:rPr>
                <w:sz w:val="22"/>
                <w:szCs w:val="22"/>
                <w:color w:val="auto"/>
              </w:rPr>
            </w:pPr>
          </w:p>
        </w:tc>
        <w:tc>
          <w:tcPr>
            <w:tcW w:w="0" w:type="dxa"/>
            <w:vAlign w:val="bottom"/>
          </w:tcPr>
          <w:p>
            <w:pPr>
              <w:spacing w:after="0"/>
              <w:rPr>
                <w:sz w:val="1"/>
                <w:szCs w:val="1"/>
                <w:color w:val="auto"/>
              </w:rPr>
            </w:pPr>
          </w:p>
        </w:tc>
      </w:tr>
      <w:tr>
        <w:trPr>
          <w:trHeight w:val="243"/>
        </w:trPr>
        <w:tc>
          <w:tcPr>
            <w:tcW w:w="8260" w:type="dxa"/>
            <w:vAlign w:val="bottom"/>
          </w:tcPr>
          <w:p>
            <w:pPr>
              <w:ind w:left="380"/>
              <w:spacing w:after="0"/>
              <w:rPr>
                <w:sz w:val="20"/>
                <w:szCs w:val="20"/>
                <w:color w:val="auto"/>
              </w:rPr>
            </w:pPr>
            <w:r>
              <w:rPr>
                <w:rFonts w:ascii="Arial" w:cs="Arial" w:eastAsia="Arial" w:hAnsi="Arial"/>
                <w:sz w:val="18"/>
                <w:szCs w:val="18"/>
                <w:color w:val="auto"/>
              </w:rPr>
              <w:t>Net income/(loss)</w:t>
            </w:r>
          </w:p>
        </w:tc>
        <w:tc>
          <w:tcPr>
            <w:tcW w:w="260" w:type="dxa"/>
            <w:vAlign w:val="bottom"/>
          </w:tcPr>
          <w:p>
            <w:pPr>
              <w:jc w:val="right"/>
              <w:ind w:right="50"/>
              <w:spacing w:after="0"/>
              <w:rPr>
                <w:sz w:val="20"/>
                <w:szCs w:val="20"/>
                <w:color w:val="auto"/>
              </w:rPr>
            </w:pPr>
            <w:r>
              <w:rPr>
                <w:rFonts w:ascii="Arial" w:cs="Arial" w:eastAsia="Arial" w:hAnsi="Arial"/>
                <w:sz w:val="18"/>
                <w:szCs w:val="18"/>
                <w:color w:val="auto"/>
                <w:w w:val="99"/>
              </w:rPr>
              <w:t>$</w:t>
            </w:r>
          </w:p>
        </w:tc>
        <w:tc>
          <w:tcPr>
            <w:tcW w:w="1060" w:type="dxa"/>
            <w:vAlign w:val="bottom"/>
          </w:tcPr>
          <w:p>
            <w:pPr>
              <w:jc w:val="right"/>
              <w:ind w:right="12"/>
              <w:spacing w:after="0"/>
              <w:rPr>
                <w:sz w:val="20"/>
                <w:szCs w:val="20"/>
                <w:color w:val="auto"/>
              </w:rPr>
            </w:pPr>
            <w:r>
              <w:rPr>
                <w:rFonts w:ascii="Arial" w:cs="Arial" w:eastAsia="Arial" w:hAnsi="Arial"/>
                <w:sz w:val="18"/>
                <w:szCs w:val="18"/>
                <w:color w:val="auto"/>
              </w:rPr>
              <w:t>1,216,003</w:t>
            </w:r>
          </w:p>
        </w:tc>
        <w:tc>
          <w:tcPr>
            <w:tcW w:w="120" w:type="dxa"/>
            <w:vAlign w:val="bottom"/>
          </w:tcPr>
          <w:p>
            <w:pPr>
              <w:spacing w:after="0"/>
              <w:rPr>
                <w:sz w:val="21"/>
                <w:szCs w:val="21"/>
                <w:color w:val="auto"/>
              </w:rPr>
            </w:pPr>
          </w:p>
        </w:tc>
        <w:tc>
          <w:tcPr>
            <w:tcW w:w="360" w:type="dxa"/>
            <w:vAlign w:val="bottom"/>
          </w:tcPr>
          <w:p>
            <w:pPr>
              <w:jc w:val="right"/>
              <w:ind w:right="170"/>
              <w:spacing w:after="0"/>
              <w:rPr>
                <w:sz w:val="20"/>
                <w:szCs w:val="20"/>
                <w:color w:val="auto"/>
              </w:rPr>
            </w:pPr>
            <w:r>
              <w:rPr>
                <w:rFonts w:ascii="Arial" w:cs="Arial" w:eastAsia="Arial" w:hAnsi="Arial"/>
                <w:sz w:val="18"/>
                <w:szCs w:val="18"/>
                <w:color w:val="auto"/>
                <w:w w:val="79"/>
              </w:rPr>
              <w:t>$</w:t>
            </w:r>
          </w:p>
        </w:tc>
        <w:tc>
          <w:tcPr>
            <w:tcW w:w="960" w:type="dxa"/>
            <w:vAlign w:val="bottom"/>
          </w:tcPr>
          <w:p>
            <w:pPr>
              <w:jc w:val="right"/>
              <w:spacing w:after="0"/>
              <w:rPr>
                <w:sz w:val="20"/>
                <w:szCs w:val="20"/>
                <w:color w:val="auto"/>
              </w:rPr>
            </w:pPr>
            <w:r>
              <w:rPr>
                <w:rFonts w:ascii="Arial" w:cs="Arial" w:eastAsia="Arial" w:hAnsi="Arial"/>
                <w:sz w:val="18"/>
                <w:szCs w:val="18"/>
                <w:color w:val="auto"/>
                <w:w w:val="95"/>
              </w:rPr>
              <w:t>(1,577,748)</w:t>
            </w:r>
          </w:p>
        </w:tc>
        <w:tc>
          <w:tcPr>
            <w:tcW w:w="0" w:type="dxa"/>
            <w:vAlign w:val="bottom"/>
          </w:tcPr>
          <w:p>
            <w:pPr>
              <w:spacing w:after="0"/>
              <w:rPr>
                <w:sz w:val="1"/>
                <w:szCs w:val="1"/>
                <w:color w:val="auto"/>
              </w:rPr>
            </w:pPr>
          </w:p>
        </w:tc>
      </w:tr>
      <w:tr>
        <w:trPr>
          <w:trHeight w:val="27"/>
        </w:trPr>
        <w:tc>
          <w:tcPr>
            <w:tcW w:w="8260" w:type="dxa"/>
            <w:vAlign w:val="bottom"/>
          </w:tcPr>
          <w:p>
            <w:pPr>
              <w:spacing w:after="0"/>
              <w:rPr>
                <w:sz w:val="2"/>
                <w:szCs w:val="2"/>
                <w:color w:val="auto"/>
              </w:rPr>
            </w:pPr>
          </w:p>
        </w:tc>
        <w:tc>
          <w:tcPr>
            <w:tcW w:w="26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20" w:type="dxa"/>
            <w:vAlign w:val="bottom"/>
          </w:tcPr>
          <w:p>
            <w:pPr>
              <w:spacing w:after="0"/>
              <w:rPr>
                <w:sz w:val="2"/>
                <w:szCs w:val="2"/>
                <w:color w:val="auto"/>
              </w:rPr>
            </w:pPr>
          </w:p>
        </w:tc>
        <w:tc>
          <w:tcPr>
            <w:tcW w:w="360" w:type="dxa"/>
            <w:vAlign w:val="bottom"/>
          </w:tcPr>
          <w:p>
            <w:pPr>
              <w:spacing w:after="0"/>
              <w:rPr>
                <w:sz w:val="2"/>
                <w:szCs w:val="2"/>
                <w:color w:val="auto"/>
              </w:rPr>
            </w:pPr>
          </w:p>
        </w:tc>
        <w:tc>
          <w:tcPr>
            <w:tcW w:w="9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826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Adjustments to reconcile net income/(loss) to net cash used in operating activities</w:t>
            </w:r>
          </w:p>
        </w:tc>
        <w:tc>
          <w:tcPr>
            <w:tcW w:w="26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8260" w:type="dxa"/>
            <w:vAlign w:val="bottom"/>
          </w:tcPr>
          <w:p>
            <w:pPr>
              <w:ind w:left="720"/>
              <w:spacing w:after="0"/>
              <w:rPr>
                <w:sz w:val="20"/>
                <w:szCs w:val="20"/>
                <w:color w:val="auto"/>
              </w:rPr>
            </w:pPr>
            <w:r>
              <w:rPr>
                <w:rFonts w:ascii="Arial" w:cs="Arial" w:eastAsia="Arial" w:hAnsi="Arial"/>
                <w:sz w:val="18"/>
                <w:szCs w:val="18"/>
                <w:color w:val="auto"/>
              </w:rPr>
              <w:t>Depreciation and amortization</w:t>
            </w:r>
          </w:p>
        </w:tc>
        <w:tc>
          <w:tcPr>
            <w:tcW w:w="260" w:type="dxa"/>
            <w:vAlign w:val="bottom"/>
          </w:tcPr>
          <w:p>
            <w:pPr>
              <w:spacing w:after="0"/>
              <w:rPr>
                <w:sz w:val="21"/>
                <w:szCs w:val="21"/>
                <w:color w:val="auto"/>
              </w:rPr>
            </w:pPr>
          </w:p>
        </w:tc>
        <w:tc>
          <w:tcPr>
            <w:tcW w:w="1060" w:type="dxa"/>
            <w:vAlign w:val="bottom"/>
          </w:tcPr>
          <w:p>
            <w:pPr>
              <w:jc w:val="right"/>
              <w:ind w:right="12"/>
              <w:spacing w:after="0"/>
              <w:rPr>
                <w:sz w:val="20"/>
                <w:szCs w:val="20"/>
                <w:color w:val="auto"/>
              </w:rPr>
            </w:pPr>
            <w:r>
              <w:rPr>
                <w:rFonts w:ascii="Arial" w:cs="Arial" w:eastAsia="Arial" w:hAnsi="Arial"/>
                <w:sz w:val="18"/>
                <w:szCs w:val="18"/>
                <w:color w:val="auto"/>
              </w:rPr>
              <w:t>622,577</w:t>
            </w:r>
          </w:p>
        </w:tc>
        <w:tc>
          <w:tcPr>
            <w:tcW w:w="12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960" w:type="dxa"/>
            <w:vAlign w:val="bottom"/>
          </w:tcPr>
          <w:p>
            <w:pPr>
              <w:jc w:val="right"/>
              <w:ind w:right="31"/>
              <w:spacing w:after="0"/>
              <w:rPr>
                <w:sz w:val="20"/>
                <w:szCs w:val="20"/>
                <w:color w:val="auto"/>
              </w:rPr>
            </w:pPr>
            <w:r>
              <w:rPr>
                <w:rFonts w:ascii="Arial" w:cs="Arial" w:eastAsia="Arial" w:hAnsi="Arial"/>
                <w:sz w:val="18"/>
                <w:szCs w:val="18"/>
                <w:color w:val="auto"/>
              </w:rPr>
              <w:t>1,753,748</w:t>
            </w:r>
          </w:p>
        </w:tc>
        <w:tc>
          <w:tcPr>
            <w:tcW w:w="0" w:type="dxa"/>
            <w:vAlign w:val="bottom"/>
          </w:tcPr>
          <w:p>
            <w:pPr>
              <w:spacing w:after="0"/>
              <w:rPr>
                <w:sz w:val="1"/>
                <w:szCs w:val="1"/>
                <w:color w:val="auto"/>
              </w:rPr>
            </w:pPr>
          </w:p>
        </w:tc>
      </w:tr>
      <w:tr>
        <w:trPr>
          <w:trHeight w:val="27"/>
        </w:trPr>
        <w:tc>
          <w:tcPr>
            <w:tcW w:w="8260" w:type="dxa"/>
            <w:vAlign w:val="bottom"/>
          </w:tcPr>
          <w:p>
            <w:pPr>
              <w:spacing w:after="0"/>
              <w:rPr>
                <w:sz w:val="2"/>
                <w:szCs w:val="2"/>
                <w:color w:val="auto"/>
              </w:rPr>
            </w:pPr>
          </w:p>
        </w:tc>
        <w:tc>
          <w:tcPr>
            <w:tcW w:w="26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20" w:type="dxa"/>
            <w:vAlign w:val="bottom"/>
          </w:tcPr>
          <w:p>
            <w:pPr>
              <w:spacing w:after="0"/>
              <w:rPr>
                <w:sz w:val="2"/>
                <w:szCs w:val="2"/>
                <w:color w:val="auto"/>
              </w:rPr>
            </w:pPr>
          </w:p>
        </w:tc>
        <w:tc>
          <w:tcPr>
            <w:tcW w:w="360" w:type="dxa"/>
            <w:vAlign w:val="bottom"/>
          </w:tcPr>
          <w:p>
            <w:pPr>
              <w:spacing w:after="0"/>
              <w:rPr>
                <w:sz w:val="2"/>
                <w:szCs w:val="2"/>
                <w:color w:val="auto"/>
              </w:rPr>
            </w:pPr>
          </w:p>
        </w:tc>
        <w:tc>
          <w:tcPr>
            <w:tcW w:w="9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8260" w:type="dxa"/>
            <w:vAlign w:val="bottom"/>
            <w:tcBorders>
              <w:bottom w:val="single" w:sz="8" w:color="CCEEFF"/>
            </w:tcBorders>
            <w:shd w:val="clear" w:color="auto" w:fill="CCEEFF"/>
          </w:tcPr>
          <w:p>
            <w:pPr>
              <w:ind w:left="720"/>
              <w:spacing w:after="0"/>
              <w:rPr>
                <w:sz w:val="20"/>
                <w:szCs w:val="20"/>
                <w:color w:val="auto"/>
              </w:rPr>
            </w:pPr>
            <w:r>
              <w:rPr>
                <w:rFonts w:ascii="Arial" w:cs="Arial" w:eastAsia="Arial" w:hAnsi="Arial"/>
                <w:sz w:val="18"/>
                <w:szCs w:val="18"/>
                <w:color w:val="auto"/>
              </w:rPr>
              <w:t>Share-based compensation</w:t>
            </w:r>
          </w:p>
        </w:tc>
        <w:tc>
          <w:tcPr>
            <w:tcW w:w="26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212,149</w:t>
            </w:r>
          </w:p>
        </w:tc>
        <w:tc>
          <w:tcPr>
            <w:tcW w:w="12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321,756</w:t>
            </w:r>
          </w:p>
        </w:tc>
        <w:tc>
          <w:tcPr>
            <w:tcW w:w="0" w:type="dxa"/>
            <w:vAlign w:val="bottom"/>
          </w:tcPr>
          <w:p>
            <w:pPr>
              <w:spacing w:after="0"/>
              <w:rPr>
                <w:sz w:val="1"/>
                <w:szCs w:val="1"/>
                <w:color w:val="auto"/>
              </w:rPr>
            </w:pPr>
          </w:p>
        </w:tc>
      </w:tr>
      <w:tr>
        <w:trPr>
          <w:trHeight w:val="243"/>
        </w:trPr>
        <w:tc>
          <w:tcPr>
            <w:tcW w:w="8260" w:type="dxa"/>
            <w:vAlign w:val="bottom"/>
          </w:tcPr>
          <w:p>
            <w:pPr>
              <w:ind w:left="720"/>
              <w:spacing w:after="0"/>
              <w:rPr>
                <w:sz w:val="20"/>
                <w:szCs w:val="20"/>
                <w:color w:val="auto"/>
              </w:rPr>
            </w:pPr>
            <w:r>
              <w:rPr>
                <w:rFonts w:ascii="Arial" w:cs="Arial" w:eastAsia="Arial" w:hAnsi="Arial"/>
                <w:sz w:val="18"/>
                <w:szCs w:val="18"/>
                <w:color w:val="auto"/>
              </w:rPr>
              <w:t>Bad debt expense</w:t>
            </w:r>
          </w:p>
        </w:tc>
        <w:tc>
          <w:tcPr>
            <w:tcW w:w="260" w:type="dxa"/>
            <w:vAlign w:val="bottom"/>
          </w:tcPr>
          <w:p>
            <w:pPr>
              <w:spacing w:after="0"/>
              <w:rPr>
                <w:sz w:val="21"/>
                <w:szCs w:val="21"/>
                <w:color w:val="auto"/>
              </w:rPr>
            </w:pPr>
          </w:p>
        </w:tc>
        <w:tc>
          <w:tcPr>
            <w:tcW w:w="1060" w:type="dxa"/>
            <w:vAlign w:val="bottom"/>
          </w:tcPr>
          <w:p>
            <w:pPr>
              <w:jc w:val="right"/>
              <w:ind w:right="12"/>
              <w:spacing w:after="0"/>
              <w:rPr>
                <w:sz w:val="20"/>
                <w:szCs w:val="20"/>
                <w:color w:val="auto"/>
              </w:rPr>
            </w:pPr>
            <w:r>
              <w:rPr>
                <w:rFonts w:ascii="Arial" w:cs="Arial" w:eastAsia="Arial" w:hAnsi="Arial"/>
                <w:sz w:val="18"/>
                <w:szCs w:val="18"/>
                <w:color w:val="auto"/>
              </w:rPr>
              <w:t>6,000</w:t>
            </w:r>
          </w:p>
        </w:tc>
        <w:tc>
          <w:tcPr>
            <w:tcW w:w="12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960" w:type="dxa"/>
            <w:vAlign w:val="bottom"/>
          </w:tcPr>
          <w:p>
            <w:pPr>
              <w:jc w:val="right"/>
              <w:ind w:right="31"/>
              <w:spacing w:after="0"/>
              <w:rPr>
                <w:sz w:val="20"/>
                <w:szCs w:val="20"/>
                <w:color w:val="auto"/>
              </w:rPr>
            </w:pPr>
            <w:r>
              <w:rPr>
                <w:rFonts w:ascii="Arial" w:cs="Arial" w:eastAsia="Arial" w:hAnsi="Arial"/>
                <w:sz w:val="18"/>
                <w:szCs w:val="18"/>
                <w:color w:val="auto"/>
              </w:rPr>
              <w:t>40,753</w:t>
            </w:r>
          </w:p>
        </w:tc>
        <w:tc>
          <w:tcPr>
            <w:tcW w:w="0" w:type="dxa"/>
            <w:vAlign w:val="bottom"/>
          </w:tcPr>
          <w:p>
            <w:pPr>
              <w:spacing w:after="0"/>
              <w:rPr>
                <w:sz w:val="1"/>
                <w:szCs w:val="1"/>
                <w:color w:val="auto"/>
              </w:rPr>
            </w:pPr>
          </w:p>
        </w:tc>
      </w:tr>
      <w:tr>
        <w:trPr>
          <w:trHeight w:val="27"/>
        </w:trPr>
        <w:tc>
          <w:tcPr>
            <w:tcW w:w="8260" w:type="dxa"/>
            <w:vAlign w:val="bottom"/>
          </w:tcPr>
          <w:p>
            <w:pPr>
              <w:spacing w:after="0"/>
              <w:rPr>
                <w:sz w:val="2"/>
                <w:szCs w:val="2"/>
                <w:color w:val="auto"/>
              </w:rPr>
            </w:pPr>
          </w:p>
        </w:tc>
        <w:tc>
          <w:tcPr>
            <w:tcW w:w="26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20" w:type="dxa"/>
            <w:vAlign w:val="bottom"/>
          </w:tcPr>
          <w:p>
            <w:pPr>
              <w:spacing w:after="0"/>
              <w:rPr>
                <w:sz w:val="2"/>
                <w:szCs w:val="2"/>
                <w:color w:val="auto"/>
              </w:rPr>
            </w:pPr>
          </w:p>
        </w:tc>
        <w:tc>
          <w:tcPr>
            <w:tcW w:w="360" w:type="dxa"/>
            <w:vAlign w:val="bottom"/>
          </w:tcPr>
          <w:p>
            <w:pPr>
              <w:spacing w:after="0"/>
              <w:rPr>
                <w:sz w:val="2"/>
                <w:szCs w:val="2"/>
                <w:color w:val="auto"/>
              </w:rPr>
            </w:pPr>
          </w:p>
        </w:tc>
        <w:tc>
          <w:tcPr>
            <w:tcW w:w="9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8260" w:type="dxa"/>
            <w:vAlign w:val="bottom"/>
            <w:tcBorders>
              <w:bottom w:val="single" w:sz="8" w:color="CCEEFF"/>
            </w:tcBorders>
            <w:shd w:val="clear" w:color="auto" w:fill="CCEEFF"/>
          </w:tcPr>
          <w:p>
            <w:pPr>
              <w:ind w:left="720"/>
              <w:spacing w:after="0"/>
              <w:rPr>
                <w:sz w:val="20"/>
                <w:szCs w:val="20"/>
                <w:color w:val="auto"/>
              </w:rPr>
            </w:pPr>
            <w:r>
              <w:rPr>
                <w:rFonts w:ascii="Arial" w:cs="Arial" w:eastAsia="Arial" w:hAnsi="Arial"/>
                <w:sz w:val="18"/>
                <w:szCs w:val="18"/>
                <w:color w:val="auto"/>
              </w:rPr>
              <w:t>Gain on disposal of fixed assets</w:t>
            </w:r>
          </w:p>
        </w:tc>
        <w:tc>
          <w:tcPr>
            <w:tcW w:w="26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(1,000)</w:t>
            </w:r>
          </w:p>
        </w:tc>
        <w:tc>
          <w:tcPr>
            <w:tcW w:w="12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(670)</w:t>
            </w:r>
          </w:p>
        </w:tc>
        <w:tc>
          <w:tcPr>
            <w:tcW w:w="0" w:type="dxa"/>
            <w:vAlign w:val="bottom"/>
          </w:tcPr>
          <w:p>
            <w:pPr>
              <w:spacing w:after="0"/>
              <w:rPr>
                <w:sz w:val="1"/>
                <w:szCs w:val="1"/>
                <w:color w:val="auto"/>
              </w:rPr>
            </w:pPr>
          </w:p>
        </w:tc>
      </w:tr>
      <w:tr>
        <w:trPr>
          <w:trHeight w:val="243"/>
        </w:trPr>
        <w:tc>
          <w:tcPr>
            <w:tcW w:w="8260" w:type="dxa"/>
            <w:vAlign w:val="bottom"/>
          </w:tcPr>
          <w:p>
            <w:pPr>
              <w:ind w:left="380"/>
              <w:spacing w:after="0"/>
              <w:rPr>
                <w:sz w:val="20"/>
                <w:szCs w:val="20"/>
                <w:color w:val="auto"/>
              </w:rPr>
            </w:pPr>
            <w:r>
              <w:rPr>
                <w:rFonts w:ascii="Arial" w:cs="Arial" w:eastAsia="Arial" w:hAnsi="Arial"/>
                <w:sz w:val="18"/>
                <w:szCs w:val="18"/>
                <w:color w:val="auto"/>
              </w:rPr>
              <w:t>Change in assets and liabilities</w:t>
            </w:r>
          </w:p>
        </w:tc>
        <w:tc>
          <w:tcPr>
            <w:tcW w:w="260" w:type="dxa"/>
            <w:vAlign w:val="bottom"/>
          </w:tcPr>
          <w:p>
            <w:pPr>
              <w:spacing w:after="0"/>
              <w:rPr>
                <w:sz w:val="21"/>
                <w:szCs w:val="21"/>
                <w:color w:val="auto"/>
              </w:rPr>
            </w:pPr>
          </w:p>
        </w:tc>
        <w:tc>
          <w:tcPr>
            <w:tcW w:w="106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9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8260" w:type="dxa"/>
            <w:vAlign w:val="bottom"/>
          </w:tcPr>
          <w:p>
            <w:pPr>
              <w:spacing w:after="0"/>
              <w:rPr>
                <w:sz w:val="2"/>
                <w:szCs w:val="2"/>
                <w:color w:val="auto"/>
              </w:rPr>
            </w:pPr>
          </w:p>
        </w:tc>
        <w:tc>
          <w:tcPr>
            <w:tcW w:w="26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20" w:type="dxa"/>
            <w:vAlign w:val="bottom"/>
          </w:tcPr>
          <w:p>
            <w:pPr>
              <w:spacing w:after="0"/>
              <w:rPr>
                <w:sz w:val="2"/>
                <w:szCs w:val="2"/>
                <w:color w:val="auto"/>
              </w:rPr>
            </w:pPr>
          </w:p>
        </w:tc>
        <w:tc>
          <w:tcPr>
            <w:tcW w:w="360" w:type="dxa"/>
            <w:vAlign w:val="bottom"/>
          </w:tcPr>
          <w:p>
            <w:pPr>
              <w:spacing w:after="0"/>
              <w:rPr>
                <w:sz w:val="2"/>
                <w:szCs w:val="2"/>
                <w:color w:val="auto"/>
              </w:rPr>
            </w:pPr>
          </w:p>
        </w:tc>
        <w:tc>
          <w:tcPr>
            <w:tcW w:w="9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8260" w:type="dxa"/>
            <w:vAlign w:val="bottom"/>
            <w:tcBorders>
              <w:bottom w:val="single" w:sz="8" w:color="CCEEFF"/>
            </w:tcBorders>
            <w:shd w:val="clear" w:color="auto" w:fill="CCEEFF"/>
          </w:tcPr>
          <w:p>
            <w:pPr>
              <w:ind w:left="720"/>
              <w:spacing w:after="0"/>
              <w:rPr>
                <w:sz w:val="20"/>
                <w:szCs w:val="20"/>
                <w:color w:val="auto"/>
              </w:rPr>
            </w:pPr>
            <w:r>
              <w:rPr>
                <w:rFonts w:ascii="Arial" w:cs="Arial" w:eastAsia="Arial" w:hAnsi="Arial"/>
                <w:sz w:val="18"/>
                <w:szCs w:val="18"/>
                <w:color w:val="auto"/>
              </w:rPr>
              <w:t>Accounts receivable</w:t>
            </w:r>
          </w:p>
        </w:tc>
        <w:tc>
          <w:tcPr>
            <w:tcW w:w="26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(1,522,604)</w:t>
            </w:r>
          </w:p>
        </w:tc>
        <w:tc>
          <w:tcPr>
            <w:tcW w:w="12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1,433,014</w:t>
            </w:r>
          </w:p>
        </w:tc>
        <w:tc>
          <w:tcPr>
            <w:tcW w:w="0" w:type="dxa"/>
            <w:vAlign w:val="bottom"/>
          </w:tcPr>
          <w:p>
            <w:pPr>
              <w:spacing w:after="0"/>
              <w:rPr>
                <w:sz w:val="1"/>
                <w:szCs w:val="1"/>
                <w:color w:val="auto"/>
              </w:rPr>
            </w:pPr>
          </w:p>
        </w:tc>
      </w:tr>
      <w:tr>
        <w:trPr>
          <w:trHeight w:val="243"/>
        </w:trPr>
        <w:tc>
          <w:tcPr>
            <w:tcW w:w="8260" w:type="dxa"/>
            <w:vAlign w:val="bottom"/>
          </w:tcPr>
          <w:p>
            <w:pPr>
              <w:ind w:left="720"/>
              <w:spacing w:after="0"/>
              <w:rPr>
                <w:sz w:val="20"/>
                <w:szCs w:val="20"/>
                <w:color w:val="auto"/>
              </w:rPr>
            </w:pPr>
            <w:r>
              <w:rPr>
                <w:rFonts w:ascii="Arial" w:cs="Arial" w:eastAsia="Arial" w:hAnsi="Arial"/>
                <w:sz w:val="18"/>
                <w:szCs w:val="18"/>
                <w:color w:val="auto"/>
              </w:rPr>
              <w:t>Contract assets</w:t>
            </w:r>
          </w:p>
        </w:tc>
        <w:tc>
          <w:tcPr>
            <w:tcW w:w="260" w:type="dxa"/>
            <w:vAlign w:val="bottom"/>
          </w:tcPr>
          <w:p>
            <w:pPr>
              <w:spacing w:after="0"/>
              <w:rPr>
                <w:sz w:val="21"/>
                <w:szCs w:val="21"/>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(645,824)</w:t>
            </w:r>
          </w:p>
        </w:tc>
        <w:tc>
          <w:tcPr>
            <w:tcW w:w="12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rPr>
              <w:t>(326,333)</w:t>
            </w:r>
          </w:p>
        </w:tc>
        <w:tc>
          <w:tcPr>
            <w:tcW w:w="0" w:type="dxa"/>
            <w:vAlign w:val="bottom"/>
          </w:tcPr>
          <w:p>
            <w:pPr>
              <w:spacing w:after="0"/>
              <w:rPr>
                <w:sz w:val="1"/>
                <w:szCs w:val="1"/>
                <w:color w:val="auto"/>
              </w:rPr>
            </w:pPr>
          </w:p>
        </w:tc>
      </w:tr>
      <w:tr>
        <w:trPr>
          <w:trHeight w:val="27"/>
        </w:trPr>
        <w:tc>
          <w:tcPr>
            <w:tcW w:w="8260" w:type="dxa"/>
            <w:vAlign w:val="bottom"/>
          </w:tcPr>
          <w:p>
            <w:pPr>
              <w:spacing w:after="0"/>
              <w:rPr>
                <w:sz w:val="2"/>
                <w:szCs w:val="2"/>
                <w:color w:val="auto"/>
              </w:rPr>
            </w:pPr>
          </w:p>
        </w:tc>
        <w:tc>
          <w:tcPr>
            <w:tcW w:w="26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20" w:type="dxa"/>
            <w:vAlign w:val="bottom"/>
          </w:tcPr>
          <w:p>
            <w:pPr>
              <w:spacing w:after="0"/>
              <w:rPr>
                <w:sz w:val="2"/>
                <w:szCs w:val="2"/>
                <w:color w:val="auto"/>
              </w:rPr>
            </w:pPr>
          </w:p>
        </w:tc>
        <w:tc>
          <w:tcPr>
            <w:tcW w:w="360" w:type="dxa"/>
            <w:vAlign w:val="bottom"/>
          </w:tcPr>
          <w:p>
            <w:pPr>
              <w:spacing w:after="0"/>
              <w:rPr>
                <w:sz w:val="2"/>
                <w:szCs w:val="2"/>
                <w:color w:val="auto"/>
              </w:rPr>
            </w:pPr>
          </w:p>
        </w:tc>
        <w:tc>
          <w:tcPr>
            <w:tcW w:w="9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8260" w:type="dxa"/>
            <w:vAlign w:val="bottom"/>
            <w:tcBorders>
              <w:bottom w:val="single" w:sz="8" w:color="CCEEFF"/>
            </w:tcBorders>
            <w:shd w:val="clear" w:color="auto" w:fill="CCEEFF"/>
          </w:tcPr>
          <w:p>
            <w:pPr>
              <w:ind w:left="720"/>
              <w:spacing w:after="0"/>
              <w:rPr>
                <w:sz w:val="20"/>
                <w:szCs w:val="20"/>
                <w:color w:val="auto"/>
              </w:rPr>
            </w:pPr>
            <w:r>
              <w:rPr>
                <w:rFonts w:ascii="Arial" w:cs="Arial" w:eastAsia="Arial" w:hAnsi="Arial"/>
                <w:sz w:val="18"/>
                <w:szCs w:val="18"/>
                <w:color w:val="auto"/>
              </w:rPr>
              <w:t>Inventory</w:t>
            </w:r>
          </w:p>
        </w:tc>
        <w:tc>
          <w:tcPr>
            <w:tcW w:w="26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(482,194)</w:t>
            </w:r>
          </w:p>
        </w:tc>
        <w:tc>
          <w:tcPr>
            <w:tcW w:w="12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5"/>
              </w:rPr>
              <w:t>(1,170,519)</w:t>
            </w:r>
          </w:p>
        </w:tc>
        <w:tc>
          <w:tcPr>
            <w:tcW w:w="0" w:type="dxa"/>
            <w:vAlign w:val="bottom"/>
          </w:tcPr>
          <w:p>
            <w:pPr>
              <w:spacing w:after="0"/>
              <w:rPr>
                <w:sz w:val="1"/>
                <w:szCs w:val="1"/>
                <w:color w:val="auto"/>
              </w:rPr>
            </w:pPr>
          </w:p>
        </w:tc>
      </w:tr>
      <w:tr>
        <w:trPr>
          <w:trHeight w:val="243"/>
        </w:trPr>
        <w:tc>
          <w:tcPr>
            <w:tcW w:w="8260" w:type="dxa"/>
            <w:vAlign w:val="bottom"/>
          </w:tcPr>
          <w:p>
            <w:pPr>
              <w:ind w:left="720"/>
              <w:spacing w:after="0"/>
              <w:rPr>
                <w:sz w:val="20"/>
                <w:szCs w:val="20"/>
                <w:color w:val="auto"/>
              </w:rPr>
            </w:pPr>
            <w:r>
              <w:rPr>
                <w:rFonts w:ascii="Arial" w:cs="Arial" w:eastAsia="Arial" w:hAnsi="Arial"/>
                <w:sz w:val="18"/>
                <w:szCs w:val="18"/>
                <w:color w:val="auto"/>
              </w:rPr>
              <w:t>Other current assets</w:t>
            </w:r>
          </w:p>
        </w:tc>
        <w:tc>
          <w:tcPr>
            <w:tcW w:w="260" w:type="dxa"/>
            <w:vAlign w:val="bottom"/>
          </w:tcPr>
          <w:p>
            <w:pPr>
              <w:spacing w:after="0"/>
              <w:rPr>
                <w:sz w:val="21"/>
                <w:szCs w:val="21"/>
                <w:color w:val="auto"/>
              </w:rPr>
            </w:pPr>
          </w:p>
        </w:tc>
        <w:tc>
          <w:tcPr>
            <w:tcW w:w="1060" w:type="dxa"/>
            <w:vAlign w:val="bottom"/>
          </w:tcPr>
          <w:p>
            <w:pPr>
              <w:jc w:val="right"/>
              <w:ind w:right="12"/>
              <w:spacing w:after="0"/>
              <w:rPr>
                <w:sz w:val="20"/>
                <w:szCs w:val="20"/>
                <w:color w:val="auto"/>
              </w:rPr>
            </w:pPr>
            <w:r>
              <w:rPr>
                <w:rFonts w:ascii="Arial" w:cs="Arial" w:eastAsia="Arial" w:hAnsi="Arial"/>
                <w:sz w:val="18"/>
                <w:szCs w:val="18"/>
                <w:color w:val="auto"/>
              </w:rPr>
              <w:t>164,809</w:t>
            </w:r>
          </w:p>
        </w:tc>
        <w:tc>
          <w:tcPr>
            <w:tcW w:w="12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960" w:type="dxa"/>
            <w:vAlign w:val="bottom"/>
          </w:tcPr>
          <w:p>
            <w:pPr>
              <w:jc w:val="right"/>
              <w:ind w:right="31"/>
              <w:spacing w:after="0"/>
              <w:rPr>
                <w:sz w:val="20"/>
                <w:szCs w:val="20"/>
                <w:color w:val="auto"/>
              </w:rPr>
            </w:pPr>
            <w:r>
              <w:rPr>
                <w:rFonts w:ascii="Arial" w:cs="Arial" w:eastAsia="Arial" w:hAnsi="Arial"/>
                <w:sz w:val="18"/>
                <w:szCs w:val="18"/>
                <w:color w:val="auto"/>
              </w:rPr>
              <w:t>325,005</w:t>
            </w:r>
          </w:p>
        </w:tc>
        <w:tc>
          <w:tcPr>
            <w:tcW w:w="0" w:type="dxa"/>
            <w:vAlign w:val="bottom"/>
          </w:tcPr>
          <w:p>
            <w:pPr>
              <w:spacing w:after="0"/>
              <w:rPr>
                <w:sz w:val="1"/>
                <w:szCs w:val="1"/>
                <w:color w:val="auto"/>
              </w:rPr>
            </w:pPr>
          </w:p>
        </w:tc>
      </w:tr>
      <w:tr>
        <w:trPr>
          <w:trHeight w:val="27"/>
        </w:trPr>
        <w:tc>
          <w:tcPr>
            <w:tcW w:w="8260" w:type="dxa"/>
            <w:vAlign w:val="bottom"/>
          </w:tcPr>
          <w:p>
            <w:pPr>
              <w:spacing w:after="0"/>
              <w:rPr>
                <w:sz w:val="2"/>
                <w:szCs w:val="2"/>
                <w:color w:val="auto"/>
              </w:rPr>
            </w:pPr>
          </w:p>
        </w:tc>
        <w:tc>
          <w:tcPr>
            <w:tcW w:w="26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20" w:type="dxa"/>
            <w:vAlign w:val="bottom"/>
          </w:tcPr>
          <w:p>
            <w:pPr>
              <w:spacing w:after="0"/>
              <w:rPr>
                <w:sz w:val="2"/>
                <w:szCs w:val="2"/>
                <w:color w:val="auto"/>
              </w:rPr>
            </w:pPr>
          </w:p>
        </w:tc>
        <w:tc>
          <w:tcPr>
            <w:tcW w:w="360" w:type="dxa"/>
            <w:vAlign w:val="bottom"/>
          </w:tcPr>
          <w:p>
            <w:pPr>
              <w:spacing w:after="0"/>
              <w:rPr>
                <w:sz w:val="2"/>
                <w:szCs w:val="2"/>
                <w:color w:val="auto"/>
              </w:rPr>
            </w:pPr>
          </w:p>
        </w:tc>
        <w:tc>
          <w:tcPr>
            <w:tcW w:w="9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8260" w:type="dxa"/>
            <w:vAlign w:val="bottom"/>
            <w:tcBorders>
              <w:bottom w:val="single" w:sz="8" w:color="CCEEFF"/>
            </w:tcBorders>
            <w:shd w:val="clear" w:color="auto" w:fill="CCEEFF"/>
          </w:tcPr>
          <w:p>
            <w:pPr>
              <w:ind w:left="720"/>
              <w:spacing w:after="0"/>
              <w:rPr>
                <w:sz w:val="20"/>
                <w:szCs w:val="20"/>
                <w:color w:val="auto"/>
              </w:rPr>
            </w:pPr>
            <w:r>
              <w:rPr>
                <w:rFonts w:ascii="Arial" w:cs="Arial" w:eastAsia="Arial" w:hAnsi="Arial"/>
                <w:sz w:val="18"/>
                <w:szCs w:val="18"/>
                <w:color w:val="auto"/>
              </w:rPr>
              <w:t>Accounts payable and accrued expenses</w:t>
            </w:r>
          </w:p>
        </w:tc>
        <w:tc>
          <w:tcPr>
            <w:tcW w:w="26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(253,372)</w:t>
            </w:r>
          </w:p>
        </w:tc>
        <w:tc>
          <w:tcPr>
            <w:tcW w:w="12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(894,315)</w:t>
            </w:r>
          </w:p>
        </w:tc>
        <w:tc>
          <w:tcPr>
            <w:tcW w:w="0" w:type="dxa"/>
            <w:vAlign w:val="bottom"/>
          </w:tcPr>
          <w:p>
            <w:pPr>
              <w:spacing w:after="0"/>
              <w:rPr>
                <w:sz w:val="1"/>
                <w:szCs w:val="1"/>
                <w:color w:val="auto"/>
              </w:rPr>
            </w:pPr>
          </w:p>
        </w:tc>
      </w:tr>
      <w:tr>
        <w:trPr>
          <w:trHeight w:val="243"/>
        </w:trPr>
        <w:tc>
          <w:tcPr>
            <w:tcW w:w="8260" w:type="dxa"/>
            <w:vAlign w:val="bottom"/>
          </w:tcPr>
          <w:p>
            <w:pPr>
              <w:ind w:left="720"/>
              <w:spacing w:after="0"/>
              <w:rPr>
                <w:sz w:val="20"/>
                <w:szCs w:val="20"/>
                <w:color w:val="auto"/>
              </w:rPr>
            </w:pPr>
            <w:r>
              <w:rPr>
                <w:rFonts w:ascii="Arial" w:cs="Arial" w:eastAsia="Arial" w:hAnsi="Arial"/>
                <w:sz w:val="18"/>
                <w:szCs w:val="18"/>
                <w:color w:val="auto"/>
              </w:rPr>
              <w:t>Contract liabilities</w:t>
            </w:r>
          </w:p>
        </w:tc>
        <w:tc>
          <w:tcPr>
            <w:tcW w:w="260" w:type="dxa"/>
            <w:vAlign w:val="bottom"/>
          </w:tcPr>
          <w:p>
            <w:pPr>
              <w:spacing w:after="0"/>
              <w:rPr>
                <w:sz w:val="21"/>
                <w:szCs w:val="21"/>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(2,053,566)</w:t>
            </w:r>
          </w:p>
        </w:tc>
        <w:tc>
          <w:tcPr>
            <w:tcW w:w="12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rPr>
              <w:t>(215,555)</w:t>
            </w:r>
          </w:p>
        </w:tc>
        <w:tc>
          <w:tcPr>
            <w:tcW w:w="0" w:type="dxa"/>
            <w:vAlign w:val="bottom"/>
          </w:tcPr>
          <w:p>
            <w:pPr>
              <w:spacing w:after="0"/>
              <w:rPr>
                <w:sz w:val="1"/>
                <w:szCs w:val="1"/>
                <w:color w:val="auto"/>
              </w:rPr>
            </w:pPr>
          </w:p>
        </w:tc>
      </w:tr>
      <w:tr>
        <w:trPr>
          <w:trHeight w:val="27"/>
        </w:trPr>
        <w:tc>
          <w:tcPr>
            <w:tcW w:w="826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4"/>
        </w:trPr>
        <w:tc>
          <w:tcPr>
            <w:tcW w:w="8260" w:type="dxa"/>
            <w:vAlign w:val="bottom"/>
            <w:tcBorders>
              <w:bottom w:val="single" w:sz="8" w:color="CCEEFF"/>
            </w:tcBorders>
            <w:shd w:val="clear" w:color="auto" w:fill="CCEEFF"/>
          </w:tcPr>
          <w:p>
            <w:pPr>
              <w:ind w:left="1140"/>
              <w:spacing w:after="0"/>
              <w:rPr>
                <w:sz w:val="20"/>
                <w:szCs w:val="20"/>
                <w:color w:val="auto"/>
              </w:rPr>
            </w:pPr>
            <w:r>
              <w:rPr>
                <w:rFonts w:ascii="Arial" w:cs="Arial" w:eastAsia="Arial" w:hAnsi="Arial"/>
                <w:sz w:val="18"/>
                <w:szCs w:val="18"/>
                <w:color w:val="auto"/>
              </w:rPr>
              <w:t>Net cash used in operating activities</w:t>
            </w:r>
          </w:p>
        </w:tc>
        <w:tc>
          <w:tcPr>
            <w:tcW w:w="260" w:type="dxa"/>
            <w:vAlign w:val="bottom"/>
            <w:tcBorders>
              <w:bottom w:val="single" w:sz="8" w:color="CCEEFF"/>
            </w:tcBorders>
            <w:shd w:val="clear" w:color="auto" w:fill="CCEEFF"/>
          </w:tcPr>
          <w:p>
            <w:pPr>
              <w:spacing w:after="0"/>
              <w:rPr>
                <w:sz w:val="22"/>
                <w:szCs w:val="22"/>
                <w:color w:val="auto"/>
              </w:rPr>
            </w:pPr>
          </w:p>
        </w:tc>
        <w:tc>
          <w:tcPr>
            <w:tcW w:w="10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(2,737,022)</w:t>
            </w:r>
          </w:p>
        </w:tc>
        <w:tc>
          <w:tcPr>
            <w:tcW w:w="120" w:type="dxa"/>
            <w:vAlign w:val="bottom"/>
            <w:tcBorders>
              <w:bottom w:val="single" w:sz="8" w:color="CCEEFF"/>
            </w:tcBorders>
            <w:shd w:val="clear" w:color="auto" w:fill="CCEEFF"/>
          </w:tcPr>
          <w:p>
            <w:pPr>
              <w:spacing w:after="0"/>
              <w:rPr>
                <w:sz w:val="22"/>
                <w:szCs w:val="22"/>
                <w:color w:val="auto"/>
              </w:rPr>
            </w:pPr>
          </w:p>
        </w:tc>
        <w:tc>
          <w:tcPr>
            <w:tcW w:w="360" w:type="dxa"/>
            <w:vAlign w:val="bottom"/>
            <w:tcBorders>
              <w:bottom w:val="single" w:sz="8" w:color="CCEEFF"/>
            </w:tcBorders>
            <w:shd w:val="clear" w:color="auto" w:fill="CCEEFF"/>
          </w:tcPr>
          <w:p>
            <w:pPr>
              <w:spacing w:after="0"/>
              <w:rPr>
                <w:sz w:val="22"/>
                <w:szCs w:val="22"/>
                <w:color w:val="auto"/>
              </w:rPr>
            </w:pPr>
          </w:p>
        </w:tc>
        <w:tc>
          <w:tcPr>
            <w:tcW w:w="9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(314,321)</w:t>
            </w:r>
          </w:p>
        </w:tc>
        <w:tc>
          <w:tcPr>
            <w:tcW w:w="0" w:type="dxa"/>
            <w:vAlign w:val="bottom"/>
          </w:tcPr>
          <w:p>
            <w:pPr>
              <w:spacing w:after="0"/>
              <w:rPr>
                <w:sz w:val="1"/>
                <w:szCs w:val="1"/>
                <w:color w:val="auto"/>
              </w:rPr>
            </w:pPr>
          </w:p>
        </w:tc>
      </w:tr>
      <w:tr>
        <w:trPr>
          <w:trHeight w:val="223"/>
        </w:trPr>
        <w:tc>
          <w:tcPr>
            <w:tcW w:w="8260" w:type="dxa"/>
            <w:vAlign w:val="bottom"/>
          </w:tcPr>
          <w:p>
            <w:pPr>
              <w:ind w:left="40"/>
              <w:spacing w:after="0"/>
              <w:rPr>
                <w:sz w:val="20"/>
                <w:szCs w:val="20"/>
                <w:color w:val="auto"/>
              </w:rPr>
            </w:pPr>
            <w:r>
              <w:rPr>
                <w:rFonts w:ascii="Arial" w:cs="Arial" w:eastAsia="Arial" w:hAnsi="Arial"/>
                <w:sz w:val="18"/>
                <w:szCs w:val="18"/>
                <w:b w:val="1"/>
                <w:bCs w:val="1"/>
                <w:color w:val="auto"/>
              </w:rPr>
              <w:t>Cash flows used in investing activities</w:t>
            </w:r>
          </w:p>
        </w:tc>
        <w:tc>
          <w:tcPr>
            <w:tcW w:w="260" w:type="dxa"/>
            <w:vAlign w:val="bottom"/>
            <w:tcBorders>
              <w:top w:val="single" w:sz="8" w:color="auto"/>
            </w:tcBorders>
          </w:tcPr>
          <w:p>
            <w:pPr>
              <w:spacing w:after="0"/>
              <w:rPr>
                <w:sz w:val="19"/>
                <w:szCs w:val="19"/>
                <w:color w:val="auto"/>
              </w:rPr>
            </w:pPr>
          </w:p>
        </w:tc>
        <w:tc>
          <w:tcPr>
            <w:tcW w:w="1060" w:type="dxa"/>
            <w:vAlign w:val="bottom"/>
            <w:tcBorders>
              <w:top w:val="single" w:sz="8" w:color="auto"/>
            </w:tcBorders>
          </w:tcPr>
          <w:p>
            <w:pPr>
              <w:spacing w:after="0"/>
              <w:rPr>
                <w:sz w:val="19"/>
                <w:szCs w:val="19"/>
                <w:color w:val="auto"/>
              </w:rPr>
            </w:pPr>
          </w:p>
        </w:tc>
        <w:tc>
          <w:tcPr>
            <w:tcW w:w="120" w:type="dxa"/>
            <w:vAlign w:val="bottom"/>
          </w:tcPr>
          <w:p>
            <w:pPr>
              <w:spacing w:after="0"/>
              <w:rPr>
                <w:sz w:val="19"/>
                <w:szCs w:val="19"/>
                <w:color w:val="auto"/>
              </w:rPr>
            </w:pPr>
          </w:p>
        </w:tc>
        <w:tc>
          <w:tcPr>
            <w:tcW w:w="360" w:type="dxa"/>
            <w:vAlign w:val="bottom"/>
            <w:tcBorders>
              <w:top w:val="single" w:sz="8" w:color="auto"/>
            </w:tcBorders>
          </w:tcPr>
          <w:p>
            <w:pPr>
              <w:spacing w:after="0"/>
              <w:rPr>
                <w:sz w:val="19"/>
                <w:szCs w:val="19"/>
                <w:color w:val="auto"/>
              </w:rPr>
            </w:pPr>
          </w:p>
        </w:tc>
        <w:tc>
          <w:tcPr>
            <w:tcW w:w="960" w:type="dxa"/>
            <w:vAlign w:val="bottom"/>
            <w:tcBorders>
              <w:top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41"/>
        </w:trPr>
        <w:tc>
          <w:tcPr>
            <w:tcW w:w="8260" w:type="dxa"/>
            <w:vAlign w:val="bottom"/>
          </w:tcPr>
          <w:p>
            <w:pPr>
              <w:spacing w:after="0"/>
              <w:rPr>
                <w:sz w:val="3"/>
                <w:szCs w:val="3"/>
                <w:color w:val="auto"/>
              </w:rPr>
            </w:pPr>
          </w:p>
        </w:tc>
        <w:tc>
          <w:tcPr>
            <w:tcW w:w="260" w:type="dxa"/>
            <w:vAlign w:val="bottom"/>
          </w:tcPr>
          <w:p>
            <w:pPr>
              <w:spacing w:after="0"/>
              <w:rPr>
                <w:sz w:val="3"/>
                <w:szCs w:val="3"/>
                <w:color w:val="auto"/>
              </w:rPr>
            </w:pPr>
          </w:p>
        </w:tc>
        <w:tc>
          <w:tcPr>
            <w:tcW w:w="1060" w:type="dxa"/>
            <w:vAlign w:val="bottom"/>
          </w:tcPr>
          <w:p>
            <w:pPr>
              <w:spacing w:after="0"/>
              <w:rPr>
                <w:sz w:val="3"/>
                <w:szCs w:val="3"/>
                <w:color w:val="auto"/>
              </w:rPr>
            </w:pPr>
          </w:p>
        </w:tc>
        <w:tc>
          <w:tcPr>
            <w:tcW w:w="120" w:type="dxa"/>
            <w:vAlign w:val="bottom"/>
          </w:tcPr>
          <w:p>
            <w:pPr>
              <w:spacing w:after="0"/>
              <w:rPr>
                <w:sz w:val="3"/>
                <w:szCs w:val="3"/>
                <w:color w:val="auto"/>
              </w:rPr>
            </w:pPr>
          </w:p>
        </w:tc>
        <w:tc>
          <w:tcPr>
            <w:tcW w:w="360" w:type="dxa"/>
            <w:vAlign w:val="bottom"/>
          </w:tcPr>
          <w:p>
            <w:pPr>
              <w:spacing w:after="0"/>
              <w:rPr>
                <w:sz w:val="3"/>
                <w:szCs w:val="3"/>
                <w:color w:val="auto"/>
              </w:rPr>
            </w:pPr>
          </w:p>
        </w:tc>
        <w:tc>
          <w:tcPr>
            <w:tcW w:w="96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50"/>
        </w:trPr>
        <w:tc>
          <w:tcPr>
            <w:tcW w:w="826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Acquisition of property and equipment</w:t>
            </w:r>
          </w:p>
        </w:tc>
        <w:tc>
          <w:tcPr>
            <w:tcW w:w="26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(198,012)</w:t>
            </w:r>
          </w:p>
        </w:tc>
        <w:tc>
          <w:tcPr>
            <w:tcW w:w="12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(796,217)</w:t>
            </w:r>
          </w:p>
        </w:tc>
        <w:tc>
          <w:tcPr>
            <w:tcW w:w="0" w:type="dxa"/>
            <w:vAlign w:val="bottom"/>
          </w:tcPr>
          <w:p>
            <w:pPr>
              <w:spacing w:after="0"/>
              <w:rPr>
                <w:sz w:val="1"/>
                <w:szCs w:val="1"/>
                <w:color w:val="auto"/>
              </w:rPr>
            </w:pPr>
          </w:p>
        </w:tc>
      </w:tr>
      <w:tr>
        <w:trPr>
          <w:trHeight w:val="243"/>
        </w:trPr>
        <w:tc>
          <w:tcPr>
            <w:tcW w:w="8260" w:type="dxa"/>
            <w:vAlign w:val="bottom"/>
          </w:tcPr>
          <w:p>
            <w:pPr>
              <w:ind w:left="380"/>
              <w:spacing w:after="0"/>
              <w:rPr>
                <w:sz w:val="20"/>
                <w:szCs w:val="20"/>
                <w:color w:val="auto"/>
              </w:rPr>
            </w:pPr>
            <w:r>
              <w:rPr>
                <w:rFonts w:ascii="Arial" w:cs="Arial" w:eastAsia="Arial" w:hAnsi="Arial"/>
                <w:sz w:val="18"/>
                <w:szCs w:val="18"/>
                <w:color w:val="auto"/>
              </w:rPr>
              <w:t>Intangible property costs</w:t>
            </w:r>
          </w:p>
        </w:tc>
        <w:tc>
          <w:tcPr>
            <w:tcW w:w="260" w:type="dxa"/>
            <w:vAlign w:val="bottom"/>
          </w:tcPr>
          <w:p>
            <w:pPr>
              <w:spacing w:after="0"/>
              <w:rPr>
                <w:sz w:val="21"/>
                <w:szCs w:val="21"/>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(185,909)</w:t>
            </w:r>
          </w:p>
        </w:tc>
        <w:tc>
          <w:tcPr>
            <w:tcW w:w="12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rPr>
              <w:t>(318,942)</w:t>
            </w:r>
          </w:p>
        </w:tc>
        <w:tc>
          <w:tcPr>
            <w:tcW w:w="0" w:type="dxa"/>
            <w:vAlign w:val="bottom"/>
          </w:tcPr>
          <w:p>
            <w:pPr>
              <w:spacing w:after="0"/>
              <w:rPr>
                <w:sz w:val="1"/>
                <w:szCs w:val="1"/>
                <w:color w:val="auto"/>
              </w:rPr>
            </w:pPr>
          </w:p>
        </w:tc>
      </w:tr>
      <w:tr>
        <w:trPr>
          <w:trHeight w:val="27"/>
        </w:trPr>
        <w:tc>
          <w:tcPr>
            <w:tcW w:w="8260" w:type="dxa"/>
            <w:vAlign w:val="bottom"/>
          </w:tcPr>
          <w:p>
            <w:pPr>
              <w:spacing w:after="0"/>
              <w:rPr>
                <w:sz w:val="2"/>
                <w:szCs w:val="2"/>
                <w:color w:val="auto"/>
              </w:rPr>
            </w:pPr>
          </w:p>
        </w:tc>
        <w:tc>
          <w:tcPr>
            <w:tcW w:w="26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20" w:type="dxa"/>
            <w:vAlign w:val="bottom"/>
          </w:tcPr>
          <w:p>
            <w:pPr>
              <w:spacing w:after="0"/>
              <w:rPr>
                <w:sz w:val="2"/>
                <w:szCs w:val="2"/>
                <w:color w:val="auto"/>
              </w:rPr>
            </w:pPr>
          </w:p>
        </w:tc>
        <w:tc>
          <w:tcPr>
            <w:tcW w:w="360" w:type="dxa"/>
            <w:vAlign w:val="bottom"/>
          </w:tcPr>
          <w:p>
            <w:pPr>
              <w:spacing w:after="0"/>
              <w:rPr>
                <w:sz w:val="2"/>
                <w:szCs w:val="2"/>
                <w:color w:val="auto"/>
              </w:rPr>
            </w:pPr>
          </w:p>
        </w:tc>
        <w:tc>
          <w:tcPr>
            <w:tcW w:w="9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8260" w:type="dxa"/>
            <w:vAlign w:val="bottom"/>
            <w:tcBorders>
              <w:bottom w:val="single" w:sz="8" w:color="CCEEFF"/>
            </w:tcBorders>
            <w:shd w:val="clear" w:color="auto" w:fill="CCEEFF"/>
          </w:tcPr>
          <w:p>
            <w:pPr>
              <w:ind w:left="360"/>
              <w:spacing w:after="0"/>
              <w:rPr>
                <w:sz w:val="20"/>
                <w:szCs w:val="20"/>
                <w:color w:val="auto"/>
              </w:rPr>
            </w:pPr>
            <w:r>
              <w:rPr>
                <w:rFonts w:ascii="Arial" w:cs="Arial" w:eastAsia="Arial" w:hAnsi="Arial"/>
                <w:sz w:val="18"/>
                <w:szCs w:val="18"/>
                <w:color w:val="auto"/>
              </w:rPr>
              <w:t>Proceeds from sale of property and equipment</w:t>
            </w:r>
          </w:p>
        </w:tc>
        <w:tc>
          <w:tcPr>
            <w:tcW w:w="260" w:type="dxa"/>
            <w:vAlign w:val="bottom"/>
            <w:tcBorders>
              <w:bottom w:val="single" w:sz="8" w:color="CCEEFF"/>
            </w:tcBorders>
            <w:shd w:val="clear" w:color="auto" w:fill="CCEEFF"/>
          </w:tcPr>
          <w:p>
            <w:pPr>
              <w:spacing w:after="0"/>
              <w:rPr>
                <w:sz w:val="23"/>
                <w:szCs w:val="23"/>
                <w:color w:val="auto"/>
              </w:rPr>
            </w:pPr>
          </w:p>
        </w:tc>
        <w:tc>
          <w:tcPr>
            <w:tcW w:w="106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1,000</w:t>
            </w:r>
          </w:p>
        </w:tc>
        <w:tc>
          <w:tcPr>
            <w:tcW w:w="120" w:type="dxa"/>
            <w:vAlign w:val="bottom"/>
            <w:tcBorders>
              <w:bottom w:val="single" w:sz="8" w:color="CCEEFF"/>
            </w:tcBorders>
            <w:shd w:val="clear" w:color="auto" w:fill="CCEEFF"/>
          </w:tcPr>
          <w:p>
            <w:pPr>
              <w:spacing w:after="0"/>
              <w:rPr>
                <w:sz w:val="23"/>
                <w:szCs w:val="23"/>
                <w:color w:val="auto"/>
              </w:rPr>
            </w:pPr>
          </w:p>
        </w:tc>
        <w:tc>
          <w:tcPr>
            <w:tcW w:w="360" w:type="dxa"/>
            <w:vAlign w:val="bottom"/>
            <w:tcBorders>
              <w:bottom w:val="single" w:sz="8" w:color="CCEEFF"/>
            </w:tcBorders>
            <w:shd w:val="clear" w:color="auto" w:fill="CCEEFF"/>
          </w:tcPr>
          <w:p>
            <w:pPr>
              <w:spacing w:after="0"/>
              <w:rPr>
                <w:sz w:val="23"/>
                <w:szCs w:val="23"/>
                <w:color w:val="auto"/>
              </w:rPr>
            </w:pPr>
          </w:p>
        </w:tc>
        <w:tc>
          <w:tcPr>
            <w:tcW w:w="96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3,000</w:t>
            </w:r>
          </w:p>
        </w:tc>
        <w:tc>
          <w:tcPr>
            <w:tcW w:w="0" w:type="dxa"/>
            <w:vAlign w:val="bottom"/>
          </w:tcPr>
          <w:p>
            <w:pPr>
              <w:spacing w:after="0"/>
              <w:rPr>
                <w:sz w:val="1"/>
                <w:szCs w:val="1"/>
                <w:color w:val="auto"/>
              </w:rPr>
            </w:pPr>
          </w:p>
        </w:tc>
      </w:tr>
      <w:tr>
        <w:trPr>
          <w:trHeight w:val="237"/>
        </w:trPr>
        <w:tc>
          <w:tcPr>
            <w:tcW w:w="8260" w:type="dxa"/>
            <w:vAlign w:val="bottom"/>
          </w:tcPr>
          <w:p>
            <w:pPr>
              <w:ind w:left="1140"/>
              <w:spacing w:after="0"/>
              <w:rPr>
                <w:sz w:val="20"/>
                <w:szCs w:val="20"/>
                <w:color w:val="auto"/>
              </w:rPr>
            </w:pPr>
            <w:r>
              <w:rPr>
                <w:rFonts w:ascii="Arial" w:cs="Arial" w:eastAsia="Arial" w:hAnsi="Arial"/>
                <w:sz w:val="18"/>
                <w:szCs w:val="18"/>
                <w:color w:val="auto"/>
              </w:rPr>
              <w:t>Net cash used in investing activities</w:t>
            </w:r>
          </w:p>
        </w:tc>
        <w:tc>
          <w:tcPr>
            <w:tcW w:w="260" w:type="dxa"/>
            <w:vAlign w:val="bottom"/>
            <w:tcBorders>
              <w:top w:val="single" w:sz="8" w:color="auto"/>
            </w:tcBorders>
          </w:tcPr>
          <w:p>
            <w:pPr>
              <w:spacing w:after="0"/>
              <w:rPr>
                <w:sz w:val="20"/>
                <w:szCs w:val="20"/>
                <w:color w:val="auto"/>
              </w:rPr>
            </w:pPr>
          </w:p>
        </w:tc>
        <w:tc>
          <w:tcPr>
            <w:tcW w:w="10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(382,921)</w:t>
            </w:r>
          </w:p>
        </w:tc>
        <w:tc>
          <w:tcPr>
            <w:tcW w:w="120" w:type="dxa"/>
            <w:vAlign w:val="bottom"/>
          </w:tcPr>
          <w:p>
            <w:pPr>
              <w:spacing w:after="0"/>
              <w:rPr>
                <w:sz w:val="20"/>
                <w:szCs w:val="20"/>
                <w:color w:val="auto"/>
              </w:rPr>
            </w:pPr>
          </w:p>
        </w:tc>
        <w:tc>
          <w:tcPr>
            <w:tcW w:w="360" w:type="dxa"/>
            <w:vAlign w:val="bottom"/>
            <w:tcBorders>
              <w:top w:val="single" w:sz="8" w:color="auto"/>
            </w:tcBorders>
          </w:tcPr>
          <w:p>
            <w:pPr>
              <w:spacing w:after="0"/>
              <w:rPr>
                <w:sz w:val="20"/>
                <w:szCs w:val="20"/>
                <w:color w:val="auto"/>
              </w:rPr>
            </w:pPr>
          </w:p>
        </w:tc>
        <w:tc>
          <w:tcPr>
            <w:tcW w:w="9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95"/>
              </w:rPr>
              <w:t>(1,112,159)</w:t>
            </w:r>
          </w:p>
        </w:tc>
        <w:tc>
          <w:tcPr>
            <w:tcW w:w="0" w:type="dxa"/>
            <w:vAlign w:val="bottom"/>
          </w:tcPr>
          <w:p>
            <w:pPr>
              <w:spacing w:after="0"/>
              <w:rPr>
                <w:sz w:val="1"/>
                <w:szCs w:val="1"/>
                <w:color w:val="auto"/>
              </w:rPr>
            </w:pPr>
          </w:p>
        </w:tc>
      </w:tr>
      <w:tr>
        <w:trPr>
          <w:trHeight w:val="27"/>
        </w:trPr>
        <w:tc>
          <w:tcPr>
            <w:tcW w:w="826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82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Cash flows used in financing activities</w:t>
            </w:r>
          </w:p>
        </w:tc>
        <w:tc>
          <w:tcPr>
            <w:tcW w:w="26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8260" w:type="dxa"/>
            <w:vAlign w:val="bottom"/>
          </w:tcPr>
          <w:p>
            <w:pPr>
              <w:ind w:left="380"/>
              <w:spacing w:after="0"/>
              <w:rPr>
                <w:sz w:val="20"/>
                <w:szCs w:val="20"/>
                <w:color w:val="auto"/>
              </w:rPr>
            </w:pPr>
            <w:r>
              <w:rPr>
                <w:rFonts w:ascii="Arial" w:cs="Arial" w:eastAsia="Arial" w:hAnsi="Arial"/>
                <w:sz w:val="18"/>
                <w:szCs w:val="18"/>
                <w:color w:val="auto"/>
              </w:rPr>
              <w:t>Payments on capital lease obligations</w:t>
            </w:r>
          </w:p>
        </w:tc>
        <w:tc>
          <w:tcPr>
            <w:tcW w:w="260" w:type="dxa"/>
            <w:vAlign w:val="bottom"/>
          </w:tcPr>
          <w:p>
            <w:pPr>
              <w:spacing w:after="0"/>
              <w:rPr>
                <w:sz w:val="21"/>
                <w:szCs w:val="21"/>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(25,309)</w:t>
            </w:r>
          </w:p>
        </w:tc>
        <w:tc>
          <w:tcPr>
            <w:tcW w:w="12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rPr>
              <w:t>(25,611)</w:t>
            </w:r>
          </w:p>
        </w:tc>
        <w:tc>
          <w:tcPr>
            <w:tcW w:w="0" w:type="dxa"/>
            <w:vAlign w:val="bottom"/>
          </w:tcPr>
          <w:p>
            <w:pPr>
              <w:spacing w:after="0"/>
              <w:rPr>
                <w:sz w:val="1"/>
                <w:szCs w:val="1"/>
                <w:color w:val="auto"/>
              </w:rPr>
            </w:pPr>
          </w:p>
        </w:tc>
      </w:tr>
      <w:tr>
        <w:trPr>
          <w:trHeight w:val="27"/>
        </w:trPr>
        <w:tc>
          <w:tcPr>
            <w:tcW w:w="8260" w:type="dxa"/>
            <w:vAlign w:val="bottom"/>
          </w:tcPr>
          <w:p>
            <w:pPr>
              <w:spacing w:after="0"/>
              <w:rPr>
                <w:sz w:val="2"/>
                <w:szCs w:val="2"/>
                <w:color w:val="auto"/>
              </w:rPr>
            </w:pPr>
          </w:p>
        </w:tc>
        <w:tc>
          <w:tcPr>
            <w:tcW w:w="26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20" w:type="dxa"/>
            <w:vAlign w:val="bottom"/>
          </w:tcPr>
          <w:p>
            <w:pPr>
              <w:spacing w:after="0"/>
              <w:rPr>
                <w:sz w:val="2"/>
                <w:szCs w:val="2"/>
                <w:color w:val="auto"/>
              </w:rPr>
            </w:pPr>
          </w:p>
        </w:tc>
        <w:tc>
          <w:tcPr>
            <w:tcW w:w="360" w:type="dxa"/>
            <w:vAlign w:val="bottom"/>
          </w:tcPr>
          <w:p>
            <w:pPr>
              <w:spacing w:after="0"/>
              <w:rPr>
                <w:sz w:val="2"/>
                <w:szCs w:val="2"/>
                <w:color w:val="auto"/>
              </w:rPr>
            </w:pPr>
          </w:p>
        </w:tc>
        <w:tc>
          <w:tcPr>
            <w:tcW w:w="9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826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Payments of debt obligations</w:t>
            </w:r>
          </w:p>
        </w:tc>
        <w:tc>
          <w:tcPr>
            <w:tcW w:w="26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(916,665)</w:t>
            </w:r>
          </w:p>
        </w:tc>
        <w:tc>
          <w:tcPr>
            <w:tcW w:w="12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(916,666)</w:t>
            </w:r>
          </w:p>
        </w:tc>
        <w:tc>
          <w:tcPr>
            <w:tcW w:w="0" w:type="dxa"/>
            <w:vAlign w:val="bottom"/>
          </w:tcPr>
          <w:p>
            <w:pPr>
              <w:spacing w:after="0"/>
              <w:rPr>
                <w:sz w:val="1"/>
                <w:szCs w:val="1"/>
                <w:color w:val="auto"/>
              </w:rPr>
            </w:pPr>
          </w:p>
        </w:tc>
      </w:tr>
      <w:tr>
        <w:trPr>
          <w:trHeight w:val="243"/>
        </w:trPr>
        <w:tc>
          <w:tcPr>
            <w:tcW w:w="8260" w:type="dxa"/>
            <w:vAlign w:val="bottom"/>
          </w:tcPr>
          <w:p>
            <w:pPr>
              <w:ind w:left="380"/>
              <w:spacing w:after="0"/>
              <w:rPr>
                <w:sz w:val="20"/>
                <w:szCs w:val="20"/>
                <w:color w:val="auto"/>
              </w:rPr>
            </w:pPr>
            <w:r>
              <w:rPr>
                <w:rFonts w:ascii="Arial" w:cs="Arial" w:eastAsia="Arial" w:hAnsi="Arial"/>
                <w:sz w:val="18"/>
                <w:szCs w:val="18"/>
                <w:color w:val="auto"/>
              </w:rPr>
              <w:t>Repurchase of common stock</w:t>
            </w:r>
          </w:p>
        </w:tc>
        <w:tc>
          <w:tcPr>
            <w:tcW w:w="260" w:type="dxa"/>
            <w:vAlign w:val="bottom"/>
          </w:tcPr>
          <w:p>
            <w:pPr>
              <w:spacing w:after="0"/>
              <w:rPr>
                <w:sz w:val="21"/>
                <w:szCs w:val="21"/>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(466,894)</w:t>
            </w:r>
          </w:p>
        </w:tc>
        <w:tc>
          <w:tcPr>
            <w:tcW w:w="12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rPr>
              <w:t>(143,266)</w:t>
            </w:r>
          </w:p>
        </w:tc>
        <w:tc>
          <w:tcPr>
            <w:tcW w:w="0" w:type="dxa"/>
            <w:vAlign w:val="bottom"/>
          </w:tcPr>
          <w:p>
            <w:pPr>
              <w:spacing w:after="0"/>
              <w:rPr>
                <w:sz w:val="1"/>
                <w:szCs w:val="1"/>
                <w:color w:val="auto"/>
              </w:rPr>
            </w:pPr>
          </w:p>
        </w:tc>
      </w:tr>
      <w:tr>
        <w:trPr>
          <w:trHeight w:val="27"/>
        </w:trPr>
        <w:tc>
          <w:tcPr>
            <w:tcW w:w="8260" w:type="dxa"/>
            <w:vAlign w:val="bottom"/>
          </w:tcPr>
          <w:p>
            <w:pPr>
              <w:spacing w:after="0"/>
              <w:rPr>
                <w:sz w:val="2"/>
                <w:szCs w:val="2"/>
                <w:color w:val="auto"/>
              </w:rPr>
            </w:pPr>
          </w:p>
        </w:tc>
        <w:tc>
          <w:tcPr>
            <w:tcW w:w="26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20" w:type="dxa"/>
            <w:vAlign w:val="bottom"/>
          </w:tcPr>
          <w:p>
            <w:pPr>
              <w:spacing w:after="0"/>
              <w:rPr>
                <w:sz w:val="2"/>
                <w:szCs w:val="2"/>
                <w:color w:val="auto"/>
              </w:rPr>
            </w:pPr>
          </w:p>
        </w:tc>
        <w:tc>
          <w:tcPr>
            <w:tcW w:w="360" w:type="dxa"/>
            <w:vAlign w:val="bottom"/>
          </w:tcPr>
          <w:p>
            <w:pPr>
              <w:spacing w:after="0"/>
              <w:rPr>
                <w:sz w:val="2"/>
                <w:szCs w:val="2"/>
                <w:color w:val="auto"/>
              </w:rPr>
            </w:pPr>
          </w:p>
        </w:tc>
        <w:tc>
          <w:tcPr>
            <w:tcW w:w="9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826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Proceeds from the exercise of options and warrants</w:t>
            </w:r>
          </w:p>
        </w:tc>
        <w:tc>
          <w:tcPr>
            <w:tcW w:w="260" w:type="dxa"/>
            <w:vAlign w:val="bottom"/>
            <w:tcBorders>
              <w:bottom w:val="single" w:sz="8" w:color="CCEEFF"/>
            </w:tcBorders>
            <w:shd w:val="clear" w:color="auto" w:fill="CCEEFF"/>
          </w:tcPr>
          <w:p>
            <w:pPr>
              <w:spacing w:after="0"/>
              <w:rPr>
                <w:sz w:val="23"/>
                <w:szCs w:val="23"/>
                <w:color w:val="auto"/>
              </w:rPr>
            </w:pPr>
          </w:p>
        </w:tc>
        <w:tc>
          <w:tcPr>
            <w:tcW w:w="106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840,078</w:t>
            </w:r>
          </w:p>
        </w:tc>
        <w:tc>
          <w:tcPr>
            <w:tcW w:w="120" w:type="dxa"/>
            <w:vAlign w:val="bottom"/>
            <w:tcBorders>
              <w:bottom w:val="single" w:sz="8" w:color="CCEEFF"/>
            </w:tcBorders>
            <w:shd w:val="clear" w:color="auto" w:fill="CCEEFF"/>
          </w:tcPr>
          <w:p>
            <w:pPr>
              <w:spacing w:after="0"/>
              <w:rPr>
                <w:sz w:val="23"/>
                <w:szCs w:val="23"/>
                <w:color w:val="auto"/>
              </w:rPr>
            </w:pPr>
          </w:p>
        </w:tc>
        <w:tc>
          <w:tcPr>
            <w:tcW w:w="360" w:type="dxa"/>
            <w:vAlign w:val="bottom"/>
            <w:tcBorders>
              <w:bottom w:val="single" w:sz="8" w:color="CCEEFF"/>
            </w:tcBorders>
            <w:shd w:val="clear" w:color="auto" w:fill="CCEEFF"/>
          </w:tcPr>
          <w:p>
            <w:pPr>
              <w:spacing w:after="0"/>
              <w:rPr>
                <w:sz w:val="23"/>
                <w:szCs w:val="23"/>
                <w:color w:val="auto"/>
              </w:rPr>
            </w:pPr>
          </w:p>
        </w:tc>
        <w:tc>
          <w:tcPr>
            <w:tcW w:w="96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820</w:t>
            </w:r>
          </w:p>
        </w:tc>
        <w:tc>
          <w:tcPr>
            <w:tcW w:w="0" w:type="dxa"/>
            <w:vAlign w:val="bottom"/>
          </w:tcPr>
          <w:p>
            <w:pPr>
              <w:spacing w:after="0"/>
              <w:rPr>
                <w:sz w:val="1"/>
                <w:szCs w:val="1"/>
                <w:color w:val="auto"/>
              </w:rPr>
            </w:pPr>
          </w:p>
        </w:tc>
      </w:tr>
      <w:tr>
        <w:trPr>
          <w:trHeight w:val="237"/>
        </w:trPr>
        <w:tc>
          <w:tcPr>
            <w:tcW w:w="8260" w:type="dxa"/>
            <w:vAlign w:val="bottom"/>
          </w:tcPr>
          <w:p>
            <w:pPr>
              <w:ind w:left="1140"/>
              <w:spacing w:after="0"/>
              <w:rPr>
                <w:sz w:val="20"/>
                <w:szCs w:val="20"/>
                <w:color w:val="auto"/>
              </w:rPr>
            </w:pPr>
            <w:r>
              <w:rPr>
                <w:rFonts w:ascii="Arial" w:cs="Arial" w:eastAsia="Arial" w:hAnsi="Arial"/>
                <w:sz w:val="18"/>
                <w:szCs w:val="18"/>
                <w:color w:val="auto"/>
              </w:rPr>
              <w:t>Net cash used in financing activities</w:t>
            </w:r>
          </w:p>
        </w:tc>
        <w:tc>
          <w:tcPr>
            <w:tcW w:w="260" w:type="dxa"/>
            <w:vAlign w:val="bottom"/>
            <w:tcBorders>
              <w:top w:val="single" w:sz="8" w:color="auto"/>
            </w:tcBorders>
          </w:tcPr>
          <w:p>
            <w:pPr>
              <w:spacing w:after="0"/>
              <w:rPr>
                <w:sz w:val="20"/>
                <w:szCs w:val="20"/>
                <w:color w:val="auto"/>
              </w:rPr>
            </w:pPr>
          </w:p>
        </w:tc>
        <w:tc>
          <w:tcPr>
            <w:tcW w:w="10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(568,790)</w:t>
            </w:r>
          </w:p>
        </w:tc>
        <w:tc>
          <w:tcPr>
            <w:tcW w:w="120" w:type="dxa"/>
            <w:vAlign w:val="bottom"/>
          </w:tcPr>
          <w:p>
            <w:pPr>
              <w:spacing w:after="0"/>
              <w:rPr>
                <w:sz w:val="20"/>
                <w:szCs w:val="20"/>
                <w:color w:val="auto"/>
              </w:rPr>
            </w:pPr>
          </w:p>
        </w:tc>
        <w:tc>
          <w:tcPr>
            <w:tcW w:w="360" w:type="dxa"/>
            <w:vAlign w:val="bottom"/>
            <w:tcBorders>
              <w:top w:val="single" w:sz="8" w:color="auto"/>
            </w:tcBorders>
          </w:tcPr>
          <w:p>
            <w:pPr>
              <w:spacing w:after="0"/>
              <w:rPr>
                <w:sz w:val="20"/>
                <w:szCs w:val="20"/>
                <w:color w:val="auto"/>
              </w:rPr>
            </w:pPr>
          </w:p>
        </w:tc>
        <w:tc>
          <w:tcPr>
            <w:tcW w:w="9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95"/>
              </w:rPr>
              <w:t>(1,084,723)</w:t>
            </w:r>
          </w:p>
        </w:tc>
        <w:tc>
          <w:tcPr>
            <w:tcW w:w="0" w:type="dxa"/>
            <w:vAlign w:val="bottom"/>
          </w:tcPr>
          <w:p>
            <w:pPr>
              <w:spacing w:after="0"/>
              <w:rPr>
                <w:sz w:val="1"/>
                <w:szCs w:val="1"/>
                <w:color w:val="auto"/>
              </w:rPr>
            </w:pPr>
          </w:p>
        </w:tc>
      </w:tr>
      <w:tr>
        <w:trPr>
          <w:trHeight w:val="27"/>
        </w:trPr>
        <w:tc>
          <w:tcPr>
            <w:tcW w:w="826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82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Net decrease in cash and cash equivalents</w:t>
            </w:r>
          </w:p>
        </w:tc>
        <w:tc>
          <w:tcPr>
            <w:tcW w:w="26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(3,688,733)</w:t>
            </w:r>
          </w:p>
        </w:tc>
        <w:tc>
          <w:tcPr>
            <w:tcW w:w="12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5"/>
              </w:rPr>
              <w:t>(2,511,203)</w:t>
            </w:r>
          </w:p>
        </w:tc>
        <w:tc>
          <w:tcPr>
            <w:tcW w:w="0" w:type="dxa"/>
            <w:vAlign w:val="bottom"/>
          </w:tcPr>
          <w:p>
            <w:pPr>
              <w:spacing w:after="0"/>
              <w:rPr>
                <w:sz w:val="1"/>
                <w:szCs w:val="1"/>
                <w:color w:val="auto"/>
              </w:rPr>
            </w:pPr>
          </w:p>
        </w:tc>
      </w:tr>
      <w:tr>
        <w:trPr>
          <w:trHeight w:val="243"/>
        </w:trPr>
        <w:tc>
          <w:tcPr>
            <w:tcW w:w="8260" w:type="dxa"/>
            <w:vAlign w:val="bottom"/>
          </w:tcPr>
          <w:p>
            <w:pPr>
              <w:ind w:left="40"/>
              <w:spacing w:after="0"/>
              <w:rPr>
                <w:sz w:val="20"/>
                <w:szCs w:val="20"/>
                <w:color w:val="auto"/>
              </w:rPr>
            </w:pPr>
            <w:r>
              <w:rPr>
                <w:rFonts w:ascii="Arial" w:cs="Arial" w:eastAsia="Arial" w:hAnsi="Arial"/>
                <w:sz w:val="18"/>
                <w:szCs w:val="18"/>
                <w:color w:val="auto"/>
              </w:rPr>
              <w:t>Cash and cash equivalents—beginning of period</w:t>
            </w:r>
          </w:p>
        </w:tc>
        <w:tc>
          <w:tcPr>
            <w:tcW w:w="260" w:type="dxa"/>
            <w:vAlign w:val="bottom"/>
          </w:tcPr>
          <w:p>
            <w:pPr>
              <w:spacing w:after="0"/>
              <w:rPr>
                <w:sz w:val="21"/>
                <w:szCs w:val="21"/>
                <w:color w:val="auto"/>
              </w:rPr>
            </w:pPr>
          </w:p>
        </w:tc>
        <w:tc>
          <w:tcPr>
            <w:tcW w:w="1060" w:type="dxa"/>
            <w:vAlign w:val="bottom"/>
          </w:tcPr>
          <w:p>
            <w:pPr>
              <w:jc w:val="right"/>
              <w:ind w:right="12"/>
              <w:spacing w:after="0"/>
              <w:rPr>
                <w:sz w:val="20"/>
                <w:szCs w:val="20"/>
                <w:color w:val="auto"/>
              </w:rPr>
            </w:pPr>
            <w:r>
              <w:rPr>
                <w:rFonts w:ascii="Arial" w:cs="Arial" w:eastAsia="Arial" w:hAnsi="Arial"/>
                <w:sz w:val="18"/>
                <w:szCs w:val="18"/>
                <w:color w:val="auto"/>
              </w:rPr>
              <w:t>36,981,533</w:t>
            </w:r>
          </w:p>
        </w:tc>
        <w:tc>
          <w:tcPr>
            <w:tcW w:w="12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960" w:type="dxa"/>
            <w:vAlign w:val="bottom"/>
          </w:tcPr>
          <w:p>
            <w:pPr>
              <w:jc w:val="right"/>
              <w:ind w:right="31"/>
              <w:spacing w:after="0"/>
              <w:rPr>
                <w:sz w:val="20"/>
                <w:szCs w:val="20"/>
                <w:color w:val="auto"/>
              </w:rPr>
            </w:pPr>
            <w:r>
              <w:rPr>
                <w:rFonts w:ascii="Arial" w:cs="Arial" w:eastAsia="Arial" w:hAnsi="Arial"/>
                <w:sz w:val="18"/>
                <w:szCs w:val="18"/>
                <w:color w:val="auto"/>
                <w:w w:val="90"/>
              </w:rPr>
              <w:t>12,802,458</w:t>
            </w:r>
          </w:p>
        </w:tc>
        <w:tc>
          <w:tcPr>
            <w:tcW w:w="0" w:type="dxa"/>
            <w:vAlign w:val="bottom"/>
          </w:tcPr>
          <w:p>
            <w:pPr>
              <w:spacing w:after="0"/>
              <w:rPr>
                <w:sz w:val="1"/>
                <w:szCs w:val="1"/>
                <w:color w:val="auto"/>
              </w:rPr>
            </w:pPr>
          </w:p>
        </w:tc>
      </w:tr>
      <w:tr>
        <w:trPr>
          <w:trHeight w:val="27"/>
        </w:trPr>
        <w:tc>
          <w:tcPr>
            <w:tcW w:w="826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9"/>
        </w:trPr>
        <w:tc>
          <w:tcPr>
            <w:tcW w:w="82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Cash and cash equivalents—end of period</w:t>
            </w:r>
          </w:p>
        </w:tc>
        <w:tc>
          <w:tcPr>
            <w:tcW w:w="260" w:type="dxa"/>
            <w:vAlign w:val="bottom"/>
            <w:tcBorders>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color w:val="auto"/>
                <w:w w:val="99"/>
              </w:rPr>
              <w:t>$</w:t>
            </w:r>
          </w:p>
        </w:tc>
        <w:tc>
          <w:tcPr>
            <w:tcW w:w="106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33,292,800</w:t>
            </w:r>
          </w:p>
        </w:tc>
        <w:tc>
          <w:tcPr>
            <w:tcW w:w="120" w:type="dxa"/>
            <w:vAlign w:val="bottom"/>
            <w:tcBorders>
              <w:bottom w:val="single" w:sz="8" w:color="CCEEFF"/>
            </w:tcBorders>
            <w:shd w:val="clear" w:color="auto" w:fill="CCEEFF"/>
          </w:tcPr>
          <w:p>
            <w:pPr>
              <w:spacing w:after="0"/>
              <w:rPr>
                <w:sz w:val="22"/>
                <w:szCs w:val="22"/>
                <w:color w:val="auto"/>
              </w:rPr>
            </w:pPr>
          </w:p>
        </w:tc>
        <w:tc>
          <w:tcPr>
            <w:tcW w:w="360" w:type="dxa"/>
            <w:vAlign w:val="bottom"/>
            <w:tcBorders>
              <w:bottom w:val="single" w:sz="8" w:color="CCEEFF"/>
            </w:tcBorders>
            <w:shd w:val="clear" w:color="auto" w:fill="CCEEFF"/>
          </w:tcPr>
          <w:p>
            <w:pPr>
              <w:jc w:val="right"/>
              <w:ind w:right="170"/>
              <w:spacing w:after="0"/>
              <w:rPr>
                <w:sz w:val="20"/>
                <w:szCs w:val="20"/>
                <w:color w:val="auto"/>
              </w:rPr>
            </w:pPr>
            <w:r>
              <w:rPr>
                <w:rFonts w:ascii="Arial" w:cs="Arial" w:eastAsia="Arial" w:hAnsi="Arial"/>
                <w:sz w:val="18"/>
                <w:szCs w:val="18"/>
                <w:color w:val="auto"/>
                <w:w w:val="79"/>
              </w:rPr>
              <w:t>$</w:t>
            </w:r>
          </w:p>
        </w:tc>
        <w:tc>
          <w:tcPr>
            <w:tcW w:w="96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w w:val="90"/>
              </w:rPr>
              <w:t>10,291,255</w:t>
            </w:r>
          </w:p>
        </w:tc>
        <w:tc>
          <w:tcPr>
            <w:tcW w:w="0" w:type="dxa"/>
            <w:vAlign w:val="bottom"/>
          </w:tcPr>
          <w:p>
            <w:pPr>
              <w:spacing w:after="0"/>
              <w:rPr>
                <w:sz w:val="1"/>
                <w:szCs w:val="1"/>
                <w:color w:val="auto"/>
              </w:rPr>
            </w:pPr>
          </w:p>
        </w:tc>
      </w:tr>
      <w:tr>
        <w:trPr>
          <w:trHeight w:val="20"/>
        </w:trPr>
        <w:tc>
          <w:tcPr>
            <w:tcW w:w="8260" w:type="dxa"/>
            <w:vAlign w:val="bottom"/>
            <w:tcBorders>
              <w:top w:val="single" w:sz="8" w:color="CCEEFF"/>
              <w:bottom w:val="single" w:sz="8" w:color="CCEEFF"/>
            </w:tcBorders>
            <w:vMerge w:val="restart"/>
          </w:tcPr>
          <w:p>
            <w:pPr>
              <w:ind w:left="40"/>
              <w:spacing w:after="0"/>
              <w:rPr>
                <w:sz w:val="20"/>
                <w:szCs w:val="20"/>
                <w:color w:val="auto"/>
              </w:rPr>
            </w:pPr>
            <w:r>
              <w:rPr>
                <w:rFonts w:ascii="Arial" w:cs="Arial" w:eastAsia="Arial" w:hAnsi="Arial"/>
                <w:sz w:val="18"/>
                <w:szCs w:val="18"/>
                <w:b w:val="1"/>
                <w:bCs w:val="1"/>
                <w:color w:val="auto"/>
              </w:rPr>
              <w:t>Supplemental disclosure of cash flow information</w:t>
            </w:r>
          </w:p>
        </w:tc>
        <w:tc>
          <w:tcPr>
            <w:tcW w:w="260" w:type="dxa"/>
            <w:vAlign w:val="bottom"/>
            <w:tcBorders>
              <w:top w:val="single" w:sz="8" w:color="auto"/>
              <w:bottom w:val="single" w:sz="8" w:color="auto"/>
            </w:tcBorders>
          </w:tcPr>
          <w:p>
            <w:pPr>
              <w:spacing w:after="0" w:line="20" w:lineRule="exact"/>
              <w:rPr>
                <w:sz w:val="1"/>
                <w:szCs w:val="1"/>
                <w:color w:val="auto"/>
              </w:rPr>
            </w:pPr>
          </w:p>
        </w:tc>
        <w:tc>
          <w:tcPr>
            <w:tcW w:w="10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96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7"/>
        </w:trPr>
        <w:tc>
          <w:tcPr>
            <w:tcW w:w="8260" w:type="dxa"/>
            <w:vAlign w:val="bottom"/>
            <w:vMerge w:val="continue"/>
          </w:tcPr>
          <w:p>
            <w:pPr>
              <w:spacing w:after="0"/>
              <w:rPr>
                <w:sz w:val="17"/>
                <w:szCs w:val="17"/>
                <w:color w:val="auto"/>
              </w:rPr>
            </w:pPr>
          </w:p>
        </w:tc>
        <w:tc>
          <w:tcPr>
            <w:tcW w:w="260" w:type="dxa"/>
            <w:vAlign w:val="bottom"/>
          </w:tcPr>
          <w:p>
            <w:pPr>
              <w:spacing w:after="0"/>
              <w:rPr>
                <w:sz w:val="17"/>
                <w:szCs w:val="17"/>
                <w:color w:val="auto"/>
              </w:rPr>
            </w:pPr>
          </w:p>
        </w:tc>
        <w:tc>
          <w:tcPr>
            <w:tcW w:w="10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9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54"/>
        </w:trPr>
        <w:tc>
          <w:tcPr>
            <w:tcW w:w="8260" w:type="dxa"/>
            <w:vAlign w:val="bottom"/>
          </w:tcPr>
          <w:p>
            <w:pPr>
              <w:spacing w:after="0"/>
              <w:rPr>
                <w:sz w:val="4"/>
                <w:szCs w:val="4"/>
                <w:color w:val="auto"/>
              </w:rPr>
            </w:pPr>
          </w:p>
        </w:tc>
        <w:tc>
          <w:tcPr>
            <w:tcW w:w="260" w:type="dxa"/>
            <w:vAlign w:val="bottom"/>
          </w:tcPr>
          <w:p>
            <w:pPr>
              <w:spacing w:after="0"/>
              <w:rPr>
                <w:sz w:val="4"/>
                <w:szCs w:val="4"/>
                <w:color w:val="auto"/>
              </w:rPr>
            </w:pPr>
          </w:p>
        </w:tc>
        <w:tc>
          <w:tcPr>
            <w:tcW w:w="1060" w:type="dxa"/>
            <w:vAlign w:val="bottom"/>
          </w:tcPr>
          <w:p>
            <w:pPr>
              <w:spacing w:after="0"/>
              <w:rPr>
                <w:sz w:val="4"/>
                <w:szCs w:val="4"/>
                <w:color w:val="auto"/>
              </w:rPr>
            </w:pPr>
          </w:p>
        </w:tc>
        <w:tc>
          <w:tcPr>
            <w:tcW w:w="120" w:type="dxa"/>
            <w:vAlign w:val="bottom"/>
          </w:tcPr>
          <w:p>
            <w:pPr>
              <w:spacing w:after="0"/>
              <w:rPr>
                <w:sz w:val="4"/>
                <w:szCs w:val="4"/>
                <w:color w:val="auto"/>
              </w:rPr>
            </w:pPr>
          </w:p>
        </w:tc>
        <w:tc>
          <w:tcPr>
            <w:tcW w:w="360" w:type="dxa"/>
            <w:vAlign w:val="bottom"/>
          </w:tcPr>
          <w:p>
            <w:pPr>
              <w:spacing w:after="0"/>
              <w:rPr>
                <w:sz w:val="4"/>
                <w:szCs w:val="4"/>
                <w:color w:val="auto"/>
              </w:rPr>
            </w:pPr>
          </w:p>
        </w:tc>
        <w:tc>
          <w:tcPr>
            <w:tcW w:w="96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50"/>
        </w:trPr>
        <w:tc>
          <w:tcPr>
            <w:tcW w:w="82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Cash paid for interest</w:t>
            </w:r>
          </w:p>
        </w:tc>
        <w:tc>
          <w:tcPr>
            <w:tcW w:w="260" w:type="dxa"/>
            <w:vAlign w:val="bottom"/>
            <w:tcBorders>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color w:val="auto"/>
                <w:w w:val="99"/>
              </w:rPr>
              <w:t>$</w:t>
            </w:r>
          </w:p>
        </w:tc>
        <w:tc>
          <w:tcPr>
            <w:tcW w:w="106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72,127</w:t>
            </w:r>
          </w:p>
        </w:tc>
        <w:tc>
          <w:tcPr>
            <w:tcW w:w="12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jc w:val="right"/>
              <w:ind w:right="170"/>
              <w:spacing w:after="0"/>
              <w:rPr>
                <w:sz w:val="20"/>
                <w:szCs w:val="20"/>
                <w:color w:val="auto"/>
              </w:rPr>
            </w:pPr>
            <w:r>
              <w:rPr>
                <w:rFonts w:ascii="Arial" w:cs="Arial" w:eastAsia="Arial" w:hAnsi="Arial"/>
                <w:sz w:val="18"/>
                <w:szCs w:val="18"/>
                <w:color w:val="auto"/>
                <w:w w:val="79"/>
              </w:rPr>
              <w:t>$</w:t>
            </w:r>
          </w:p>
        </w:tc>
        <w:tc>
          <w:tcPr>
            <w:tcW w:w="96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120,191</w:t>
            </w:r>
          </w:p>
        </w:tc>
        <w:tc>
          <w:tcPr>
            <w:tcW w:w="0" w:type="dxa"/>
            <w:vAlign w:val="bottom"/>
          </w:tcPr>
          <w:p>
            <w:pPr>
              <w:spacing w:after="0"/>
              <w:rPr>
                <w:sz w:val="1"/>
                <w:szCs w:val="1"/>
                <w:color w:val="auto"/>
              </w:rPr>
            </w:pPr>
          </w:p>
        </w:tc>
      </w:tr>
      <w:tr>
        <w:trPr>
          <w:trHeight w:val="243"/>
        </w:trPr>
        <w:tc>
          <w:tcPr>
            <w:tcW w:w="8260" w:type="dxa"/>
            <w:vAlign w:val="bottom"/>
          </w:tcPr>
          <w:p>
            <w:pPr>
              <w:ind w:left="40"/>
              <w:spacing w:after="0"/>
              <w:rPr>
                <w:sz w:val="20"/>
                <w:szCs w:val="20"/>
                <w:color w:val="auto"/>
              </w:rPr>
            </w:pPr>
            <w:r>
              <w:rPr>
                <w:rFonts w:ascii="Arial" w:cs="Arial" w:eastAsia="Arial" w:hAnsi="Arial"/>
                <w:sz w:val="18"/>
                <w:szCs w:val="18"/>
                <w:color w:val="auto"/>
              </w:rPr>
              <w:t>Cash paid for income taxes</w:t>
            </w:r>
          </w:p>
        </w:tc>
        <w:tc>
          <w:tcPr>
            <w:tcW w:w="260" w:type="dxa"/>
            <w:vAlign w:val="bottom"/>
          </w:tcPr>
          <w:p>
            <w:pPr>
              <w:jc w:val="right"/>
              <w:ind w:right="50"/>
              <w:spacing w:after="0"/>
              <w:rPr>
                <w:sz w:val="20"/>
                <w:szCs w:val="20"/>
                <w:color w:val="auto"/>
              </w:rPr>
            </w:pPr>
            <w:r>
              <w:rPr>
                <w:rFonts w:ascii="Arial" w:cs="Arial" w:eastAsia="Arial" w:hAnsi="Arial"/>
                <w:sz w:val="18"/>
                <w:szCs w:val="18"/>
                <w:color w:val="auto"/>
                <w:w w:val="99"/>
              </w:rPr>
              <w:t>$</w:t>
            </w:r>
          </w:p>
        </w:tc>
        <w:tc>
          <w:tcPr>
            <w:tcW w:w="1060" w:type="dxa"/>
            <w:vAlign w:val="bottom"/>
          </w:tcPr>
          <w:p>
            <w:pPr>
              <w:jc w:val="right"/>
              <w:ind w:right="12"/>
              <w:spacing w:after="0"/>
              <w:rPr>
                <w:sz w:val="20"/>
                <w:szCs w:val="20"/>
                <w:color w:val="auto"/>
              </w:rPr>
            </w:pPr>
            <w:r>
              <w:rPr>
                <w:rFonts w:ascii="Arial" w:cs="Arial" w:eastAsia="Arial" w:hAnsi="Arial"/>
                <w:sz w:val="18"/>
                <w:szCs w:val="18"/>
                <w:color w:val="auto"/>
              </w:rPr>
              <w:t>8,156</w:t>
            </w:r>
          </w:p>
        </w:tc>
        <w:tc>
          <w:tcPr>
            <w:tcW w:w="120" w:type="dxa"/>
            <w:vAlign w:val="bottom"/>
          </w:tcPr>
          <w:p>
            <w:pPr>
              <w:spacing w:after="0"/>
              <w:rPr>
                <w:sz w:val="21"/>
                <w:szCs w:val="21"/>
                <w:color w:val="auto"/>
              </w:rPr>
            </w:pPr>
          </w:p>
        </w:tc>
        <w:tc>
          <w:tcPr>
            <w:tcW w:w="360" w:type="dxa"/>
            <w:vAlign w:val="bottom"/>
          </w:tcPr>
          <w:p>
            <w:pPr>
              <w:jc w:val="right"/>
              <w:ind w:right="170"/>
              <w:spacing w:after="0"/>
              <w:rPr>
                <w:sz w:val="20"/>
                <w:szCs w:val="20"/>
                <w:color w:val="auto"/>
              </w:rPr>
            </w:pPr>
            <w:r>
              <w:rPr>
                <w:rFonts w:ascii="Arial" w:cs="Arial" w:eastAsia="Arial" w:hAnsi="Arial"/>
                <w:sz w:val="18"/>
                <w:szCs w:val="18"/>
                <w:color w:val="auto"/>
                <w:w w:val="79"/>
              </w:rPr>
              <w:t>$</w:t>
            </w:r>
          </w:p>
        </w:tc>
        <w:tc>
          <w:tcPr>
            <w:tcW w:w="960" w:type="dxa"/>
            <w:vAlign w:val="bottom"/>
          </w:tcPr>
          <w:p>
            <w:pPr>
              <w:jc w:val="right"/>
              <w:ind w:right="31"/>
              <w:spacing w:after="0"/>
              <w:rPr>
                <w:sz w:val="20"/>
                <w:szCs w:val="20"/>
                <w:color w:val="auto"/>
              </w:rPr>
            </w:pPr>
            <w:r>
              <w:rPr>
                <w:rFonts w:ascii="Arial" w:cs="Arial" w:eastAsia="Arial" w:hAnsi="Arial"/>
                <w:sz w:val="18"/>
                <w:szCs w:val="18"/>
                <w:color w:val="auto"/>
              </w:rPr>
              <w:t>40,937</w:t>
            </w:r>
          </w:p>
        </w:tc>
        <w:tc>
          <w:tcPr>
            <w:tcW w:w="0" w:type="dxa"/>
            <w:vAlign w:val="bottom"/>
          </w:tcPr>
          <w:p>
            <w:pPr>
              <w:spacing w:after="0"/>
              <w:rPr>
                <w:sz w:val="1"/>
                <w:szCs w:val="1"/>
                <w:color w:val="auto"/>
              </w:rPr>
            </w:pPr>
          </w:p>
        </w:tc>
      </w:tr>
      <w:tr>
        <w:trPr>
          <w:trHeight w:val="27"/>
        </w:trPr>
        <w:tc>
          <w:tcPr>
            <w:tcW w:w="8260" w:type="dxa"/>
            <w:vAlign w:val="bottom"/>
          </w:tcPr>
          <w:p>
            <w:pPr>
              <w:spacing w:after="0"/>
              <w:rPr>
                <w:sz w:val="2"/>
                <w:szCs w:val="2"/>
                <w:color w:val="auto"/>
              </w:rPr>
            </w:pPr>
          </w:p>
        </w:tc>
        <w:tc>
          <w:tcPr>
            <w:tcW w:w="26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20" w:type="dxa"/>
            <w:vAlign w:val="bottom"/>
          </w:tcPr>
          <w:p>
            <w:pPr>
              <w:spacing w:after="0"/>
              <w:rPr>
                <w:sz w:val="2"/>
                <w:szCs w:val="2"/>
                <w:color w:val="auto"/>
              </w:rPr>
            </w:pPr>
          </w:p>
        </w:tc>
        <w:tc>
          <w:tcPr>
            <w:tcW w:w="360" w:type="dxa"/>
            <w:vAlign w:val="bottom"/>
          </w:tcPr>
          <w:p>
            <w:pPr>
              <w:spacing w:after="0"/>
              <w:rPr>
                <w:sz w:val="2"/>
                <w:szCs w:val="2"/>
                <w:color w:val="auto"/>
              </w:rPr>
            </w:pPr>
          </w:p>
        </w:tc>
        <w:tc>
          <w:tcPr>
            <w:tcW w:w="9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82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Non-cash investing and financing activities</w:t>
            </w:r>
          </w:p>
        </w:tc>
        <w:tc>
          <w:tcPr>
            <w:tcW w:w="26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29"/>
        </w:trPr>
        <w:tc>
          <w:tcPr>
            <w:tcW w:w="8260" w:type="dxa"/>
            <w:vAlign w:val="bottom"/>
          </w:tcPr>
          <w:p>
            <w:pPr>
              <w:ind w:left="40"/>
              <w:spacing w:after="0"/>
              <w:rPr>
                <w:sz w:val="20"/>
                <w:szCs w:val="20"/>
                <w:color w:val="auto"/>
              </w:rPr>
            </w:pPr>
            <w:r>
              <w:rPr>
                <w:rFonts w:ascii="Arial" w:cs="Arial" w:eastAsia="Arial" w:hAnsi="Arial"/>
                <w:sz w:val="18"/>
                <w:szCs w:val="18"/>
                <w:color w:val="auto"/>
                <w:w w:val="93"/>
              </w:rPr>
              <w:t>Dividend on preferred stock, 39,646 shares of common stock issuable for the six months ended June 30, 2018</w:t>
            </w:r>
          </w:p>
        </w:tc>
        <w:tc>
          <w:tcPr>
            <w:tcW w:w="260" w:type="dxa"/>
            <w:vAlign w:val="bottom"/>
          </w:tcPr>
          <w:p>
            <w:pPr>
              <w:spacing w:after="0"/>
              <w:rPr>
                <w:sz w:val="19"/>
                <w:szCs w:val="19"/>
                <w:color w:val="auto"/>
              </w:rPr>
            </w:pPr>
          </w:p>
        </w:tc>
        <w:tc>
          <w:tcPr>
            <w:tcW w:w="10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9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8260" w:type="dxa"/>
            <w:vAlign w:val="bottom"/>
          </w:tcPr>
          <w:p>
            <w:pPr>
              <w:ind w:left="40"/>
              <w:spacing w:after="0"/>
              <w:rPr>
                <w:sz w:val="20"/>
                <w:szCs w:val="20"/>
                <w:color w:val="auto"/>
              </w:rPr>
            </w:pPr>
            <w:r>
              <w:rPr>
                <w:rFonts w:ascii="Arial" w:cs="Arial" w:eastAsia="Arial" w:hAnsi="Arial"/>
                <w:sz w:val="18"/>
                <w:szCs w:val="18"/>
                <w:color w:val="auto"/>
              </w:rPr>
              <w:t>and 2017</w:t>
            </w:r>
          </w:p>
        </w:tc>
        <w:tc>
          <w:tcPr>
            <w:tcW w:w="260" w:type="dxa"/>
            <w:vAlign w:val="bottom"/>
          </w:tcPr>
          <w:p>
            <w:pPr>
              <w:jc w:val="right"/>
              <w:ind w:right="50"/>
              <w:spacing w:after="0"/>
              <w:rPr>
                <w:sz w:val="20"/>
                <w:szCs w:val="20"/>
                <w:color w:val="auto"/>
              </w:rPr>
            </w:pPr>
            <w:r>
              <w:rPr>
                <w:rFonts w:ascii="Arial" w:cs="Arial" w:eastAsia="Arial" w:hAnsi="Arial"/>
                <w:sz w:val="18"/>
                <w:szCs w:val="18"/>
                <w:color w:val="auto"/>
                <w:w w:val="99"/>
              </w:rPr>
              <w:t>$</w:t>
            </w:r>
          </w:p>
        </w:tc>
        <w:tc>
          <w:tcPr>
            <w:tcW w:w="1060" w:type="dxa"/>
            <w:vAlign w:val="bottom"/>
          </w:tcPr>
          <w:p>
            <w:pPr>
              <w:jc w:val="right"/>
              <w:ind w:right="12"/>
              <w:spacing w:after="0"/>
              <w:rPr>
                <w:sz w:val="20"/>
                <w:szCs w:val="20"/>
                <w:color w:val="auto"/>
              </w:rPr>
            </w:pPr>
            <w:r>
              <w:rPr>
                <w:rFonts w:ascii="Arial" w:cs="Arial" w:eastAsia="Arial" w:hAnsi="Arial"/>
                <w:sz w:val="18"/>
                <w:szCs w:val="18"/>
                <w:color w:val="auto"/>
              </w:rPr>
              <w:t>127,660</w:t>
            </w:r>
          </w:p>
        </w:tc>
        <w:tc>
          <w:tcPr>
            <w:tcW w:w="120" w:type="dxa"/>
            <w:vAlign w:val="bottom"/>
          </w:tcPr>
          <w:p>
            <w:pPr>
              <w:spacing w:after="0"/>
              <w:rPr>
                <w:sz w:val="20"/>
                <w:szCs w:val="20"/>
                <w:color w:val="auto"/>
              </w:rPr>
            </w:pPr>
          </w:p>
        </w:tc>
        <w:tc>
          <w:tcPr>
            <w:tcW w:w="360" w:type="dxa"/>
            <w:vAlign w:val="bottom"/>
          </w:tcPr>
          <w:p>
            <w:pPr>
              <w:jc w:val="right"/>
              <w:ind w:right="170"/>
              <w:spacing w:after="0"/>
              <w:rPr>
                <w:sz w:val="20"/>
                <w:szCs w:val="20"/>
                <w:color w:val="auto"/>
              </w:rPr>
            </w:pPr>
            <w:r>
              <w:rPr>
                <w:rFonts w:ascii="Arial" w:cs="Arial" w:eastAsia="Arial" w:hAnsi="Arial"/>
                <w:sz w:val="18"/>
                <w:szCs w:val="18"/>
                <w:color w:val="auto"/>
                <w:w w:val="79"/>
              </w:rPr>
              <w:t>$</w:t>
            </w:r>
          </w:p>
        </w:tc>
        <w:tc>
          <w:tcPr>
            <w:tcW w:w="960" w:type="dxa"/>
            <w:vAlign w:val="bottom"/>
          </w:tcPr>
          <w:p>
            <w:pPr>
              <w:jc w:val="right"/>
              <w:ind w:right="31"/>
              <w:spacing w:after="0"/>
              <w:rPr>
                <w:sz w:val="20"/>
                <w:szCs w:val="20"/>
                <w:color w:val="auto"/>
              </w:rPr>
            </w:pPr>
            <w:r>
              <w:rPr>
                <w:rFonts w:ascii="Arial" w:cs="Arial" w:eastAsia="Arial" w:hAnsi="Arial"/>
                <w:sz w:val="18"/>
                <w:szCs w:val="18"/>
                <w:color w:val="auto"/>
              </w:rPr>
              <w:t>63,632</w:t>
            </w:r>
          </w:p>
        </w:tc>
        <w:tc>
          <w:tcPr>
            <w:tcW w:w="0" w:type="dxa"/>
            <w:vAlign w:val="bottom"/>
          </w:tcPr>
          <w:p>
            <w:pPr>
              <w:spacing w:after="0"/>
              <w:rPr>
                <w:sz w:val="1"/>
                <w:szCs w:val="1"/>
                <w:color w:val="auto"/>
              </w:rPr>
            </w:pPr>
          </w:p>
        </w:tc>
      </w:tr>
    </w:tbl>
    <w:p>
      <w:pPr>
        <w:spacing w:after="0" w:line="229" w:lineRule="exact"/>
        <w:rPr>
          <w:sz w:val="20"/>
          <w:szCs w:val="20"/>
          <w:color w:val="auto"/>
        </w:rPr>
      </w:pPr>
    </w:p>
    <w:p>
      <w:pPr>
        <w:jc w:val="center"/>
        <w:ind w:right="-399"/>
        <w:spacing w:after="0"/>
        <w:rPr>
          <w:sz w:val="20"/>
          <w:szCs w:val="20"/>
          <w:color w:val="auto"/>
        </w:rPr>
      </w:pPr>
      <w:r>
        <w:rPr>
          <w:rFonts w:ascii="Arial" w:cs="Arial" w:eastAsia="Arial" w:hAnsi="Arial"/>
          <w:sz w:val="18"/>
          <w:szCs w:val="18"/>
          <w:color w:val="auto"/>
        </w:rPr>
        <w:t>The accompanying notes are an integral part of these consolidated financial statements.</w:t>
      </w:r>
    </w:p>
    <w:p>
      <w:pPr>
        <w:spacing w:after="0" w:line="252" w:lineRule="exact"/>
        <w:rPr>
          <w:sz w:val="20"/>
          <w:szCs w:val="20"/>
          <w:color w:val="auto"/>
        </w:rPr>
      </w:pPr>
    </w:p>
    <w:p>
      <w:pPr>
        <w:jc w:val="center"/>
        <w:ind w:right="-399"/>
        <w:spacing w:after="0"/>
        <w:rPr>
          <w:sz w:val="20"/>
          <w:szCs w:val="20"/>
          <w:color w:val="auto"/>
        </w:rPr>
      </w:pPr>
      <w:r>
        <w:rPr>
          <w:rFonts w:ascii="Arial" w:cs="Arial" w:eastAsia="Arial" w:hAnsi="Arial"/>
          <w:sz w:val="18"/>
          <w:szCs w:val="18"/>
          <w:color w:val="auto"/>
        </w:rPr>
        <w:t>5</w:t>
      </w:r>
    </w:p>
    <w:p>
      <w:pPr>
        <w:sectPr>
          <w:pgSz w:w="11900" w:h="16838" w:orient="portrait"/>
          <w:cols w:equalWidth="0" w:num="1">
            <w:col w:w="11020"/>
          </w:cols>
          <w:pgMar w:left="240" w:top="118" w:right="639" w:bottom="1440" w:gutter="0" w:footer="0" w:header="0"/>
        </w:sectPr>
      </w:pPr>
    </w:p>
    <w:bookmarkStart w:id="5" w:name="page6"/>
    <w:bookmarkEnd w:id="5"/>
    <w:p>
      <w:pPr>
        <w:spacing w:after="0"/>
        <w:rPr>
          <w:rFonts w:ascii="Arial" w:cs="Arial" w:eastAsia="Arial" w:hAnsi="Arial"/>
          <w:sz w:val="14"/>
          <w:szCs w:val="14"/>
          <w:b w:val="1"/>
          <w:bCs w:val="1"/>
          <w:u w:val="single" w:color="auto"/>
          <w:color w:val="0000EE"/>
        </w:rPr>
      </w:pPr>
      <w:hyperlink w:anchor="page2">
        <w:r>
          <w:rPr>
            <w:rFonts w:ascii="Arial" w:cs="Arial" w:eastAsia="Arial" w:hAnsi="Arial"/>
            <w:sz w:val="14"/>
            <w:szCs w:val="14"/>
            <w:b w:val="1"/>
            <w:bCs w:val="1"/>
            <w:u w:val="single" w:color="auto"/>
            <w:color w:val="0000EE"/>
          </w:rPr>
          <w:t>Table of Contents</w:t>
        </w:r>
      </w:hyperlink>
    </w:p>
    <w:p>
      <w:pPr>
        <w:spacing w:after="0" w:line="248"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Luna Innovations Incorporated</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Unaudited Consolidated Financial Statements</w:t>
      </w:r>
    </w:p>
    <w:p>
      <w:pPr>
        <w:spacing w:after="0" w:line="247" w:lineRule="exact"/>
        <w:rPr>
          <w:sz w:val="20"/>
          <w:szCs w:val="20"/>
          <w:color w:val="auto"/>
        </w:rPr>
      </w:pPr>
    </w:p>
    <w:p>
      <w:pPr>
        <w:ind w:right="6380" w:firstLine="8"/>
        <w:spacing w:after="0" w:line="407" w:lineRule="auto"/>
        <w:tabs>
          <w:tab w:leader="none" w:pos="666" w:val="left"/>
        </w:tabs>
        <w:numPr>
          <w:ilvl w:val="0"/>
          <w:numId w:val="3"/>
        </w:numPr>
        <w:rPr>
          <w:rFonts w:ascii="Arial" w:cs="Arial" w:eastAsia="Arial" w:hAnsi="Arial"/>
          <w:sz w:val="18"/>
          <w:szCs w:val="18"/>
          <w:b w:val="1"/>
          <w:bCs w:val="1"/>
          <w:color w:val="auto"/>
        </w:rPr>
      </w:pPr>
      <w:r>
        <w:rPr>
          <w:rFonts w:ascii="Arial" w:cs="Arial" w:eastAsia="Arial" w:hAnsi="Arial"/>
          <w:sz w:val="18"/>
          <w:szCs w:val="18"/>
          <w:b w:val="1"/>
          <w:bCs w:val="1"/>
          <w:color w:val="auto"/>
        </w:rPr>
        <w:t>Basis of Presentation and Significant Accounting Policies Nature of Operations</w:t>
      </w:r>
    </w:p>
    <w:p>
      <w:pPr>
        <w:spacing w:after="0" w:line="58" w:lineRule="exact"/>
        <w:rPr>
          <w:sz w:val="20"/>
          <w:szCs w:val="20"/>
          <w:color w:val="auto"/>
        </w:rPr>
      </w:pPr>
    </w:p>
    <w:p>
      <w:pPr>
        <w:ind w:right="80" w:firstLine="432"/>
        <w:spacing w:after="0" w:line="255" w:lineRule="auto"/>
        <w:rPr>
          <w:sz w:val="20"/>
          <w:szCs w:val="20"/>
          <w:color w:val="auto"/>
        </w:rPr>
      </w:pPr>
      <w:r>
        <w:rPr>
          <w:rFonts w:ascii="Arial" w:cs="Arial" w:eastAsia="Arial" w:hAnsi="Arial"/>
          <w:sz w:val="18"/>
          <w:szCs w:val="18"/>
          <w:color w:val="auto"/>
        </w:rPr>
        <w:t>Luna Innovations Incorporated (“we,” “Luna Innovations” or the “Company”), headquartered in Roanoke, Virginia, was incorporated in the Commonwealth of Virginia in 1990 and reincorporated in the State of Delaware in April 2003. We are a leader in advanced optical technology, providing unique capabilities in high performance fiber optic test products for the telecommunications industry and distributed fiber optic sensing for the aerospace and automotive industries. Prior to the sale of our optoelectronics business in July 2018 (See Note 10), we also developed and manufactured custom optoelectronic components and sub-assemblies for various industrial applications. We are organized into two reportable segments, which work closely together to turn ideas into products: our Technology Development segment and our Products and Licensing segment. Our business model is designed to accelerate the process of bringing new and innovative technologies to market.</w:t>
      </w:r>
    </w:p>
    <w:p>
      <w:pPr>
        <w:spacing w:after="0" w:line="29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Unaudited Interim Financial Information</w:t>
      </w:r>
    </w:p>
    <w:p>
      <w:pPr>
        <w:spacing w:after="0" w:line="121" w:lineRule="exact"/>
        <w:rPr>
          <w:sz w:val="20"/>
          <w:szCs w:val="20"/>
          <w:color w:val="auto"/>
        </w:rPr>
      </w:pPr>
    </w:p>
    <w:p>
      <w:pPr>
        <w:ind w:firstLine="432"/>
        <w:spacing w:after="0" w:line="290" w:lineRule="auto"/>
        <w:rPr>
          <w:sz w:val="20"/>
          <w:szCs w:val="20"/>
          <w:color w:val="auto"/>
        </w:rPr>
      </w:pPr>
      <w:r>
        <w:rPr>
          <w:rFonts w:ascii="Arial" w:cs="Arial" w:eastAsia="Arial" w:hAnsi="Arial"/>
          <w:sz w:val="16"/>
          <w:szCs w:val="16"/>
          <w:color w:val="auto"/>
        </w:rPr>
        <w:t>The accompanying unaudited consolidated interim financial statements have been prepared in accordance with accounting principles generally accepted in the United Stated of America (“U.S. GAAP”) for interim financial statements and Article 10 of Regulation S-X of the Securities Exchange Act of 1934, as amended. Accordingly, they do not include all of the information and footnotes required by U.S. GAAP for annual financial statements. The unaudited consolidated interim financial statements have been prepared on the same basis as the annual financial statements and in the opinion of management reflect all adjustments, consisting of only normal recurring accruals considered necessary to present fairly our financial position at June 30, 2018, results of operations for the three and six months ended June 30, 2018 and 2017, and cash flows for the six months ended June 30, 2018 and 2017. The results of operations for the three and six months ended June 30, 2018, are not necessarily indicative of the results that may be expected for the year ending December 31, 2018. The consolidated balance sheet as of December 31, 2017 was derived from our audited consolidated financial statements.</w:t>
      </w:r>
    </w:p>
    <w:p>
      <w:pPr>
        <w:spacing w:after="0" w:line="166" w:lineRule="exact"/>
        <w:rPr>
          <w:sz w:val="20"/>
          <w:szCs w:val="20"/>
          <w:color w:val="auto"/>
        </w:rPr>
      </w:pPr>
    </w:p>
    <w:p>
      <w:pPr>
        <w:ind w:right="260" w:firstLine="432"/>
        <w:spacing w:after="0" w:line="264" w:lineRule="auto"/>
        <w:rPr>
          <w:sz w:val="20"/>
          <w:szCs w:val="20"/>
          <w:color w:val="auto"/>
        </w:rPr>
      </w:pPr>
      <w:r>
        <w:rPr>
          <w:rFonts w:ascii="Arial" w:cs="Arial" w:eastAsia="Arial" w:hAnsi="Arial"/>
          <w:sz w:val="18"/>
          <w:szCs w:val="18"/>
          <w:color w:val="auto"/>
        </w:rPr>
        <w:t>The consolidated interim financial statements, including our significant accounting policies, should be read in conjunction with the audited Consolidated Financial Statements and the notes thereto for the year ended December 31, 2017, included in our Annual Report on Form 10-K as filed with the Securities and Exchange Commission (“SEC”) on March 21, 2018.</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Reclassifications</w:t>
      </w:r>
    </w:p>
    <w:p>
      <w:pPr>
        <w:spacing w:after="0" w:line="229" w:lineRule="exact"/>
        <w:rPr>
          <w:sz w:val="20"/>
          <w:szCs w:val="20"/>
          <w:color w:val="auto"/>
        </w:rPr>
      </w:pPr>
    </w:p>
    <w:p>
      <w:pPr>
        <w:ind w:right="180" w:firstLine="405"/>
        <w:spacing w:after="0" w:line="293" w:lineRule="auto"/>
        <w:rPr>
          <w:sz w:val="20"/>
          <w:szCs w:val="20"/>
          <w:color w:val="auto"/>
        </w:rPr>
      </w:pPr>
      <w:r>
        <w:rPr>
          <w:rFonts w:ascii="Arial" w:cs="Arial" w:eastAsia="Arial" w:hAnsi="Arial"/>
          <w:sz w:val="16"/>
          <w:szCs w:val="16"/>
          <w:color w:val="auto"/>
        </w:rPr>
        <w:t xml:space="preserve">Certain amounts in the prior period have been reclassified to conform to current presentation. As a result of the adoption of Accounting Standards Codification ("ASC") 2014-09, </w:t>
      </w:r>
      <w:r>
        <w:rPr>
          <w:rFonts w:ascii="Arial" w:cs="Arial" w:eastAsia="Arial" w:hAnsi="Arial"/>
          <w:sz w:val="16"/>
          <w:szCs w:val="16"/>
          <w:i w:val="1"/>
          <w:iCs w:val="1"/>
          <w:color w:val="auto"/>
        </w:rPr>
        <w:t>Revenue from Contracts with Customers</w:t>
      </w:r>
      <w:r>
        <w:rPr>
          <w:rFonts w:ascii="Arial" w:cs="Arial" w:eastAsia="Arial" w:hAnsi="Arial"/>
          <w:sz w:val="16"/>
          <w:szCs w:val="16"/>
          <w:color w:val="auto"/>
        </w:rPr>
        <w:t xml:space="preserve"> (Topic 606), we presented balances entitled contract assets and contract liabilities within the consolidated balance sheet as well as the impact of the changes in these balances within the consolidated statement of cash flows. We reclassified comparable balances within the December 31, 2017 consolidated balance sheet as well as the impact of changes in those balances within the consolidated statement of cash flows in order to enhance comparability. These reclassifications had no effect on our reported financial condition, results of operations, or cash flows. Any other reclassifications were immaterial to the consolidated interim financial statements taken as a whole.</w:t>
      </w:r>
    </w:p>
    <w:p>
      <w:pPr>
        <w:spacing w:after="0" w:line="26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Fair Value Measurements</w:t>
      </w:r>
    </w:p>
    <w:p>
      <w:pPr>
        <w:spacing w:after="0" w:line="121" w:lineRule="exact"/>
        <w:rPr>
          <w:sz w:val="20"/>
          <w:szCs w:val="20"/>
          <w:color w:val="auto"/>
        </w:rPr>
      </w:pPr>
    </w:p>
    <w:p>
      <w:pPr>
        <w:ind w:right="120" w:firstLine="432"/>
        <w:spacing w:after="0" w:line="264" w:lineRule="auto"/>
        <w:rPr>
          <w:sz w:val="20"/>
          <w:szCs w:val="20"/>
          <w:color w:val="auto"/>
        </w:rPr>
      </w:pPr>
      <w:r>
        <w:rPr>
          <w:rFonts w:ascii="Arial" w:cs="Arial" w:eastAsia="Arial" w:hAnsi="Arial"/>
          <w:sz w:val="18"/>
          <w:szCs w:val="18"/>
          <w:color w:val="auto"/>
        </w:rPr>
        <w:t>Fair value is defined as the price that would be received to sell an asset or paid to transfer a liability in the principal or most advantageous market in an orderly transaction between marketplace participants. Various valuation approaches can be used to determine fair value, each requiring different valuation inputs. The following hierarchy classifies the inputs used to determine fair value into three levels:</w:t>
      </w:r>
    </w:p>
    <w:p>
      <w:pPr>
        <w:spacing w:after="0" w:line="87" w:lineRule="exact"/>
        <w:rPr>
          <w:sz w:val="20"/>
          <w:szCs w:val="20"/>
          <w:color w:val="auto"/>
        </w:rPr>
      </w:pPr>
    </w:p>
    <w:p>
      <w:pPr>
        <w:ind w:left="500" w:hanging="330"/>
        <w:spacing w:after="0"/>
        <w:tabs>
          <w:tab w:leader="none" w:pos="500" w:val="left"/>
        </w:tabs>
        <w:numPr>
          <w:ilvl w:val="0"/>
          <w:numId w:val="4"/>
        </w:numPr>
        <w:rPr>
          <w:rFonts w:ascii="Arial" w:cs="Arial" w:eastAsia="Arial" w:hAnsi="Arial"/>
          <w:sz w:val="18"/>
          <w:szCs w:val="18"/>
          <w:color w:val="auto"/>
        </w:rPr>
      </w:pPr>
      <w:r>
        <w:rPr>
          <w:rFonts w:ascii="Arial" w:cs="Arial" w:eastAsia="Arial" w:hAnsi="Arial"/>
          <w:sz w:val="18"/>
          <w:szCs w:val="18"/>
          <w:color w:val="auto"/>
        </w:rPr>
        <w:t>Level 1—Quoted prices for identical instruments in active markets</w:t>
      </w:r>
    </w:p>
    <w:p>
      <w:pPr>
        <w:spacing w:after="0" w:line="23" w:lineRule="exact"/>
        <w:rPr>
          <w:rFonts w:ascii="Arial" w:cs="Arial" w:eastAsia="Arial" w:hAnsi="Arial"/>
          <w:sz w:val="18"/>
          <w:szCs w:val="18"/>
          <w:color w:val="auto"/>
        </w:rPr>
      </w:pPr>
    </w:p>
    <w:p>
      <w:pPr>
        <w:ind w:left="500" w:right="160" w:hanging="330"/>
        <w:spacing w:after="0" w:line="250" w:lineRule="auto"/>
        <w:tabs>
          <w:tab w:leader="none" w:pos="500" w:val="left"/>
        </w:tabs>
        <w:numPr>
          <w:ilvl w:val="0"/>
          <w:numId w:val="4"/>
        </w:numPr>
        <w:rPr>
          <w:rFonts w:ascii="Arial" w:cs="Arial" w:eastAsia="Arial" w:hAnsi="Arial"/>
          <w:sz w:val="18"/>
          <w:szCs w:val="18"/>
          <w:color w:val="auto"/>
        </w:rPr>
      </w:pPr>
      <w:r>
        <w:rPr>
          <w:rFonts w:ascii="Arial" w:cs="Arial" w:eastAsia="Arial" w:hAnsi="Arial"/>
          <w:sz w:val="18"/>
          <w:szCs w:val="18"/>
          <w:color w:val="auto"/>
        </w:rPr>
        <w:t>Level 2—Quoted prices for similar instruments in active markets, quoted prices for identical or similar instruments in markets that are not active, and model-derived valuations in which all significant inputs and significant value drivers are observable in active markets</w:t>
      </w:r>
    </w:p>
    <w:p>
      <w:pPr>
        <w:ind w:left="500" w:hanging="330"/>
        <w:spacing w:after="0"/>
        <w:tabs>
          <w:tab w:leader="none" w:pos="500" w:val="left"/>
        </w:tabs>
        <w:numPr>
          <w:ilvl w:val="0"/>
          <w:numId w:val="4"/>
        </w:numPr>
        <w:rPr>
          <w:rFonts w:ascii="Arial" w:cs="Arial" w:eastAsia="Arial" w:hAnsi="Arial"/>
          <w:sz w:val="17"/>
          <w:szCs w:val="17"/>
          <w:color w:val="auto"/>
        </w:rPr>
      </w:pPr>
      <w:r>
        <w:rPr>
          <w:rFonts w:ascii="Arial" w:cs="Arial" w:eastAsia="Arial" w:hAnsi="Arial"/>
          <w:sz w:val="17"/>
          <w:szCs w:val="17"/>
          <w:color w:val="auto"/>
        </w:rPr>
        <w:t>Level 3—Valuations derived from valuation techniques in which one or more significant inputs or significant value drivers are unobservable</w:t>
      </w:r>
    </w:p>
    <w:p>
      <w:pPr>
        <w:spacing w:after="0" w:line="222" w:lineRule="exact"/>
        <w:rPr>
          <w:sz w:val="20"/>
          <w:szCs w:val="20"/>
          <w:color w:val="auto"/>
        </w:rPr>
      </w:pPr>
    </w:p>
    <w:p>
      <w:pPr>
        <w:ind w:right="140" w:firstLine="432"/>
        <w:spacing w:after="0" w:line="277" w:lineRule="auto"/>
        <w:rPr>
          <w:sz w:val="20"/>
          <w:szCs w:val="20"/>
          <w:color w:val="auto"/>
        </w:rPr>
      </w:pPr>
      <w:r>
        <w:rPr>
          <w:rFonts w:ascii="Arial" w:cs="Arial" w:eastAsia="Arial" w:hAnsi="Arial"/>
          <w:sz w:val="18"/>
          <w:szCs w:val="18"/>
          <w:color w:val="auto"/>
        </w:rPr>
        <w:t>The carrying values of cash and cash equivalents, accounts receivable and accounts payable approximate fair value because of the short-term nature of these instruments. The carrying value of our debt approximates fair value, as we consider the floating interest</w:t>
      </w:r>
    </w:p>
    <w:p>
      <w:pPr>
        <w:spacing w:after="0" w:line="19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w:t>
      </w:r>
    </w:p>
    <w:p>
      <w:pPr>
        <w:sectPr>
          <w:pgSz w:w="11900" w:h="16838" w:orient="portrait"/>
          <w:cols w:equalWidth="0" w:num="1">
            <w:col w:w="11420"/>
          </w:cols>
          <w:pgMar w:left="240" w:top="118" w:right="239" w:bottom="1440" w:gutter="0" w:footer="0" w:header="0"/>
        </w:sectPr>
      </w:pPr>
    </w:p>
    <w:bookmarkStart w:id="6" w:name="page7"/>
    <w:bookmarkEnd w:id="6"/>
    <w:p>
      <w:pPr>
        <w:spacing w:after="0"/>
        <w:rPr>
          <w:rFonts w:ascii="Arial" w:cs="Arial" w:eastAsia="Arial" w:hAnsi="Arial"/>
          <w:sz w:val="14"/>
          <w:szCs w:val="14"/>
          <w:b w:val="1"/>
          <w:bCs w:val="1"/>
          <w:u w:val="single" w:color="auto"/>
          <w:color w:val="0000EE"/>
        </w:rPr>
      </w:pPr>
      <w:hyperlink w:anchor="page2">
        <w:r>
          <w:rPr>
            <w:rFonts w:ascii="Arial" w:cs="Arial" w:eastAsia="Arial" w:hAnsi="Arial"/>
            <w:sz w:val="14"/>
            <w:szCs w:val="14"/>
            <w:b w:val="1"/>
            <w:bCs w:val="1"/>
            <w:u w:val="single" w:color="auto"/>
            <w:color w:val="0000EE"/>
          </w:rPr>
          <w:t>Table of Contents</w:t>
        </w:r>
      </w:hyperlink>
    </w:p>
    <w:p>
      <w:pPr>
        <w:spacing w:after="0" w:line="200" w:lineRule="exact"/>
        <w:rPr>
          <w:sz w:val="20"/>
          <w:szCs w:val="20"/>
          <w:color w:val="auto"/>
        </w:rPr>
      </w:pPr>
    </w:p>
    <w:p>
      <w:pPr>
        <w:spacing w:after="0" w:line="268" w:lineRule="exact"/>
        <w:rPr>
          <w:sz w:val="20"/>
          <w:szCs w:val="20"/>
          <w:color w:val="auto"/>
        </w:rPr>
      </w:pPr>
    </w:p>
    <w:p>
      <w:pPr>
        <w:ind w:right="80"/>
        <w:spacing w:after="0" w:line="257" w:lineRule="auto"/>
        <w:rPr>
          <w:sz w:val="20"/>
          <w:szCs w:val="20"/>
          <w:color w:val="auto"/>
        </w:rPr>
      </w:pPr>
      <w:r>
        <w:rPr>
          <w:rFonts w:ascii="Arial" w:cs="Arial" w:eastAsia="Arial" w:hAnsi="Arial"/>
          <w:sz w:val="18"/>
          <w:szCs w:val="18"/>
          <w:color w:val="auto"/>
        </w:rPr>
        <w:t>rate on our credit facilities with Silicon Valley Bank ("SVB") to be at market for similar instruments. Certain non-financial assets and liabilities are measured at fair value on a nonrecurring basis in accordance with U.S. GAAP. This includes items such as non-financial assets and liabilities initially measured at fair value in a business combination and non-financial long-lived asset groups measured at fair value for an impairment assessment. In general, non-financial assets including intangible assets and property and equipment are measured at fair value when there is an indication of impairment and are recorded at fair value only when any impairment is recognized.</w:t>
      </w:r>
    </w:p>
    <w:p>
      <w:pPr>
        <w:spacing w:after="0" w:line="29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Net Income/(Loss) Per Share</w:t>
      </w:r>
    </w:p>
    <w:p>
      <w:pPr>
        <w:spacing w:after="0" w:line="121" w:lineRule="exact"/>
        <w:rPr>
          <w:sz w:val="20"/>
          <w:szCs w:val="20"/>
          <w:color w:val="auto"/>
        </w:rPr>
      </w:pPr>
    </w:p>
    <w:p>
      <w:pPr>
        <w:ind w:right="20" w:firstLine="432"/>
        <w:spacing w:after="0" w:line="257" w:lineRule="auto"/>
        <w:rPr>
          <w:sz w:val="20"/>
          <w:szCs w:val="20"/>
          <w:color w:val="auto"/>
        </w:rPr>
      </w:pPr>
      <w:r>
        <w:rPr>
          <w:rFonts w:ascii="Arial" w:cs="Arial" w:eastAsia="Arial" w:hAnsi="Arial"/>
          <w:sz w:val="18"/>
          <w:szCs w:val="18"/>
          <w:color w:val="auto"/>
        </w:rPr>
        <w:t>Basic per share data is computed by dividing our net income/(loss) by the weighted average number of shares outstanding during the period. Diluted per share data is computed by dividing net income/(loss), if applicable, by the weighted average shares outstanding during the period increased to include, if dilutive, the number of additional common share equivalents that would have been outstanding if potential shares of common stock had been issued using the treasury stock method. Diluted per share data would also include the potential common share equivalents relating to convertible securities by application of the if-converted method.</w:t>
      </w:r>
    </w:p>
    <w:p>
      <w:pPr>
        <w:spacing w:after="0" w:line="80" w:lineRule="exact"/>
        <w:rPr>
          <w:sz w:val="20"/>
          <w:szCs w:val="20"/>
          <w:color w:val="auto"/>
        </w:rPr>
      </w:pPr>
    </w:p>
    <w:p>
      <w:pPr>
        <w:ind w:firstLine="432"/>
        <w:spacing w:after="0" w:line="279" w:lineRule="auto"/>
        <w:rPr>
          <w:sz w:val="20"/>
          <w:szCs w:val="20"/>
          <w:color w:val="auto"/>
        </w:rPr>
      </w:pPr>
      <w:r>
        <w:rPr>
          <w:rFonts w:ascii="Arial" w:cs="Arial" w:eastAsia="Arial" w:hAnsi="Arial"/>
          <w:sz w:val="17"/>
          <w:szCs w:val="17"/>
          <w:color w:val="auto"/>
        </w:rPr>
        <w:t>The effect of 4.0 million and 5.0 million common stock equivalents (which include outstanding warrants, preferred stock and stock options) are included for the diluted per share data for the three months ended June 30, 2018 and 2017, respectively. The effect of 3.9 million common stock equivalents are included for the diluted per share data for the six months ended June 30, 2018. The effect of 4.6 million common stock equivalents are not included for the six months ended June 30, 2017, as they are anti-dilutive to earnings per share due to our net loss from continuing operations.</w:t>
      </w:r>
    </w:p>
    <w:p>
      <w:pPr>
        <w:spacing w:after="0" w:line="27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Recently Issued Accounting Pronouncements</w:t>
      </w:r>
    </w:p>
    <w:p>
      <w:pPr>
        <w:spacing w:after="0" w:line="229" w:lineRule="exact"/>
        <w:rPr>
          <w:sz w:val="20"/>
          <w:szCs w:val="20"/>
          <w:color w:val="auto"/>
        </w:rPr>
      </w:pPr>
    </w:p>
    <w:p>
      <w:pPr>
        <w:ind w:right="40" w:firstLine="405"/>
        <w:spacing w:after="0" w:line="255" w:lineRule="auto"/>
        <w:rPr>
          <w:sz w:val="20"/>
          <w:szCs w:val="20"/>
          <w:color w:val="auto"/>
        </w:rPr>
      </w:pPr>
      <w:r>
        <w:rPr>
          <w:rFonts w:ascii="Arial" w:cs="Arial" w:eastAsia="Arial" w:hAnsi="Arial"/>
          <w:sz w:val="18"/>
          <w:szCs w:val="18"/>
          <w:color w:val="auto"/>
        </w:rPr>
        <w:t xml:space="preserve">Effective January 1, 2018, we adopted </w:t>
      </w:r>
      <w:r>
        <w:rPr>
          <w:rFonts w:ascii="Arial" w:cs="Arial" w:eastAsia="Arial" w:hAnsi="Arial"/>
          <w:sz w:val="18"/>
          <w:szCs w:val="18"/>
          <w:i w:val="1"/>
          <w:iCs w:val="1"/>
          <w:color w:val="auto"/>
        </w:rPr>
        <w:t>Revenue from Contracts with Customers</w:t>
      </w:r>
      <w:r>
        <w:rPr>
          <w:rFonts w:ascii="Arial" w:cs="Arial" w:eastAsia="Arial" w:hAnsi="Arial"/>
          <w:sz w:val="18"/>
          <w:szCs w:val="18"/>
          <w:color w:val="auto"/>
        </w:rPr>
        <w:t xml:space="preserve"> (Topic 606), using the modified retrospective transition method. Under the modified retrospective approach, we apply the standards to new contracts and those that were not completed as of January 1, 2018. For those contracts not completed as of January 1, 2018, this method resulted in a cumulative adjustment to decrease the accumulated deficit in the net amount of $0.4 million. Prior periods will not be retrospectively adjusted, but we will maintain dual reporting for the year of initial application in order to maintain comparability of the periods presented. The cumulative effect of the changes made to our January 1, 2018 unaudited consolidated balance sheet for the adoption of Topic 606 was as follows:</w:t>
      </w:r>
    </w:p>
    <w:p>
      <w:pPr>
        <w:spacing w:after="0" w:line="355" w:lineRule="exact"/>
        <w:rPr>
          <w:sz w:val="20"/>
          <w:szCs w:val="20"/>
          <w:color w:val="auto"/>
        </w:rPr>
      </w:pPr>
    </w:p>
    <w:tbl>
      <w:tblPr>
        <w:tblLayout w:type="fixed"/>
        <w:tblInd w:w="1060" w:type="dxa"/>
        <w:tblCellMar>
          <w:top w:w="0" w:type="dxa"/>
          <w:left w:w="0" w:type="dxa"/>
          <w:bottom w:w="0" w:type="dxa"/>
          <w:right w:w="0" w:type="dxa"/>
        </w:tblCellMar>
      </w:tblPr>
      <w:tr>
        <w:trPr>
          <w:trHeight w:val="230"/>
        </w:trPr>
        <w:tc>
          <w:tcPr>
            <w:tcW w:w="33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880" w:type="dxa"/>
            <w:vAlign w:val="bottom"/>
            <w:gridSpan w:val="2"/>
          </w:tcPr>
          <w:p>
            <w:pPr>
              <w:jc w:val="center"/>
              <w:ind w:right="360"/>
              <w:spacing w:after="0"/>
              <w:rPr>
                <w:sz w:val="20"/>
                <w:szCs w:val="20"/>
                <w:color w:val="auto"/>
              </w:rPr>
            </w:pPr>
            <w:r>
              <w:rPr>
                <w:rFonts w:ascii="Arial" w:cs="Arial" w:eastAsia="Arial" w:hAnsi="Arial"/>
                <w:sz w:val="18"/>
                <w:szCs w:val="18"/>
                <w:color w:val="auto"/>
                <w:w w:val="89"/>
              </w:rPr>
              <w:t>Balance at</w:t>
            </w:r>
          </w:p>
        </w:tc>
        <w:tc>
          <w:tcPr>
            <w:tcW w:w="260" w:type="dxa"/>
            <w:vAlign w:val="bottom"/>
          </w:tcPr>
          <w:p>
            <w:pPr>
              <w:spacing w:after="0"/>
              <w:rPr>
                <w:sz w:val="20"/>
                <w:szCs w:val="20"/>
                <w:color w:val="auto"/>
              </w:rPr>
            </w:pPr>
          </w:p>
        </w:tc>
        <w:tc>
          <w:tcPr>
            <w:tcW w:w="1800" w:type="dxa"/>
            <w:vAlign w:val="bottom"/>
            <w:gridSpan w:val="2"/>
          </w:tcPr>
          <w:p>
            <w:pPr>
              <w:jc w:val="center"/>
              <w:ind w:right="440"/>
              <w:spacing w:after="0"/>
              <w:rPr>
                <w:sz w:val="20"/>
                <w:szCs w:val="20"/>
                <w:color w:val="auto"/>
              </w:rPr>
            </w:pPr>
            <w:r>
              <w:rPr>
                <w:rFonts w:ascii="Arial" w:cs="Arial" w:eastAsia="Arial" w:hAnsi="Arial"/>
                <w:sz w:val="18"/>
                <w:szCs w:val="18"/>
                <w:color w:val="auto"/>
                <w:w w:val="93"/>
              </w:rPr>
              <w:t>Adjustment for</w:t>
            </w:r>
          </w:p>
        </w:tc>
        <w:tc>
          <w:tcPr>
            <w:tcW w:w="180" w:type="dxa"/>
            <w:vAlign w:val="bottom"/>
          </w:tcPr>
          <w:p>
            <w:pPr>
              <w:spacing w:after="0"/>
              <w:rPr>
                <w:sz w:val="20"/>
                <w:szCs w:val="20"/>
                <w:color w:val="auto"/>
              </w:rPr>
            </w:pPr>
          </w:p>
        </w:tc>
        <w:tc>
          <w:tcPr>
            <w:tcW w:w="1720" w:type="dxa"/>
            <w:vAlign w:val="bottom"/>
          </w:tcPr>
          <w:p>
            <w:pPr>
              <w:jc w:val="right"/>
              <w:ind w:right="150"/>
              <w:spacing w:after="0"/>
              <w:rPr>
                <w:sz w:val="20"/>
                <w:szCs w:val="20"/>
                <w:color w:val="auto"/>
              </w:rPr>
            </w:pPr>
            <w:r>
              <w:rPr>
                <w:rFonts w:ascii="Arial" w:cs="Arial" w:eastAsia="Arial" w:hAnsi="Arial"/>
                <w:sz w:val="18"/>
                <w:szCs w:val="18"/>
                <w:color w:val="auto"/>
                <w:w w:val="92"/>
              </w:rPr>
              <w:t>Adjusted balance at</w:t>
            </w:r>
          </w:p>
        </w:tc>
      </w:tr>
      <w:tr>
        <w:trPr>
          <w:trHeight w:val="270"/>
        </w:trPr>
        <w:tc>
          <w:tcPr>
            <w:tcW w:w="3320" w:type="dxa"/>
            <w:vAlign w:val="bottom"/>
          </w:tcPr>
          <w:p>
            <w:pPr>
              <w:spacing w:after="0"/>
              <w:rPr>
                <w:sz w:val="23"/>
                <w:szCs w:val="23"/>
                <w:color w:val="auto"/>
              </w:rPr>
            </w:pPr>
          </w:p>
        </w:tc>
        <w:tc>
          <w:tcPr>
            <w:tcW w:w="160" w:type="dxa"/>
            <w:vAlign w:val="bottom"/>
          </w:tcPr>
          <w:p>
            <w:pPr>
              <w:spacing w:after="0"/>
              <w:rPr>
                <w:sz w:val="23"/>
                <w:szCs w:val="23"/>
                <w:color w:val="auto"/>
              </w:rPr>
            </w:pPr>
          </w:p>
        </w:tc>
        <w:tc>
          <w:tcPr>
            <w:tcW w:w="1880" w:type="dxa"/>
            <w:vAlign w:val="bottom"/>
            <w:gridSpan w:val="2"/>
          </w:tcPr>
          <w:p>
            <w:pPr>
              <w:jc w:val="center"/>
              <w:ind w:right="360"/>
              <w:spacing w:after="0"/>
              <w:rPr>
                <w:sz w:val="20"/>
                <w:szCs w:val="20"/>
                <w:color w:val="auto"/>
              </w:rPr>
            </w:pPr>
            <w:r>
              <w:rPr>
                <w:rFonts w:ascii="Arial" w:cs="Arial" w:eastAsia="Arial" w:hAnsi="Arial"/>
                <w:sz w:val="18"/>
                <w:szCs w:val="18"/>
                <w:color w:val="auto"/>
                <w:w w:val="88"/>
              </w:rPr>
              <w:t>December 31, 2017</w:t>
            </w:r>
          </w:p>
        </w:tc>
        <w:tc>
          <w:tcPr>
            <w:tcW w:w="260" w:type="dxa"/>
            <w:vAlign w:val="bottom"/>
          </w:tcPr>
          <w:p>
            <w:pPr>
              <w:spacing w:after="0"/>
              <w:rPr>
                <w:sz w:val="23"/>
                <w:szCs w:val="23"/>
                <w:color w:val="auto"/>
              </w:rPr>
            </w:pPr>
          </w:p>
        </w:tc>
        <w:tc>
          <w:tcPr>
            <w:tcW w:w="1800" w:type="dxa"/>
            <w:vAlign w:val="bottom"/>
            <w:gridSpan w:val="2"/>
          </w:tcPr>
          <w:p>
            <w:pPr>
              <w:jc w:val="center"/>
              <w:ind w:right="440"/>
              <w:spacing w:after="0"/>
              <w:rPr>
                <w:sz w:val="20"/>
                <w:szCs w:val="20"/>
                <w:color w:val="auto"/>
              </w:rPr>
            </w:pPr>
            <w:r>
              <w:rPr>
                <w:rFonts w:ascii="Arial" w:cs="Arial" w:eastAsia="Arial" w:hAnsi="Arial"/>
                <w:sz w:val="18"/>
                <w:szCs w:val="18"/>
                <w:color w:val="auto"/>
                <w:w w:val="91"/>
              </w:rPr>
              <w:t>Topic 606</w:t>
            </w:r>
          </w:p>
        </w:tc>
        <w:tc>
          <w:tcPr>
            <w:tcW w:w="180" w:type="dxa"/>
            <w:vAlign w:val="bottom"/>
          </w:tcPr>
          <w:p>
            <w:pPr>
              <w:spacing w:after="0"/>
              <w:rPr>
                <w:sz w:val="23"/>
                <w:szCs w:val="23"/>
                <w:color w:val="auto"/>
              </w:rPr>
            </w:pPr>
          </w:p>
        </w:tc>
        <w:tc>
          <w:tcPr>
            <w:tcW w:w="1720" w:type="dxa"/>
            <w:vAlign w:val="bottom"/>
          </w:tcPr>
          <w:p>
            <w:pPr>
              <w:jc w:val="right"/>
              <w:ind w:right="290"/>
              <w:spacing w:after="0"/>
              <w:rPr>
                <w:sz w:val="20"/>
                <w:szCs w:val="20"/>
                <w:color w:val="auto"/>
              </w:rPr>
            </w:pPr>
            <w:r>
              <w:rPr>
                <w:rFonts w:ascii="Arial" w:cs="Arial" w:eastAsia="Arial" w:hAnsi="Arial"/>
                <w:sz w:val="18"/>
                <w:szCs w:val="18"/>
                <w:color w:val="auto"/>
              </w:rPr>
              <w:t>January 1, 2018</w:t>
            </w:r>
          </w:p>
        </w:tc>
      </w:tr>
      <w:tr>
        <w:trPr>
          <w:trHeight w:val="27"/>
        </w:trPr>
        <w:tc>
          <w:tcPr>
            <w:tcW w:w="332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700" w:type="dxa"/>
            <w:vAlign w:val="bottom"/>
            <w:tcBorders>
              <w:bottom w:val="single" w:sz="8" w:color="auto"/>
            </w:tcBorders>
          </w:tcPr>
          <w:p>
            <w:pPr>
              <w:spacing w:after="0"/>
              <w:rPr>
                <w:sz w:val="2"/>
                <w:szCs w:val="2"/>
                <w:color w:val="auto"/>
              </w:rPr>
            </w:pPr>
          </w:p>
        </w:tc>
        <w:tc>
          <w:tcPr>
            <w:tcW w:w="18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640" w:type="dxa"/>
            <w:vAlign w:val="bottom"/>
            <w:tcBorders>
              <w:bottom w:val="single" w:sz="8" w:color="auto"/>
            </w:tcBorders>
          </w:tcPr>
          <w:p>
            <w:pPr>
              <w:spacing w:after="0"/>
              <w:rPr>
                <w:sz w:val="2"/>
                <w:szCs w:val="2"/>
                <w:color w:val="auto"/>
              </w:rPr>
            </w:pPr>
          </w:p>
        </w:tc>
        <w:tc>
          <w:tcPr>
            <w:tcW w:w="16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720" w:type="dxa"/>
            <w:vAlign w:val="bottom"/>
            <w:tcBorders>
              <w:bottom w:val="single" w:sz="8" w:color="auto"/>
            </w:tcBorders>
          </w:tcPr>
          <w:p>
            <w:pPr>
              <w:spacing w:after="0"/>
              <w:rPr>
                <w:sz w:val="2"/>
                <w:szCs w:val="2"/>
                <w:color w:val="auto"/>
              </w:rPr>
            </w:pPr>
          </w:p>
        </w:tc>
      </w:tr>
      <w:tr>
        <w:trPr>
          <w:trHeight w:val="244"/>
        </w:trPr>
        <w:tc>
          <w:tcPr>
            <w:tcW w:w="33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b w:val="1"/>
                <w:bCs w:val="1"/>
                <w:color w:val="auto"/>
              </w:rPr>
              <w:t>Assets:</w:t>
            </w:r>
          </w:p>
        </w:tc>
        <w:tc>
          <w:tcPr>
            <w:tcW w:w="160" w:type="dxa"/>
            <w:vAlign w:val="bottom"/>
            <w:tcBorders>
              <w:bottom w:val="single" w:sz="8" w:color="CCEEFF"/>
            </w:tcBorders>
            <w:shd w:val="clear" w:color="auto" w:fill="CCEEFF"/>
          </w:tcPr>
          <w:p>
            <w:pPr>
              <w:spacing w:after="0"/>
              <w:rPr>
                <w:sz w:val="21"/>
                <w:szCs w:val="21"/>
                <w:color w:val="auto"/>
              </w:rPr>
            </w:pPr>
          </w:p>
        </w:tc>
        <w:tc>
          <w:tcPr>
            <w:tcW w:w="17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164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720" w:type="dxa"/>
            <w:vAlign w:val="bottom"/>
            <w:tcBorders>
              <w:bottom w:val="single" w:sz="8" w:color="CCEEFF"/>
            </w:tcBorders>
            <w:shd w:val="clear" w:color="auto" w:fill="CCEEFF"/>
          </w:tcPr>
          <w:p>
            <w:pPr>
              <w:spacing w:after="0"/>
              <w:rPr>
                <w:sz w:val="21"/>
                <w:szCs w:val="21"/>
                <w:color w:val="auto"/>
              </w:rPr>
            </w:pPr>
          </w:p>
        </w:tc>
      </w:tr>
      <w:tr>
        <w:trPr>
          <w:trHeight w:val="243"/>
        </w:trPr>
        <w:tc>
          <w:tcPr>
            <w:tcW w:w="3320" w:type="dxa"/>
            <w:vAlign w:val="bottom"/>
          </w:tcPr>
          <w:p>
            <w:pPr>
              <w:ind w:left="20"/>
              <w:spacing w:after="0"/>
              <w:rPr>
                <w:sz w:val="20"/>
                <w:szCs w:val="20"/>
                <w:color w:val="auto"/>
              </w:rPr>
            </w:pPr>
            <w:r>
              <w:rPr>
                <w:rFonts w:ascii="Arial" w:cs="Arial" w:eastAsia="Arial" w:hAnsi="Arial"/>
                <w:sz w:val="18"/>
                <w:szCs w:val="18"/>
                <w:color w:val="auto"/>
              </w:rPr>
              <w:t>Contract assets</w:t>
            </w:r>
          </w:p>
        </w:tc>
        <w:tc>
          <w:tcPr>
            <w:tcW w:w="16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700" w:type="dxa"/>
            <w:vAlign w:val="bottom"/>
          </w:tcPr>
          <w:p>
            <w:pPr>
              <w:jc w:val="right"/>
              <w:ind w:right="10"/>
              <w:spacing w:after="0"/>
              <w:rPr>
                <w:sz w:val="20"/>
                <w:szCs w:val="20"/>
                <w:color w:val="auto"/>
              </w:rPr>
            </w:pPr>
            <w:r>
              <w:rPr>
                <w:rFonts w:ascii="Arial" w:cs="Arial" w:eastAsia="Arial" w:hAnsi="Arial"/>
                <w:sz w:val="18"/>
                <w:szCs w:val="18"/>
                <w:color w:val="auto"/>
              </w:rPr>
              <w:t>1,778,142</w:t>
            </w:r>
          </w:p>
        </w:tc>
        <w:tc>
          <w:tcPr>
            <w:tcW w:w="180" w:type="dxa"/>
            <w:vAlign w:val="bottom"/>
          </w:tcPr>
          <w:p>
            <w:pPr>
              <w:spacing w:after="0"/>
              <w:rPr>
                <w:sz w:val="21"/>
                <w:szCs w:val="21"/>
                <w:color w:val="auto"/>
              </w:rPr>
            </w:pPr>
          </w:p>
        </w:tc>
        <w:tc>
          <w:tcPr>
            <w:tcW w:w="260" w:type="dxa"/>
            <w:vAlign w:val="bottom"/>
          </w:tcPr>
          <w:p>
            <w:pPr>
              <w:jc w:val="right"/>
              <w:ind w:right="50"/>
              <w:spacing w:after="0"/>
              <w:rPr>
                <w:sz w:val="20"/>
                <w:szCs w:val="20"/>
                <w:color w:val="auto"/>
              </w:rPr>
            </w:pPr>
            <w:r>
              <w:rPr>
                <w:rFonts w:ascii="Arial" w:cs="Arial" w:eastAsia="Arial" w:hAnsi="Arial"/>
                <w:sz w:val="18"/>
                <w:szCs w:val="18"/>
                <w:color w:val="auto"/>
                <w:w w:val="99"/>
              </w:rPr>
              <w:t>$</w:t>
            </w:r>
          </w:p>
        </w:tc>
        <w:tc>
          <w:tcPr>
            <w:tcW w:w="1640" w:type="dxa"/>
            <w:vAlign w:val="bottom"/>
          </w:tcPr>
          <w:p>
            <w:pPr>
              <w:jc w:val="right"/>
              <w:ind w:right="10"/>
              <w:spacing w:after="0"/>
              <w:rPr>
                <w:sz w:val="20"/>
                <w:szCs w:val="20"/>
                <w:color w:val="auto"/>
              </w:rPr>
            </w:pPr>
            <w:r>
              <w:rPr>
                <w:rFonts w:ascii="Arial" w:cs="Arial" w:eastAsia="Arial" w:hAnsi="Arial"/>
                <w:sz w:val="18"/>
                <w:szCs w:val="18"/>
                <w:color w:val="auto"/>
              </w:rPr>
              <w:t>906,197</w:t>
            </w:r>
          </w:p>
        </w:tc>
        <w:tc>
          <w:tcPr>
            <w:tcW w:w="160" w:type="dxa"/>
            <w:vAlign w:val="bottom"/>
          </w:tcPr>
          <w:p>
            <w:pPr>
              <w:spacing w:after="0"/>
              <w:rPr>
                <w:sz w:val="21"/>
                <w:szCs w:val="21"/>
                <w:color w:val="auto"/>
              </w:rPr>
            </w:pPr>
          </w:p>
        </w:tc>
        <w:tc>
          <w:tcPr>
            <w:tcW w:w="18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720" w:type="dxa"/>
            <w:vAlign w:val="bottom"/>
          </w:tcPr>
          <w:p>
            <w:pPr>
              <w:jc w:val="right"/>
              <w:ind w:right="10"/>
              <w:spacing w:after="0"/>
              <w:rPr>
                <w:sz w:val="20"/>
                <w:szCs w:val="20"/>
                <w:color w:val="auto"/>
              </w:rPr>
            </w:pPr>
            <w:r>
              <w:rPr>
                <w:rFonts w:ascii="Arial" w:cs="Arial" w:eastAsia="Arial" w:hAnsi="Arial"/>
                <w:sz w:val="18"/>
                <w:szCs w:val="18"/>
                <w:color w:val="auto"/>
              </w:rPr>
              <w:t>2,684,339</w:t>
            </w:r>
          </w:p>
        </w:tc>
      </w:tr>
      <w:tr>
        <w:trPr>
          <w:trHeight w:val="27"/>
        </w:trPr>
        <w:tc>
          <w:tcPr>
            <w:tcW w:w="33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700" w:type="dxa"/>
            <w:vAlign w:val="bottom"/>
          </w:tcPr>
          <w:p>
            <w:pPr>
              <w:spacing w:after="0"/>
              <w:rPr>
                <w:sz w:val="2"/>
                <w:szCs w:val="2"/>
                <w:color w:val="auto"/>
              </w:rPr>
            </w:pPr>
          </w:p>
        </w:tc>
        <w:tc>
          <w:tcPr>
            <w:tcW w:w="180" w:type="dxa"/>
            <w:vAlign w:val="bottom"/>
          </w:tcPr>
          <w:p>
            <w:pPr>
              <w:spacing w:after="0"/>
              <w:rPr>
                <w:sz w:val="2"/>
                <w:szCs w:val="2"/>
                <w:color w:val="auto"/>
              </w:rPr>
            </w:pPr>
          </w:p>
        </w:tc>
        <w:tc>
          <w:tcPr>
            <w:tcW w:w="260" w:type="dxa"/>
            <w:vAlign w:val="bottom"/>
          </w:tcPr>
          <w:p>
            <w:pPr>
              <w:spacing w:after="0"/>
              <w:rPr>
                <w:sz w:val="2"/>
                <w:szCs w:val="2"/>
                <w:color w:val="auto"/>
              </w:rPr>
            </w:pPr>
          </w:p>
        </w:tc>
        <w:tc>
          <w:tcPr>
            <w:tcW w:w="1640" w:type="dxa"/>
            <w:vAlign w:val="bottom"/>
          </w:tcPr>
          <w:p>
            <w:pPr>
              <w:spacing w:after="0"/>
              <w:rPr>
                <w:sz w:val="2"/>
                <w:szCs w:val="2"/>
                <w:color w:val="auto"/>
              </w:rPr>
            </w:pPr>
          </w:p>
        </w:tc>
        <w:tc>
          <w:tcPr>
            <w:tcW w:w="160" w:type="dxa"/>
            <w:vAlign w:val="bottom"/>
          </w:tcPr>
          <w:p>
            <w:pPr>
              <w:spacing w:after="0"/>
              <w:rPr>
                <w:sz w:val="2"/>
                <w:szCs w:val="2"/>
                <w:color w:val="auto"/>
              </w:rPr>
            </w:pPr>
          </w:p>
        </w:tc>
        <w:tc>
          <w:tcPr>
            <w:tcW w:w="180" w:type="dxa"/>
            <w:vAlign w:val="bottom"/>
          </w:tcPr>
          <w:p>
            <w:pPr>
              <w:spacing w:after="0"/>
              <w:rPr>
                <w:sz w:val="2"/>
                <w:szCs w:val="2"/>
                <w:color w:val="auto"/>
              </w:rPr>
            </w:pPr>
          </w:p>
        </w:tc>
        <w:tc>
          <w:tcPr>
            <w:tcW w:w="1720" w:type="dxa"/>
            <w:vAlign w:val="bottom"/>
          </w:tcPr>
          <w:p>
            <w:pPr>
              <w:spacing w:after="0"/>
              <w:rPr>
                <w:sz w:val="2"/>
                <w:szCs w:val="2"/>
                <w:color w:val="auto"/>
              </w:rPr>
            </w:pPr>
          </w:p>
        </w:tc>
      </w:tr>
      <w:tr>
        <w:trPr>
          <w:trHeight w:val="250"/>
        </w:trPr>
        <w:tc>
          <w:tcPr>
            <w:tcW w:w="33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Inventory</w:t>
            </w: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7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6,951,110</w:t>
            </w:r>
          </w:p>
        </w:tc>
        <w:tc>
          <w:tcPr>
            <w:tcW w:w="18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color w:val="auto"/>
                <w:w w:val="99"/>
              </w:rPr>
              <w:t>$</w:t>
            </w:r>
          </w:p>
        </w:tc>
        <w:tc>
          <w:tcPr>
            <w:tcW w:w="16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(526,306)</w:t>
            </w:r>
          </w:p>
        </w:tc>
        <w:tc>
          <w:tcPr>
            <w:tcW w:w="16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7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6,424,804</w:t>
            </w:r>
          </w:p>
        </w:tc>
      </w:tr>
      <w:tr>
        <w:trPr>
          <w:trHeight w:val="324"/>
        </w:trPr>
        <w:tc>
          <w:tcPr>
            <w:tcW w:w="33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7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6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720" w:type="dxa"/>
            <w:vAlign w:val="bottom"/>
          </w:tcPr>
          <w:p>
            <w:pPr>
              <w:spacing w:after="0"/>
              <w:rPr>
                <w:sz w:val="24"/>
                <w:szCs w:val="24"/>
                <w:color w:val="auto"/>
              </w:rPr>
            </w:pPr>
          </w:p>
        </w:tc>
      </w:tr>
      <w:tr>
        <w:trPr>
          <w:trHeight w:val="250"/>
        </w:trPr>
        <w:tc>
          <w:tcPr>
            <w:tcW w:w="33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b w:val="1"/>
                <w:bCs w:val="1"/>
                <w:color w:val="auto"/>
              </w:rPr>
              <w:t>Liabilities:</w:t>
            </w:r>
          </w:p>
        </w:tc>
        <w:tc>
          <w:tcPr>
            <w:tcW w:w="160" w:type="dxa"/>
            <w:vAlign w:val="bottom"/>
            <w:tcBorders>
              <w:bottom w:val="single" w:sz="8" w:color="CCEEFF"/>
            </w:tcBorders>
            <w:shd w:val="clear" w:color="auto" w:fill="CCEEFF"/>
          </w:tcPr>
          <w:p>
            <w:pPr>
              <w:spacing w:after="0"/>
              <w:rPr>
                <w:sz w:val="21"/>
                <w:szCs w:val="21"/>
                <w:color w:val="auto"/>
              </w:rPr>
            </w:pPr>
          </w:p>
        </w:tc>
        <w:tc>
          <w:tcPr>
            <w:tcW w:w="17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164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720" w:type="dxa"/>
            <w:vAlign w:val="bottom"/>
            <w:tcBorders>
              <w:bottom w:val="single" w:sz="8" w:color="CCEEFF"/>
            </w:tcBorders>
            <w:shd w:val="clear" w:color="auto" w:fill="CCEEFF"/>
          </w:tcPr>
          <w:p>
            <w:pPr>
              <w:spacing w:after="0"/>
              <w:rPr>
                <w:sz w:val="21"/>
                <w:szCs w:val="21"/>
                <w:color w:val="auto"/>
              </w:rPr>
            </w:pPr>
          </w:p>
        </w:tc>
      </w:tr>
      <w:tr>
        <w:trPr>
          <w:trHeight w:val="243"/>
        </w:trPr>
        <w:tc>
          <w:tcPr>
            <w:tcW w:w="3320" w:type="dxa"/>
            <w:vAlign w:val="bottom"/>
          </w:tcPr>
          <w:p>
            <w:pPr>
              <w:ind w:left="20"/>
              <w:spacing w:after="0"/>
              <w:rPr>
                <w:sz w:val="20"/>
                <w:szCs w:val="20"/>
                <w:color w:val="auto"/>
              </w:rPr>
            </w:pPr>
            <w:r>
              <w:rPr>
                <w:rFonts w:ascii="Arial" w:cs="Arial" w:eastAsia="Arial" w:hAnsi="Arial"/>
                <w:sz w:val="18"/>
                <w:szCs w:val="18"/>
                <w:color w:val="auto"/>
              </w:rPr>
              <w:t>Contract liabilities</w:t>
            </w:r>
          </w:p>
        </w:tc>
        <w:tc>
          <w:tcPr>
            <w:tcW w:w="16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700" w:type="dxa"/>
            <w:vAlign w:val="bottom"/>
          </w:tcPr>
          <w:p>
            <w:pPr>
              <w:jc w:val="right"/>
              <w:ind w:right="10"/>
              <w:spacing w:after="0"/>
              <w:rPr>
                <w:sz w:val="20"/>
                <w:szCs w:val="20"/>
                <w:color w:val="auto"/>
              </w:rPr>
            </w:pPr>
            <w:r>
              <w:rPr>
                <w:rFonts w:ascii="Arial" w:cs="Arial" w:eastAsia="Arial" w:hAnsi="Arial"/>
                <w:sz w:val="18"/>
                <w:szCs w:val="18"/>
                <w:color w:val="auto"/>
              </w:rPr>
              <w:t>3,428,625</w:t>
            </w:r>
          </w:p>
        </w:tc>
        <w:tc>
          <w:tcPr>
            <w:tcW w:w="180" w:type="dxa"/>
            <w:vAlign w:val="bottom"/>
          </w:tcPr>
          <w:p>
            <w:pPr>
              <w:spacing w:after="0"/>
              <w:rPr>
                <w:sz w:val="21"/>
                <w:szCs w:val="21"/>
                <w:color w:val="auto"/>
              </w:rPr>
            </w:pPr>
          </w:p>
        </w:tc>
        <w:tc>
          <w:tcPr>
            <w:tcW w:w="260" w:type="dxa"/>
            <w:vAlign w:val="bottom"/>
          </w:tcPr>
          <w:p>
            <w:pPr>
              <w:jc w:val="right"/>
              <w:ind w:right="50"/>
              <w:spacing w:after="0"/>
              <w:rPr>
                <w:sz w:val="20"/>
                <w:szCs w:val="20"/>
                <w:color w:val="auto"/>
              </w:rPr>
            </w:pPr>
            <w:r>
              <w:rPr>
                <w:rFonts w:ascii="Arial" w:cs="Arial" w:eastAsia="Arial" w:hAnsi="Arial"/>
                <w:sz w:val="18"/>
                <w:szCs w:val="18"/>
                <w:color w:val="auto"/>
                <w:w w:val="99"/>
              </w:rPr>
              <w:t>$</w:t>
            </w:r>
          </w:p>
        </w:tc>
        <w:tc>
          <w:tcPr>
            <w:tcW w:w="1640" w:type="dxa"/>
            <w:vAlign w:val="bottom"/>
          </w:tcPr>
          <w:p>
            <w:pPr>
              <w:jc w:val="right"/>
              <w:ind w:right="10"/>
              <w:spacing w:after="0"/>
              <w:rPr>
                <w:sz w:val="20"/>
                <w:szCs w:val="20"/>
                <w:color w:val="auto"/>
              </w:rPr>
            </w:pPr>
            <w:r>
              <w:rPr>
                <w:rFonts w:ascii="Arial" w:cs="Arial" w:eastAsia="Arial" w:hAnsi="Arial"/>
                <w:sz w:val="18"/>
                <w:szCs w:val="18"/>
                <w:color w:val="auto"/>
              </w:rPr>
              <w:t>25,863</w:t>
            </w:r>
          </w:p>
        </w:tc>
        <w:tc>
          <w:tcPr>
            <w:tcW w:w="160" w:type="dxa"/>
            <w:vAlign w:val="bottom"/>
          </w:tcPr>
          <w:p>
            <w:pPr>
              <w:spacing w:after="0"/>
              <w:rPr>
                <w:sz w:val="21"/>
                <w:szCs w:val="21"/>
                <w:color w:val="auto"/>
              </w:rPr>
            </w:pPr>
          </w:p>
        </w:tc>
        <w:tc>
          <w:tcPr>
            <w:tcW w:w="18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720" w:type="dxa"/>
            <w:vAlign w:val="bottom"/>
          </w:tcPr>
          <w:p>
            <w:pPr>
              <w:jc w:val="right"/>
              <w:ind w:right="10"/>
              <w:spacing w:after="0"/>
              <w:rPr>
                <w:sz w:val="20"/>
                <w:szCs w:val="20"/>
                <w:color w:val="auto"/>
              </w:rPr>
            </w:pPr>
            <w:r>
              <w:rPr>
                <w:rFonts w:ascii="Arial" w:cs="Arial" w:eastAsia="Arial" w:hAnsi="Arial"/>
                <w:sz w:val="18"/>
                <w:szCs w:val="18"/>
                <w:color w:val="auto"/>
              </w:rPr>
              <w:t>3,454,488</w:t>
            </w:r>
          </w:p>
        </w:tc>
      </w:tr>
      <w:tr>
        <w:trPr>
          <w:trHeight w:val="27"/>
        </w:trPr>
        <w:tc>
          <w:tcPr>
            <w:tcW w:w="33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700" w:type="dxa"/>
            <w:vAlign w:val="bottom"/>
          </w:tcPr>
          <w:p>
            <w:pPr>
              <w:spacing w:after="0"/>
              <w:rPr>
                <w:sz w:val="2"/>
                <w:szCs w:val="2"/>
                <w:color w:val="auto"/>
              </w:rPr>
            </w:pPr>
          </w:p>
        </w:tc>
        <w:tc>
          <w:tcPr>
            <w:tcW w:w="180" w:type="dxa"/>
            <w:vAlign w:val="bottom"/>
          </w:tcPr>
          <w:p>
            <w:pPr>
              <w:spacing w:after="0"/>
              <w:rPr>
                <w:sz w:val="2"/>
                <w:szCs w:val="2"/>
                <w:color w:val="auto"/>
              </w:rPr>
            </w:pPr>
          </w:p>
        </w:tc>
        <w:tc>
          <w:tcPr>
            <w:tcW w:w="260" w:type="dxa"/>
            <w:vAlign w:val="bottom"/>
          </w:tcPr>
          <w:p>
            <w:pPr>
              <w:spacing w:after="0"/>
              <w:rPr>
                <w:sz w:val="2"/>
                <w:szCs w:val="2"/>
                <w:color w:val="auto"/>
              </w:rPr>
            </w:pPr>
          </w:p>
        </w:tc>
        <w:tc>
          <w:tcPr>
            <w:tcW w:w="1640" w:type="dxa"/>
            <w:vAlign w:val="bottom"/>
          </w:tcPr>
          <w:p>
            <w:pPr>
              <w:spacing w:after="0"/>
              <w:rPr>
                <w:sz w:val="2"/>
                <w:szCs w:val="2"/>
                <w:color w:val="auto"/>
              </w:rPr>
            </w:pPr>
          </w:p>
        </w:tc>
        <w:tc>
          <w:tcPr>
            <w:tcW w:w="160" w:type="dxa"/>
            <w:vAlign w:val="bottom"/>
          </w:tcPr>
          <w:p>
            <w:pPr>
              <w:spacing w:after="0"/>
              <w:rPr>
                <w:sz w:val="2"/>
                <w:szCs w:val="2"/>
                <w:color w:val="auto"/>
              </w:rPr>
            </w:pPr>
          </w:p>
        </w:tc>
        <w:tc>
          <w:tcPr>
            <w:tcW w:w="180" w:type="dxa"/>
            <w:vAlign w:val="bottom"/>
          </w:tcPr>
          <w:p>
            <w:pPr>
              <w:spacing w:after="0"/>
              <w:rPr>
                <w:sz w:val="2"/>
                <w:szCs w:val="2"/>
                <w:color w:val="auto"/>
              </w:rPr>
            </w:pPr>
          </w:p>
        </w:tc>
        <w:tc>
          <w:tcPr>
            <w:tcW w:w="1720" w:type="dxa"/>
            <w:vAlign w:val="bottom"/>
          </w:tcPr>
          <w:p>
            <w:pPr>
              <w:spacing w:after="0"/>
              <w:rPr>
                <w:sz w:val="2"/>
                <w:szCs w:val="2"/>
                <w:color w:val="auto"/>
              </w:rPr>
            </w:pPr>
          </w:p>
        </w:tc>
      </w:tr>
      <w:tr>
        <w:trPr>
          <w:trHeight w:val="324"/>
        </w:trPr>
        <w:tc>
          <w:tcPr>
            <w:tcW w:w="332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1700" w:type="dxa"/>
            <w:vAlign w:val="bottom"/>
            <w:shd w:val="clear" w:color="auto" w:fill="CCEEFF"/>
          </w:tcPr>
          <w:p>
            <w:pPr>
              <w:spacing w:after="0"/>
              <w:rPr>
                <w:sz w:val="24"/>
                <w:szCs w:val="24"/>
                <w:color w:val="auto"/>
              </w:rPr>
            </w:pPr>
          </w:p>
        </w:tc>
        <w:tc>
          <w:tcPr>
            <w:tcW w:w="180" w:type="dxa"/>
            <w:vAlign w:val="bottom"/>
            <w:shd w:val="clear" w:color="auto" w:fill="CCEEFF"/>
          </w:tcPr>
          <w:p>
            <w:pPr>
              <w:spacing w:after="0"/>
              <w:rPr>
                <w:sz w:val="24"/>
                <w:szCs w:val="24"/>
                <w:color w:val="auto"/>
              </w:rPr>
            </w:pPr>
          </w:p>
        </w:tc>
        <w:tc>
          <w:tcPr>
            <w:tcW w:w="260" w:type="dxa"/>
            <w:vAlign w:val="bottom"/>
            <w:shd w:val="clear" w:color="auto" w:fill="CCEEFF"/>
          </w:tcPr>
          <w:p>
            <w:pPr>
              <w:spacing w:after="0"/>
              <w:rPr>
                <w:sz w:val="24"/>
                <w:szCs w:val="24"/>
                <w:color w:val="auto"/>
              </w:rPr>
            </w:pPr>
          </w:p>
        </w:tc>
        <w:tc>
          <w:tcPr>
            <w:tcW w:w="164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180" w:type="dxa"/>
            <w:vAlign w:val="bottom"/>
            <w:shd w:val="clear" w:color="auto" w:fill="CCEEFF"/>
          </w:tcPr>
          <w:p>
            <w:pPr>
              <w:spacing w:after="0"/>
              <w:rPr>
                <w:sz w:val="24"/>
                <w:szCs w:val="24"/>
                <w:color w:val="auto"/>
              </w:rPr>
            </w:pPr>
          </w:p>
        </w:tc>
        <w:tc>
          <w:tcPr>
            <w:tcW w:w="1720" w:type="dxa"/>
            <w:vAlign w:val="bottom"/>
            <w:shd w:val="clear" w:color="auto" w:fill="CCEEFF"/>
          </w:tcPr>
          <w:p>
            <w:pPr>
              <w:spacing w:after="0"/>
              <w:rPr>
                <w:sz w:val="24"/>
                <w:szCs w:val="24"/>
                <w:color w:val="auto"/>
              </w:rPr>
            </w:pPr>
          </w:p>
        </w:tc>
      </w:tr>
      <w:tr>
        <w:trPr>
          <w:trHeight w:val="243"/>
        </w:trPr>
        <w:tc>
          <w:tcPr>
            <w:tcW w:w="3320" w:type="dxa"/>
            <w:vAlign w:val="bottom"/>
          </w:tcPr>
          <w:p>
            <w:pPr>
              <w:ind w:left="20"/>
              <w:spacing w:after="0"/>
              <w:rPr>
                <w:sz w:val="20"/>
                <w:szCs w:val="20"/>
                <w:color w:val="auto"/>
              </w:rPr>
            </w:pPr>
            <w:r>
              <w:rPr>
                <w:rFonts w:ascii="Arial" w:cs="Arial" w:eastAsia="Arial" w:hAnsi="Arial"/>
                <w:sz w:val="18"/>
                <w:szCs w:val="18"/>
                <w:b w:val="1"/>
                <w:bCs w:val="1"/>
                <w:color w:val="auto"/>
              </w:rPr>
              <w:t>Stockholders' equity:</w:t>
            </w:r>
          </w:p>
        </w:tc>
        <w:tc>
          <w:tcPr>
            <w:tcW w:w="160" w:type="dxa"/>
            <w:vAlign w:val="bottom"/>
          </w:tcPr>
          <w:p>
            <w:pPr>
              <w:spacing w:after="0"/>
              <w:rPr>
                <w:sz w:val="21"/>
                <w:szCs w:val="21"/>
                <w:color w:val="auto"/>
              </w:rPr>
            </w:pPr>
          </w:p>
        </w:tc>
        <w:tc>
          <w:tcPr>
            <w:tcW w:w="17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64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720" w:type="dxa"/>
            <w:vAlign w:val="bottom"/>
          </w:tcPr>
          <w:p>
            <w:pPr>
              <w:spacing w:after="0"/>
              <w:rPr>
                <w:sz w:val="21"/>
                <w:szCs w:val="21"/>
                <w:color w:val="auto"/>
              </w:rPr>
            </w:pPr>
          </w:p>
        </w:tc>
      </w:tr>
      <w:tr>
        <w:trPr>
          <w:trHeight w:val="27"/>
        </w:trPr>
        <w:tc>
          <w:tcPr>
            <w:tcW w:w="33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700" w:type="dxa"/>
            <w:vAlign w:val="bottom"/>
          </w:tcPr>
          <w:p>
            <w:pPr>
              <w:spacing w:after="0"/>
              <w:rPr>
                <w:sz w:val="2"/>
                <w:szCs w:val="2"/>
                <w:color w:val="auto"/>
              </w:rPr>
            </w:pPr>
          </w:p>
        </w:tc>
        <w:tc>
          <w:tcPr>
            <w:tcW w:w="180" w:type="dxa"/>
            <w:vAlign w:val="bottom"/>
          </w:tcPr>
          <w:p>
            <w:pPr>
              <w:spacing w:after="0"/>
              <w:rPr>
                <w:sz w:val="2"/>
                <w:szCs w:val="2"/>
                <w:color w:val="auto"/>
              </w:rPr>
            </w:pPr>
          </w:p>
        </w:tc>
        <w:tc>
          <w:tcPr>
            <w:tcW w:w="260" w:type="dxa"/>
            <w:vAlign w:val="bottom"/>
          </w:tcPr>
          <w:p>
            <w:pPr>
              <w:spacing w:after="0"/>
              <w:rPr>
                <w:sz w:val="2"/>
                <w:szCs w:val="2"/>
                <w:color w:val="auto"/>
              </w:rPr>
            </w:pPr>
          </w:p>
        </w:tc>
        <w:tc>
          <w:tcPr>
            <w:tcW w:w="1640" w:type="dxa"/>
            <w:vAlign w:val="bottom"/>
          </w:tcPr>
          <w:p>
            <w:pPr>
              <w:spacing w:after="0"/>
              <w:rPr>
                <w:sz w:val="2"/>
                <w:szCs w:val="2"/>
                <w:color w:val="auto"/>
              </w:rPr>
            </w:pPr>
          </w:p>
        </w:tc>
        <w:tc>
          <w:tcPr>
            <w:tcW w:w="160" w:type="dxa"/>
            <w:vAlign w:val="bottom"/>
          </w:tcPr>
          <w:p>
            <w:pPr>
              <w:spacing w:after="0"/>
              <w:rPr>
                <w:sz w:val="2"/>
                <w:szCs w:val="2"/>
                <w:color w:val="auto"/>
              </w:rPr>
            </w:pPr>
          </w:p>
        </w:tc>
        <w:tc>
          <w:tcPr>
            <w:tcW w:w="180" w:type="dxa"/>
            <w:vAlign w:val="bottom"/>
          </w:tcPr>
          <w:p>
            <w:pPr>
              <w:spacing w:after="0"/>
              <w:rPr>
                <w:sz w:val="2"/>
                <w:szCs w:val="2"/>
                <w:color w:val="auto"/>
              </w:rPr>
            </w:pPr>
          </w:p>
        </w:tc>
        <w:tc>
          <w:tcPr>
            <w:tcW w:w="1720" w:type="dxa"/>
            <w:vAlign w:val="bottom"/>
          </w:tcPr>
          <w:p>
            <w:pPr>
              <w:spacing w:after="0"/>
              <w:rPr>
                <w:sz w:val="2"/>
                <w:szCs w:val="2"/>
                <w:color w:val="auto"/>
              </w:rPr>
            </w:pPr>
          </w:p>
        </w:tc>
      </w:tr>
      <w:tr>
        <w:trPr>
          <w:trHeight w:val="243"/>
        </w:trPr>
        <w:tc>
          <w:tcPr>
            <w:tcW w:w="3320" w:type="dxa"/>
            <w:vAlign w:val="bottom"/>
            <w:shd w:val="clear" w:color="auto" w:fill="CCEEFF"/>
          </w:tcPr>
          <w:p>
            <w:pPr>
              <w:ind w:left="20"/>
              <w:spacing w:after="0"/>
              <w:rPr>
                <w:sz w:val="20"/>
                <w:szCs w:val="20"/>
                <w:color w:val="auto"/>
              </w:rPr>
            </w:pPr>
            <w:r>
              <w:rPr>
                <w:rFonts w:ascii="Arial" w:cs="Arial" w:eastAsia="Arial" w:hAnsi="Arial"/>
                <w:sz w:val="18"/>
                <w:szCs w:val="18"/>
                <w:color w:val="auto"/>
              </w:rPr>
              <w:t>Accumulated deficit</w:t>
            </w:r>
          </w:p>
        </w:tc>
        <w:tc>
          <w:tcPr>
            <w:tcW w:w="1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(32,406,189)</w:t>
            </w:r>
          </w:p>
        </w:tc>
        <w:tc>
          <w:tcPr>
            <w:tcW w:w="180" w:type="dxa"/>
            <w:vAlign w:val="bottom"/>
            <w:shd w:val="clear" w:color="auto" w:fill="CCEEFF"/>
          </w:tcPr>
          <w:p>
            <w:pPr>
              <w:spacing w:after="0"/>
              <w:rPr>
                <w:sz w:val="21"/>
                <w:szCs w:val="21"/>
                <w:color w:val="auto"/>
              </w:rPr>
            </w:pPr>
          </w:p>
        </w:tc>
        <w:tc>
          <w:tcPr>
            <w:tcW w:w="260" w:type="dxa"/>
            <w:vAlign w:val="bottom"/>
            <w:shd w:val="clear" w:color="auto" w:fill="CCEEFF"/>
          </w:tcPr>
          <w:p>
            <w:pPr>
              <w:jc w:val="right"/>
              <w:ind w:right="50"/>
              <w:spacing w:after="0"/>
              <w:rPr>
                <w:sz w:val="20"/>
                <w:szCs w:val="20"/>
                <w:color w:val="auto"/>
              </w:rPr>
            </w:pPr>
            <w:r>
              <w:rPr>
                <w:rFonts w:ascii="Arial" w:cs="Arial" w:eastAsia="Arial" w:hAnsi="Arial"/>
                <w:sz w:val="18"/>
                <w:szCs w:val="18"/>
                <w:color w:val="auto"/>
                <w:w w:val="99"/>
              </w:rPr>
              <w:t>$</w:t>
            </w:r>
          </w:p>
        </w:tc>
        <w:tc>
          <w:tcPr>
            <w:tcW w:w="164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354,028</w:t>
            </w:r>
          </w:p>
        </w:tc>
        <w:tc>
          <w:tcPr>
            <w:tcW w:w="160" w:type="dxa"/>
            <w:vAlign w:val="bottom"/>
            <w:shd w:val="clear" w:color="auto" w:fill="CCEEFF"/>
          </w:tcPr>
          <w:p>
            <w:pPr>
              <w:spacing w:after="0"/>
              <w:rPr>
                <w:sz w:val="21"/>
                <w:szCs w:val="21"/>
                <w:color w:val="auto"/>
              </w:rPr>
            </w:pPr>
          </w:p>
        </w:tc>
        <w:tc>
          <w:tcPr>
            <w:tcW w:w="1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7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(32,052,161)</w:t>
            </w:r>
          </w:p>
        </w:tc>
      </w:tr>
      <w:tr>
        <w:trPr>
          <w:trHeight w:val="27"/>
        </w:trPr>
        <w:tc>
          <w:tcPr>
            <w:tcW w:w="3320" w:type="dxa"/>
            <w:vAlign w:val="bottom"/>
            <w:shd w:val="clear" w:color="auto" w:fill="CCEEFF"/>
          </w:tcPr>
          <w:p>
            <w:pPr>
              <w:spacing w:after="0"/>
              <w:rPr>
                <w:sz w:val="2"/>
                <w:szCs w:val="2"/>
                <w:color w:val="auto"/>
              </w:rPr>
            </w:pPr>
          </w:p>
        </w:tc>
        <w:tc>
          <w:tcPr>
            <w:tcW w:w="160" w:type="dxa"/>
            <w:vAlign w:val="bottom"/>
            <w:shd w:val="clear" w:color="auto" w:fill="CCEEFF"/>
          </w:tcPr>
          <w:p>
            <w:pPr>
              <w:spacing w:after="0"/>
              <w:rPr>
                <w:sz w:val="2"/>
                <w:szCs w:val="2"/>
                <w:color w:val="auto"/>
              </w:rPr>
            </w:pPr>
          </w:p>
        </w:tc>
        <w:tc>
          <w:tcPr>
            <w:tcW w:w="1700" w:type="dxa"/>
            <w:vAlign w:val="bottom"/>
            <w:shd w:val="clear" w:color="auto" w:fill="CCEEFF"/>
          </w:tcPr>
          <w:p>
            <w:pPr>
              <w:spacing w:after="0"/>
              <w:rPr>
                <w:sz w:val="2"/>
                <w:szCs w:val="2"/>
                <w:color w:val="auto"/>
              </w:rPr>
            </w:pPr>
          </w:p>
        </w:tc>
        <w:tc>
          <w:tcPr>
            <w:tcW w:w="180" w:type="dxa"/>
            <w:vAlign w:val="bottom"/>
            <w:shd w:val="clear" w:color="auto" w:fill="CCEEFF"/>
          </w:tcPr>
          <w:p>
            <w:pPr>
              <w:spacing w:after="0"/>
              <w:rPr>
                <w:sz w:val="2"/>
                <w:szCs w:val="2"/>
                <w:color w:val="auto"/>
              </w:rPr>
            </w:pPr>
          </w:p>
        </w:tc>
        <w:tc>
          <w:tcPr>
            <w:tcW w:w="260" w:type="dxa"/>
            <w:vAlign w:val="bottom"/>
            <w:shd w:val="clear" w:color="auto" w:fill="CCEEFF"/>
          </w:tcPr>
          <w:p>
            <w:pPr>
              <w:spacing w:after="0"/>
              <w:rPr>
                <w:sz w:val="2"/>
                <w:szCs w:val="2"/>
                <w:color w:val="auto"/>
              </w:rPr>
            </w:pPr>
          </w:p>
        </w:tc>
        <w:tc>
          <w:tcPr>
            <w:tcW w:w="1640" w:type="dxa"/>
            <w:vAlign w:val="bottom"/>
            <w:shd w:val="clear" w:color="auto" w:fill="CCEEFF"/>
          </w:tcPr>
          <w:p>
            <w:pPr>
              <w:spacing w:after="0"/>
              <w:rPr>
                <w:sz w:val="2"/>
                <w:szCs w:val="2"/>
                <w:color w:val="auto"/>
              </w:rPr>
            </w:pPr>
          </w:p>
        </w:tc>
        <w:tc>
          <w:tcPr>
            <w:tcW w:w="160" w:type="dxa"/>
            <w:vAlign w:val="bottom"/>
            <w:shd w:val="clear" w:color="auto" w:fill="CCEEFF"/>
          </w:tcPr>
          <w:p>
            <w:pPr>
              <w:spacing w:after="0"/>
              <w:rPr>
                <w:sz w:val="2"/>
                <w:szCs w:val="2"/>
                <w:color w:val="auto"/>
              </w:rPr>
            </w:pPr>
          </w:p>
        </w:tc>
        <w:tc>
          <w:tcPr>
            <w:tcW w:w="180" w:type="dxa"/>
            <w:vAlign w:val="bottom"/>
            <w:shd w:val="clear" w:color="auto" w:fill="CCEEFF"/>
          </w:tcPr>
          <w:p>
            <w:pPr>
              <w:spacing w:after="0"/>
              <w:rPr>
                <w:sz w:val="2"/>
                <w:szCs w:val="2"/>
                <w:color w:val="auto"/>
              </w:rPr>
            </w:pPr>
          </w:p>
        </w:tc>
        <w:tc>
          <w:tcPr>
            <w:tcW w:w="1720" w:type="dxa"/>
            <w:vAlign w:val="bottom"/>
            <w:shd w:val="clear" w:color="auto" w:fill="CCEEFF"/>
          </w:tcPr>
          <w:p>
            <w:pPr>
              <w:spacing w:after="0"/>
              <w:rPr>
                <w:sz w:val="2"/>
                <w:szCs w:val="2"/>
                <w:color w:val="auto"/>
              </w:rPr>
            </w:pPr>
          </w:p>
        </w:tc>
      </w:tr>
    </w:tbl>
    <w:p>
      <w:pPr>
        <w:spacing w:after="0" w:line="202" w:lineRule="exact"/>
        <w:rPr>
          <w:sz w:val="20"/>
          <w:szCs w:val="20"/>
          <w:color w:val="auto"/>
        </w:rPr>
      </w:pPr>
    </w:p>
    <w:p>
      <w:pPr>
        <w:ind w:right="320" w:firstLine="405"/>
        <w:spacing w:after="0" w:line="264" w:lineRule="auto"/>
        <w:rPr>
          <w:sz w:val="20"/>
          <w:szCs w:val="20"/>
          <w:color w:val="auto"/>
        </w:rPr>
      </w:pPr>
      <w:r>
        <w:rPr>
          <w:rFonts w:ascii="Arial" w:cs="Arial" w:eastAsia="Arial" w:hAnsi="Arial"/>
          <w:sz w:val="18"/>
          <w:szCs w:val="18"/>
          <w:color w:val="auto"/>
        </w:rPr>
        <w:t>Contract assets were formerly reported as unbilled accounts receivable. Contract liabilities were formerly reported as accrued liabilities or deferred revenue. Inventory was also impacted by the adoption of the new guidance. The titles have been changed in the table below to be consistent with accounts currently used under the new standard.</w:t>
      </w:r>
    </w:p>
    <w:p>
      <w:pPr>
        <w:spacing w:after="0" w:line="200" w:lineRule="exact"/>
        <w:rPr>
          <w:sz w:val="20"/>
          <w:szCs w:val="20"/>
          <w:color w:val="auto"/>
        </w:rPr>
      </w:pPr>
    </w:p>
    <w:p>
      <w:pPr>
        <w:spacing w:after="0" w:line="22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7</w:t>
      </w:r>
    </w:p>
    <w:p>
      <w:pPr>
        <w:sectPr>
          <w:pgSz w:w="11900" w:h="16838" w:orient="portrait"/>
          <w:cols w:equalWidth="0" w:num="1">
            <w:col w:w="11420"/>
          </w:cols>
          <w:pgMar w:left="240" w:top="118" w:right="239" w:bottom="1440" w:gutter="0" w:footer="0" w:header="0"/>
        </w:sectPr>
      </w:pPr>
    </w:p>
    <w:bookmarkStart w:id="7" w:name="page8"/>
    <w:bookmarkEnd w:id="7"/>
    <w:p>
      <w:pPr>
        <w:spacing w:after="0"/>
        <w:rPr>
          <w:rFonts w:ascii="Arial" w:cs="Arial" w:eastAsia="Arial" w:hAnsi="Arial"/>
          <w:sz w:val="14"/>
          <w:szCs w:val="14"/>
          <w:b w:val="1"/>
          <w:bCs w:val="1"/>
          <w:u w:val="single" w:color="auto"/>
          <w:color w:val="0000EE"/>
        </w:rPr>
      </w:pPr>
      <w:hyperlink w:anchor="page2">
        <w:r>
          <w:rPr>
            <w:rFonts w:ascii="Arial" w:cs="Arial" w:eastAsia="Arial" w:hAnsi="Arial"/>
            <w:sz w:val="14"/>
            <w:szCs w:val="14"/>
            <w:b w:val="1"/>
            <w:bCs w:val="1"/>
            <w:u w:val="single" w:color="auto"/>
            <w:color w:val="0000EE"/>
          </w:rPr>
          <w:t>Table of Contents</w:t>
        </w:r>
      </w:hyperlink>
    </w:p>
    <w:p>
      <w:pPr>
        <w:spacing w:after="0" w:line="200" w:lineRule="exact"/>
        <w:rPr>
          <w:sz w:val="20"/>
          <w:szCs w:val="20"/>
          <w:color w:val="auto"/>
        </w:rPr>
      </w:pPr>
    </w:p>
    <w:p>
      <w:pPr>
        <w:spacing w:after="0" w:line="214" w:lineRule="exact"/>
        <w:rPr>
          <w:sz w:val="20"/>
          <w:szCs w:val="20"/>
          <w:color w:val="auto"/>
        </w:rPr>
      </w:pPr>
    </w:p>
    <w:tbl>
      <w:tblPr>
        <w:tblLayout w:type="fixed"/>
        <w:tblInd w:w="2300" w:type="dxa"/>
        <w:tblCellMar>
          <w:top w:w="0" w:type="dxa"/>
          <w:left w:w="0" w:type="dxa"/>
          <w:bottom w:w="0" w:type="dxa"/>
          <w:right w:w="0" w:type="dxa"/>
        </w:tblCellMar>
      </w:tblPr>
      <w:tr>
        <w:trPr>
          <w:trHeight w:val="230"/>
        </w:trPr>
        <w:tc>
          <w:tcPr>
            <w:tcW w:w="254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3920" w:type="dxa"/>
            <w:vAlign w:val="bottom"/>
            <w:gridSpan w:val="3"/>
          </w:tcPr>
          <w:p>
            <w:pPr>
              <w:jc w:val="right"/>
              <w:ind w:right="1330"/>
              <w:spacing w:after="0"/>
              <w:rPr>
                <w:sz w:val="20"/>
                <w:szCs w:val="20"/>
                <w:color w:val="auto"/>
              </w:rPr>
            </w:pPr>
            <w:r>
              <w:rPr>
                <w:rFonts w:ascii="Arial" w:cs="Arial" w:eastAsia="Arial" w:hAnsi="Arial"/>
                <w:sz w:val="18"/>
                <w:szCs w:val="18"/>
                <w:color w:val="auto"/>
              </w:rPr>
              <w:t>December 31, 2017</w:t>
            </w:r>
          </w:p>
        </w:tc>
      </w:tr>
      <w:tr>
        <w:trPr>
          <w:trHeight w:val="270"/>
        </w:trPr>
        <w:tc>
          <w:tcPr>
            <w:tcW w:w="2540" w:type="dxa"/>
            <w:vAlign w:val="bottom"/>
          </w:tcPr>
          <w:p>
            <w:pPr>
              <w:spacing w:after="0"/>
              <w:rPr>
                <w:sz w:val="23"/>
                <w:szCs w:val="23"/>
                <w:color w:val="auto"/>
              </w:rPr>
            </w:pPr>
          </w:p>
        </w:tc>
        <w:tc>
          <w:tcPr>
            <w:tcW w:w="360" w:type="dxa"/>
            <w:vAlign w:val="bottom"/>
          </w:tcPr>
          <w:p>
            <w:pPr>
              <w:spacing w:after="0"/>
              <w:rPr>
                <w:sz w:val="23"/>
                <w:szCs w:val="23"/>
                <w:color w:val="auto"/>
              </w:rPr>
            </w:pPr>
          </w:p>
        </w:tc>
        <w:tc>
          <w:tcPr>
            <w:tcW w:w="1760" w:type="dxa"/>
            <w:vAlign w:val="bottom"/>
          </w:tcPr>
          <w:p>
            <w:pPr>
              <w:jc w:val="right"/>
              <w:ind w:right="510"/>
              <w:spacing w:after="0"/>
              <w:rPr>
                <w:sz w:val="20"/>
                <w:szCs w:val="20"/>
                <w:color w:val="auto"/>
              </w:rPr>
            </w:pPr>
            <w:r>
              <w:rPr>
                <w:rFonts w:ascii="Arial" w:cs="Arial" w:eastAsia="Arial" w:hAnsi="Arial"/>
                <w:sz w:val="18"/>
                <w:szCs w:val="18"/>
                <w:color w:val="auto"/>
              </w:rPr>
              <w:t>As Reported</w:t>
            </w:r>
          </w:p>
        </w:tc>
        <w:tc>
          <w:tcPr>
            <w:tcW w:w="400" w:type="dxa"/>
            <w:vAlign w:val="bottom"/>
          </w:tcPr>
          <w:p>
            <w:pPr>
              <w:spacing w:after="0"/>
              <w:rPr>
                <w:sz w:val="23"/>
                <w:szCs w:val="23"/>
                <w:color w:val="auto"/>
              </w:rPr>
            </w:pPr>
          </w:p>
        </w:tc>
        <w:tc>
          <w:tcPr>
            <w:tcW w:w="1760" w:type="dxa"/>
            <w:vAlign w:val="bottom"/>
          </w:tcPr>
          <w:p>
            <w:pPr>
              <w:jc w:val="right"/>
              <w:ind w:right="550"/>
              <w:spacing w:after="0"/>
              <w:rPr>
                <w:sz w:val="20"/>
                <w:szCs w:val="20"/>
                <w:color w:val="auto"/>
              </w:rPr>
            </w:pPr>
            <w:r>
              <w:rPr>
                <w:rFonts w:ascii="Arial" w:cs="Arial" w:eastAsia="Arial" w:hAnsi="Arial"/>
                <w:sz w:val="18"/>
                <w:szCs w:val="18"/>
                <w:color w:val="auto"/>
              </w:rPr>
              <w:t>As Adopted</w:t>
            </w:r>
          </w:p>
        </w:tc>
      </w:tr>
      <w:tr>
        <w:trPr>
          <w:trHeight w:val="27"/>
        </w:trPr>
        <w:tc>
          <w:tcPr>
            <w:tcW w:w="254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760" w:type="dxa"/>
            <w:vAlign w:val="bottom"/>
            <w:tcBorders>
              <w:bottom w:val="single" w:sz="8" w:color="auto"/>
            </w:tcBorders>
          </w:tcPr>
          <w:p>
            <w:pPr>
              <w:spacing w:after="0"/>
              <w:rPr>
                <w:sz w:val="2"/>
                <w:szCs w:val="2"/>
                <w:color w:val="auto"/>
              </w:rPr>
            </w:pPr>
          </w:p>
        </w:tc>
        <w:tc>
          <w:tcPr>
            <w:tcW w:w="400" w:type="dxa"/>
            <w:vAlign w:val="bottom"/>
            <w:tcBorders>
              <w:bottom w:val="single" w:sz="8" w:color="auto"/>
            </w:tcBorders>
          </w:tcPr>
          <w:p>
            <w:pPr>
              <w:spacing w:after="0"/>
              <w:rPr>
                <w:sz w:val="2"/>
                <w:szCs w:val="2"/>
                <w:color w:val="auto"/>
              </w:rPr>
            </w:pPr>
          </w:p>
        </w:tc>
        <w:tc>
          <w:tcPr>
            <w:tcW w:w="1760" w:type="dxa"/>
            <w:vAlign w:val="bottom"/>
            <w:tcBorders>
              <w:bottom w:val="single" w:sz="8" w:color="auto"/>
            </w:tcBorders>
          </w:tcPr>
          <w:p>
            <w:pPr>
              <w:spacing w:after="0"/>
              <w:rPr>
                <w:sz w:val="2"/>
                <w:szCs w:val="2"/>
                <w:color w:val="auto"/>
              </w:rPr>
            </w:pPr>
          </w:p>
        </w:tc>
      </w:tr>
      <w:tr>
        <w:trPr>
          <w:trHeight w:val="244"/>
        </w:trPr>
        <w:tc>
          <w:tcPr>
            <w:tcW w:w="25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Accounts receivables, net</w:t>
            </w:r>
          </w:p>
        </w:tc>
        <w:tc>
          <w:tcPr>
            <w:tcW w:w="36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w w:val="99"/>
              </w:rPr>
              <w:t>$</w:t>
            </w:r>
          </w:p>
        </w:tc>
        <w:tc>
          <w:tcPr>
            <w:tcW w:w="17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9,857,009</w:t>
            </w:r>
          </w:p>
        </w:tc>
        <w:tc>
          <w:tcPr>
            <w:tcW w:w="400" w:type="dxa"/>
            <w:vAlign w:val="bottom"/>
            <w:tcBorders>
              <w:bottom w:val="single" w:sz="8" w:color="CCEEFF"/>
            </w:tcBorders>
            <w:shd w:val="clear" w:color="auto" w:fill="CCEEFF"/>
          </w:tcPr>
          <w:p>
            <w:pPr>
              <w:jc w:val="right"/>
              <w:ind w:right="170"/>
              <w:spacing w:after="0"/>
              <w:rPr>
                <w:sz w:val="20"/>
                <w:szCs w:val="20"/>
                <w:color w:val="auto"/>
              </w:rPr>
            </w:pPr>
            <w:r>
              <w:rPr>
                <w:rFonts w:ascii="Arial" w:cs="Arial" w:eastAsia="Arial" w:hAnsi="Arial"/>
                <w:sz w:val="18"/>
                <w:szCs w:val="18"/>
                <w:color w:val="auto"/>
              </w:rPr>
              <w:t>$</w:t>
            </w:r>
          </w:p>
        </w:tc>
        <w:tc>
          <w:tcPr>
            <w:tcW w:w="17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7,869,168</w:t>
            </w:r>
          </w:p>
        </w:tc>
      </w:tr>
      <w:tr>
        <w:trPr>
          <w:trHeight w:val="243"/>
        </w:trPr>
        <w:tc>
          <w:tcPr>
            <w:tcW w:w="2540" w:type="dxa"/>
            <w:vAlign w:val="bottom"/>
          </w:tcPr>
          <w:p>
            <w:pPr>
              <w:ind w:left="40"/>
              <w:spacing w:after="0"/>
              <w:rPr>
                <w:sz w:val="20"/>
                <w:szCs w:val="20"/>
                <w:color w:val="auto"/>
              </w:rPr>
            </w:pPr>
            <w:r>
              <w:rPr>
                <w:rFonts w:ascii="Arial" w:cs="Arial" w:eastAsia="Arial" w:hAnsi="Arial"/>
                <w:sz w:val="18"/>
                <w:szCs w:val="18"/>
                <w:color w:val="auto"/>
              </w:rPr>
              <w:t>Contract assets</w:t>
            </w:r>
          </w:p>
        </w:tc>
        <w:tc>
          <w:tcPr>
            <w:tcW w:w="360" w:type="dxa"/>
            <w:vAlign w:val="bottom"/>
          </w:tcPr>
          <w:p>
            <w:pPr>
              <w:spacing w:after="0"/>
              <w:rPr>
                <w:sz w:val="21"/>
                <w:szCs w:val="21"/>
                <w:color w:val="auto"/>
              </w:rPr>
            </w:pPr>
          </w:p>
        </w:tc>
        <w:tc>
          <w:tcPr>
            <w:tcW w:w="1760" w:type="dxa"/>
            <w:vAlign w:val="bottom"/>
          </w:tcPr>
          <w:p>
            <w:pPr>
              <w:jc w:val="right"/>
              <w:spacing w:after="0"/>
              <w:rPr>
                <w:sz w:val="20"/>
                <w:szCs w:val="20"/>
                <w:color w:val="auto"/>
              </w:rPr>
            </w:pPr>
            <w:r>
              <w:rPr>
                <w:rFonts w:ascii="Arial" w:cs="Arial" w:eastAsia="Arial" w:hAnsi="Arial"/>
                <w:sz w:val="18"/>
                <w:szCs w:val="18"/>
                <w:color w:val="auto"/>
              </w:rPr>
              <w:t>—</w:t>
            </w:r>
          </w:p>
        </w:tc>
        <w:tc>
          <w:tcPr>
            <w:tcW w:w="400" w:type="dxa"/>
            <w:vAlign w:val="bottom"/>
          </w:tcPr>
          <w:p>
            <w:pPr>
              <w:spacing w:after="0"/>
              <w:rPr>
                <w:sz w:val="21"/>
                <w:szCs w:val="21"/>
                <w:color w:val="auto"/>
              </w:rPr>
            </w:pPr>
          </w:p>
        </w:tc>
        <w:tc>
          <w:tcPr>
            <w:tcW w:w="1760" w:type="dxa"/>
            <w:vAlign w:val="bottom"/>
          </w:tcPr>
          <w:p>
            <w:pPr>
              <w:jc w:val="right"/>
              <w:spacing w:after="0"/>
              <w:rPr>
                <w:sz w:val="20"/>
                <w:szCs w:val="20"/>
                <w:color w:val="auto"/>
              </w:rPr>
            </w:pPr>
            <w:r>
              <w:rPr>
                <w:rFonts w:ascii="Arial" w:cs="Arial" w:eastAsia="Arial" w:hAnsi="Arial"/>
                <w:sz w:val="18"/>
                <w:szCs w:val="18"/>
                <w:color w:val="auto"/>
              </w:rPr>
              <w:t>1,778,142</w:t>
            </w:r>
          </w:p>
        </w:tc>
      </w:tr>
      <w:tr>
        <w:trPr>
          <w:trHeight w:val="27"/>
        </w:trPr>
        <w:tc>
          <w:tcPr>
            <w:tcW w:w="2540" w:type="dxa"/>
            <w:vAlign w:val="bottom"/>
          </w:tcPr>
          <w:p>
            <w:pPr>
              <w:spacing w:after="0"/>
              <w:rPr>
                <w:sz w:val="2"/>
                <w:szCs w:val="2"/>
                <w:color w:val="auto"/>
              </w:rPr>
            </w:pPr>
          </w:p>
        </w:tc>
        <w:tc>
          <w:tcPr>
            <w:tcW w:w="360" w:type="dxa"/>
            <w:vAlign w:val="bottom"/>
          </w:tcPr>
          <w:p>
            <w:pPr>
              <w:spacing w:after="0"/>
              <w:rPr>
                <w:sz w:val="2"/>
                <w:szCs w:val="2"/>
                <w:color w:val="auto"/>
              </w:rPr>
            </w:pPr>
          </w:p>
        </w:tc>
        <w:tc>
          <w:tcPr>
            <w:tcW w:w="1760" w:type="dxa"/>
            <w:vAlign w:val="bottom"/>
          </w:tcPr>
          <w:p>
            <w:pPr>
              <w:spacing w:after="0"/>
              <w:rPr>
                <w:sz w:val="2"/>
                <w:szCs w:val="2"/>
                <w:color w:val="auto"/>
              </w:rPr>
            </w:pPr>
          </w:p>
        </w:tc>
        <w:tc>
          <w:tcPr>
            <w:tcW w:w="400" w:type="dxa"/>
            <w:vAlign w:val="bottom"/>
          </w:tcPr>
          <w:p>
            <w:pPr>
              <w:spacing w:after="0"/>
              <w:rPr>
                <w:sz w:val="2"/>
                <w:szCs w:val="2"/>
                <w:color w:val="auto"/>
              </w:rPr>
            </w:pPr>
          </w:p>
        </w:tc>
        <w:tc>
          <w:tcPr>
            <w:tcW w:w="1760" w:type="dxa"/>
            <w:vAlign w:val="bottom"/>
          </w:tcPr>
          <w:p>
            <w:pPr>
              <w:spacing w:after="0"/>
              <w:rPr>
                <w:sz w:val="2"/>
                <w:szCs w:val="2"/>
                <w:color w:val="auto"/>
              </w:rPr>
            </w:pPr>
          </w:p>
        </w:tc>
      </w:tr>
      <w:tr>
        <w:trPr>
          <w:trHeight w:val="250"/>
        </w:trPr>
        <w:tc>
          <w:tcPr>
            <w:tcW w:w="25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Long-term contract assets</w:t>
            </w:r>
          </w:p>
        </w:tc>
        <w:tc>
          <w:tcPr>
            <w:tcW w:w="360" w:type="dxa"/>
            <w:vAlign w:val="bottom"/>
            <w:tcBorders>
              <w:bottom w:val="single" w:sz="8" w:color="CCEEFF"/>
            </w:tcBorders>
            <w:shd w:val="clear" w:color="auto" w:fill="CCEEFF"/>
          </w:tcPr>
          <w:p>
            <w:pPr>
              <w:spacing w:after="0"/>
              <w:rPr>
                <w:sz w:val="21"/>
                <w:szCs w:val="21"/>
                <w:color w:val="auto"/>
              </w:rPr>
            </w:pPr>
          </w:p>
        </w:tc>
        <w:tc>
          <w:tcPr>
            <w:tcW w:w="17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400" w:type="dxa"/>
            <w:vAlign w:val="bottom"/>
            <w:tcBorders>
              <w:bottom w:val="single" w:sz="8" w:color="CCEEFF"/>
            </w:tcBorders>
            <w:shd w:val="clear" w:color="auto" w:fill="CCEEFF"/>
          </w:tcPr>
          <w:p>
            <w:pPr>
              <w:spacing w:after="0"/>
              <w:rPr>
                <w:sz w:val="21"/>
                <w:szCs w:val="21"/>
                <w:color w:val="auto"/>
              </w:rPr>
            </w:pPr>
          </w:p>
        </w:tc>
        <w:tc>
          <w:tcPr>
            <w:tcW w:w="17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209,699</w:t>
            </w:r>
          </w:p>
        </w:tc>
      </w:tr>
      <w:tr>
        <w:trPr>
          <w:trHeight w:val="243"/>
        </w:trPr>
        <w:tc>
          <w:tcPr>
            <w:tcW w:w="2540" w:type="dxa"/>
            <w:vAlign w:val="bottom"/>
          </w:tcPr>
          <w:p>
            <w:pPr>
              <w:ind w:left="40"/>
              <w:spacing w:after="0"/>
              <w:rPr>
                <w:sz w:val="20"/>
                <w:szCs w:val="20"/>
                <w:color w:val="auto"/>
              </w:rPr>
            </w:pPr>
            <w:r>
              <w:rPr>
                <w:rFonts w:ascii="Arial" w:cs="Arial" w:eastAsia="Arial" w:hAnsi="Arial"/>
                <w:sz w:val="18"/>
                <w:szCs w:val="18"/>
                <w:color w:val="auto"/>
              </w:rPr>
              <w:t>Accrued liabilities</w:t>
            </w:r>
          </w:p>
        </w:tc>
        <w:tc>
          <w:tcPr>
            <w:tcW w:w="360" w:type="dxa"/>
            <w:vAlign w:val="bottom"/>
          </w:tcPr>
          <w:p>
            <w:pPr>
              <w:spacing w:after="0"/>
              <w:rPr>
                <w:sz w:val="21"/>
                <w:szCs w:val="21"/>
                <w:color w:val="auto"/>
              </w:rPr>
            </w:pPr>
          </w:p>
        </w:tc>
        <w:tc>
          <w:tcPr>
            <w:tcW w:w="1760" w:type="dxa"/>
            <w:vAlign w:val="bottom"/>
          </w:tcPr>
          <w:p>
            <w:pPr>
              <w:jc w:val="right"/>
              <w:spacing w:after="0"/>
              <w:rPr>
                <w:sz w:val="20"/>
                <w:szCs w:val="20"/>
                <w:color w:val="auto"/>
              </w:rPr>
            </w:pPr>
            <w:r>
              <w:rPr>
                <w:rFonts w:ascii="Arial" w:cs="Arial" w:eastAsia="Arial" w:hAnsi="Arial"/>
                <w:sz w:val="18"/>
                <w:szCs w:val="18"/>
                <w:color w:val="auto"/>
              </w:rPr>
              <w:t>8,959,935</w:t>
            </w:r>
          </w:p>
        </w:tc>
        <w:tc>
          <w:tcPr>
            <w:tcW w:w="400" w:type="dxa"/>
            <w:vAlign w:val="bottom"/>
          </w:tcPr>
          <w:p>
            <w:pPr>
              <w:spacing w:after="0"/>
              <w:rPr>
                <w:sz w:val="21"/>
                <w:szCs w:val="21"/>
                <w:color w:val="auto"/>
              </w:rPr>
            </w:pPr>
          </w:p>
        </w:tc>
        <w:tc>
          <w:tcPr>
            <w:tcW w:w="1760" w:type="dxa"/>
            <w:vAlign w:val="bottom"/>
          </w:tcPr>
          <w:p>
            <w:pPr>
              <w:jc w:val="right"/>
              <w:spacing w:after="0"/>
              <w:rPr>
                <w:sz w:val="20"/>
                <w:szCs w:val="20"/>
                <w:color w:val="auto"/>
              </w:rPr>
            </w:pPr>
            <w:r>
              <w:rPr>
                <w:rFonts w:ascii="Arial" w:cs="Arial" w:eastAsia="Arial" w:hAnsi="Arial"/>
                <w:sz w:val="18"/>
                <w:szCs w:val="18"/>
                <w:color w:val="auto"/>
              </w:rPr>
              <w:t>6,557,649</w:t>
            </w:r>
          </w:p>
        </w:tc>
      </w:tr>
      <w:tr>
        <w:trPr>
          <w:trHeight w:val="27"/>
        </w:trPr>
        <w:tc>
          <w:tcPr>
            <w:tcW w:w="2540" w:type="dxa"/>
            <w:vAlign w:val="bottom"/>
          </w:tcPr>
          <w:p>
            <w:pPr>
              <w:spacing w:after="0"/>
              <w:rPr>
                <w:sz w:val="2"/>
                <w:szCs w:val="2"/>
                <w:color w:val="auto"/>
              </w:rPr>
            </w:pPr>
          </w:p>
        </w:tc>
        <w:tc>
          <w:tcPr>
            <w:tcW w:w="360" w:type="dxa"/>
            <w:vAlign w:val="bottom"/>
          </w:tcPr>
          <w:p>
            <w:pPr>
              <w:spacing w:after="0"/>
              <w:rPr>
                <w:sz w:val="2"/>
                <w:szCs w:val="2"/>
                <w:color w:val="auto"/>
              </w:rPr>
            </w:pPr>
          </w:p>
        </w:tc>
        <w:tc>
          <w:tcPr>
            <w:tcW w:w="1760" w:type="dxa"/>
            <w:vAlign w:val="bottom"/>
          </w:tcPr>
          <w:p>
            <w:pPr>
              <w:spacing w:after="0"/>
              <w:rPr>
                <w:sz w:val="2"/>
                <w:szCs w:val="2"/>
                <w:color w:val="auto"/>
              </w:rPr>
            </w:pPr>
          </w:p>
        </w:tc>
        <w:tc>
          <w:tcPr>
            <w:tcW w:w="400" w:type="dxa"/>
            <w:vAlign w:val="bottom"/>
          </w:tcPr>
          <w:p>
            <w:pPr>
              <w:spacing w:after="0"/>
              <w:rPr>
                <w:sz w:val="2"/>
                <w:szCs w:val="2"/>
                <w:color w:val="auto"/>
              </w:rPr>
            </w:pPr>
          </w:p>
        </w:tc>
        <w:tc>
          <w:tcPr>
            <w:tcW w:w="1760" w:type="dxa"/>
            <w:vAlign w:val="bottom"/>
          </w:tcPr>
          <w:p>
            <w:pPr>
              <w:spacing w:after="0"/>
              <w:rPr>
                <w:sz w:val="2"/>
                <w:szCs w:val="2"/>
                <w:color w:val="auto"/>
              </w:rPr>
            </w:pPr>
          </w:p>
        </w:tc>
      </w:tr>
      <w:tr>
        <w:trPr>
          <w:trHeight w:val="250"/>
        </w:trPr>
        <w:tc>
          <w:tcPr>
            <w:tcW w:w="25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Contract liabilities</w:t>
            </w:r>
          </w:p>
        </w:tc>
        <w:tc>
          <w:tcPr>
            <w:tcW w:w="360" w:type="dxa"/>
            <w:vAlign w:val="bottom"/>
            <w:tcBorders>
              <w:bottom w:val="single" w:sz="8" w:color="CCEEFF"/>
            </w:tcBorders>
            <w:shd w:val="clear" w:color="auto" w:fill="CCEEFF"/>
          </w:tcPr>
          <w:p>
            <w:pPr>
              <w:spacing w:after="0"/>
              <w:rPr>
                <w:sz w:val="21"/>
                <w:szCs w:val="21"/>
                <w:color w:val="auto"/>
              </w:rPr>
            </w:pPr>
          </w:p>
        </w:tc>
        <w:tc>
          <w:tcPr>
            <w:tcW w:w="17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400" w:type="dxa"/>
            <w:vAlign w:val="bottom"/>
            <w:tcBorders>
              <w:bottom w:val="single" w:sz="8" w:color="CCEEFF"/>
            </w:tcBorders>
            <w:shd w:val="clear" w:color="auto" w:fill="CCEEFF"/>
          </w:tcPr>
          <w:p>
            <w:pPr>
              <w:spacing w:after="0"/>
              <w:rPr>
                <w:sz w:val="21"/>
                <w:szCs w:val="21"/>
                <w:color w:val="auto"/>
              </w:rPr>
            </w:pPr>
          </w:p>
        </w:tc>
        <w:tc>
          <w:tcPr>
            <w:tcW w:w="17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3,428,625</w:t>
            </w:r>
          </w:p>
        </w:tc>
      </w:tr>
      <w:tr>
        <w:trPr>
          <w:trHeight w:val="243"/>
        </w:trPr>
        <w:tc>
          <w:tcPr>
            <w:tcW w:w="2540" w:type="dxa"/>
            <w:vAlign w:val="bottom"/>
          </w:tcPr>
          <w:p>
            <w:pPr>
              <w:ind w:left="40"/>
              <w:spacing w:after="0"/>
              <w:rPr>
                <w:sz w:val="20"/>
                <w:szCs w:val="20"/>
                <w:color w:val="auto"/>
              </w:rPr>
            </w:pPr>
            <w:r>
              <w:rPr>
                <w:rFonts w:ascii="Arial" w:cs="Arial" w:eastAsia="Arial" w:hAnsi="Arial"/>
                <w:sz w:val="18"/>
                <w:szCs w:val="18"/>
                <w:color w:val="auto"/>
              </w:rPr>
              <w:t>Deferred revenue</w:t>
            </w:r>
          </w:p>
        </w:tc>
        <w:tc>
          <w:tcPr>
            <w:tcW w:w="360" w:type="dxa"/>
            <w:vAlign w:val="bottom"/>
          </w:tcPr>
          <w:p>
            <w:pPr>
              <w:spacing w:after="0"/>
              <w:rPr>
                <w:sz w:val="21"/>
                <w:szCs w:val="21"/>
                <w:color w:val="auto"/>
              </w:rPr>
            </w:pPr>
          </w:p>
        </w:tc>
        <w:tc>
          <w:tcPr>
            <w:tcW w:w="1760" w:type="dxa"/>
            <w:vAlign w:val="bottom"/>
          </w:tcPr>
          <w:p>
            <w:pPr>
              <w:jc w:val="right"/>
              <w:spacing w:after="0"/>
              <w:rPr>
                <w:sz w:val="20"/>
                <w:szCs w:val="20"/>
                <w:color w:val="auto"/>
              </w:rPr>
            </w:pPr>
            <w:r>
              <w:rPr>
                <w:rFonts w:ascii="Arial" w:cs="Arial" w:eastAsia="Arial" w:hAnsi="Arial"/>
                <w:sz w:val="18"/>
                <w:szCs w:val="18"/>
                <w:color w:val="auto"/>
              </w:rPr>
              <w:t>1,026,339</w:t>
            </w:r>
          </w:p>
        </w:tc>
        <w:tc>
          <w:tcPr>
            <w:tcW w:w="400" w:type="dxa"/>
            <w:vAlign w:val="bottom"/>
          </w:tcPr>
          <w:p>
            <w:pPr>
              <w:spacing w:after="0"/>
              <w:rPr>
                <w:sz w:val="21"/>
                <w:szCs w:val="21"/>
                <w:color w:val="auto"/>
              </w:rPr>
            </w:pPr>
          </w:p>
        </w:tc>
        <w:tc>
          <w:tcPr>
            <w:tcW w:w="1760" w:type="dxa"/>
            <w:vAlign w:val="bottom"/>
          </w:tcPr>
          <w:p>
            <w:pPr>
              <w:jc w:val="right"/>
              <w:spacing w:after="0"/>
              <w:rPr>
                <w:sz w:val="20"/>
                <w:szCs w:val="20"/>
                <w:color w:val="auto"/>
              </w:rPr>
            </w:pPr>
            <w:r>
              <w:rPr>
                <w:rFonts w:ascii="Arial" w:cs="Arial" w:eastAsia="Arial" w:hAnsi="Arial"/>
                <w:sz w:val="18"/>
                <w:szCs w:val="18"/>
                <w:color w:val="auto"/>
              </w:rPr>
              <w:t>—</w:t>
            </w:r>
          </w:p>
        </w:tc>
      </w:tr>
    </w:tbl>
    <w:p>
      <w:pPr>
        <w:spacing w:after="0" w:line="200" w:lineRule="exact"/>
        <w:rPr>
          <w:sz w:val="20"/>
          <w:szCs w:val="20"/>
          <w:color w:val="auto"/>
        </w:rPr>
      </w:pPr>
    </w:p>
    <w:p>
      <w:pPr>
        <w:spacing w:after="0" w:line="245" w:lineRule="exact"/>
        <w:rPr>
          <w:sz w:val="20"/>
          <w:szCs w:val="20"/>
          <w:color w:val="auto"/>
        </w:rPr>
      </w:pPr>
    </w:p>
    <w:p>
      <w:pPr>
        <w:ind w:firstLine="405"/>
        <w:spacing w:after="0" w:line="287" w:lineRule="auto"/>
        <w:rPr>
          <w:sz w:val="20"/>
          <w:szCs w:val="20"/>
          <w:color w:val="auto"/>
        </w:rPr>
      </w:pPr>
      <w:r>
        <w:rPr>
          <w:rFonts w:ascii="Arial" w:cs="Arial" w:eastAsia="Arial" w:hAnsi="Arial"/>
          <w:sz w:val="16"/>
          <w:szCs w:val="16"/>
          <w:color w:val="auto"/>
        </w:rPr>
        <w:t>Under the new standard, contracts in our Technology Development segment, which primarily provide research services, are not materially impacted upon the adoption of Topic 606 as revenue will continue to be recognized over time using an input model. Contracts in our Products and Licensing segment generally provide for the following revenue sources: standard product sales, custom product development and sales, product rental, extended warranties, training/service, and certain royalties. Revenues for this segment are recognized using either the “point in time” or “over time” methods of Topic 606, depending upon the revenue source. The major change in revenue recognition for the Products and Licensing segment related to custom optoelectronic products which changed from “point in time” to “over time” upon the adoption of Topic 606. Our revenue recognized specific to custom products approximates $10 million annually. This change results in the acceleration of revenue when compared to existing standards with the cumulative adjustment relating to contracts that are not complete as of December 31, 2017 recognized as an adjustment to opening accumulated deficit on January 1, 2018. Our revenue for our standard products will continue to be recognized using the "point in time" model of Topic 606, and the timing of such revenue recognition is not expected to differ materially from our historical revenue recognition. Other immaterial adjustments related to the Products and Licensing segment that are sometimes offered to customers include discounts on future purchases related to rental agreements, customer rights of return, and volume discounts.</w:t>
      </w:r>
    </w:p>
    <w:p>
      <w:pPr>
        <w:spacing w:after="0" w:line="173"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Technology Development Revenues</w:t>
      </w:r>
    </w:p>
    <w:p>
      <w:pPr>
        <w:spacing w:after="0" w:line="225" w:lineRule="exact"/>
        <w:rPr>
          <w:sz w:val="20"/>
          <w:szCs w:val="20"/>
          <w:color w:val="auto"/>
        </w:rPr>
      </w:pPr>
    </w:p>
    <w:p>
      <w:pPr>
        <w:ind w:right="120" w:firstLine="405"/>
        <w:spacing w:after="0" w:line="259" w:lineRule="auto"/>
        <w:rPr>
          <w:sz w:val="20"/>
          <w:szCs w:val="20"/>
          <w:color w:val="auto"/>
        </w:rPr>
      </w:pPr>
      <w:r>
        <w:rPr>
          <w:rFonts w:ascii="Arial" w:cs="Arial" w:eastAsia="Arial" w:hAnsi="Arial"/>
          <w:sz w:val="18"/>
          <w:szCs w:val="18"/>
          <w:color w:val="auto"/>
        </w:rPr>
        <w:t>We perform research and development for U.S. Federal government agencies, educational institutions and commercial organizations. We account for a research contract when a contract has been executed, the rights of the parties are identified, payment terms are identified, the contract has commercial substance, and collectability of the contract price is considered probable. Revenue is earned under cost reimbursable, time and materials and fixed price contracts. Direct contract costs are expensed as incurred.</w:t>
      </w:r>
    </w:p>
    <w:p>
      <w:pPr>
        <w:spacing w:after="0" w:line="187" w:lineRule="exact"/>
        <w:rPr>
          <w:sz w:val="20"/>
          <w:szCs w:val="20"/>
          <w:color w:val="auto"/>
        </w:rPr>
      </w:pPr>
    </w:p>
    <w:p>
      <w:pPr>
        <w:ind w:right="60" w:firstLine="405"/>
        <w:spacing w:after="0" w:line="257" w:lineRule="auto"/>
        <w:rPr>
          <w:sz w:val="20"/>
          <w:szCs w:val="20"/>
          <w:color w:val="auto"/>
        </w:rPr>
      </w:pPr>
      <w:r>
        <w:rPr>
          <w:rFonts w:ascii="Arial" w:cs="Arial" w:eastAsia="Arial" w:hAnsi="Arial"/>
          <w:sz w:val="18"/>
          <w:szCs w:val="18"/>
          <w:color w:val="auto"/>
        </w:rPr>
        <w:t>Our contracts with agencies of the U.S. government are subject to periodic funding by the respective contracting agency. Funding for a contract may be provided in full at inception of the contract or ratably throughout the contract as the services are provided. In evaluating the probability of funding for purposes of assessing collectability of the contract price, we consider our previous experience with our customers, communication with our customers regarding funding status and our knowledge of available funding for the contract or program. If funding is not assessed as probable, revenue recognition is deferred until realization is reasonably assured.</w:t>
      </w:r>
    </w:p>
    <w:p>
      <w:pPr>
        <w:spacing w:after="0" w:line="188" w:lineRule="exact"/>
        <w:rPr>
          <w:sz w:val="20"/>
          <w:szCs w:val="20"/>
          <w:color w:val="auto"/>
        </w:rPr>
      </w:pPr>
    </w:p>
    <w:p>
      <w:pPr>
        <w:ind w:right="40" w:firstLine="405"/>
        <w:spacing w:after="0" w:line="289" w:lineRule="auto"/>
        <w:rPr>
          <w:sz w:val="20"/>
          <w:szCs w:val="20"/>
          <w:color w:val="auto"/>
        </w:rPr>
      </w:pPr>
      <w:r>
        <w:rPr>
          <w:rFonts w:ascii="Arial" w:cs="Arial" w:eastAsia="Arial" w:hAnsi="Arial"/>
          <w:sz w:val="16"/>
          <w:szCs w:val="16"/>
          <w:color w:val="auto"/>
        </w:rPr>
        <w:t>Under the typical payment terms of our U.S. government contracts, the customer pays us either performance-based payments ("PBPs") or progress payments. PBPs, which are typically used in the firm fixed price contracts, are interim payments based on quantifiable measures of performance or on the achievement of specified events or milestones. Progress payments, which are typically used in our cost type contracts, are interim payments based on costs incurred as the work progresses. For our U.S. government cost-type contracts, the customer generally pays us during the performance period for 80%-90% of our actual costs incurred. Because the customer retains a small portion of the contract price until completion of the contract and audit of allowable costs, cost type contracts generally result in revenue recognized in excess of billings which we present as contract assets on the balance sheet. Amounts billed and due from our customers are classified as receivables on the balance sheet. For non-U.S. government contracts, we typically receive interim payments as work progresses, although for some contracts, we may be entitled to receive an advance payment. We recognize a liability for these advance payments and PBPs paid in advance which are in excess of the revenue recognized and present these amounts as contract liabilities on the balance sheet.</w:t>
      </w:r>
    </w:p>
    <w:p>
      <w:pPr>
        <w:spacing w:after="0" w:line="167" w:lineRule="exact"/>
        <w:rPr>
          <w:sz w:val="20"/>
          <w:szCs w:val="20"/>
          <w:color w:val="auto"/>
        </w:rPr>
      </w:pPr>
    </w:p>
    <w:p>
      <w:pPr>
        <w:ind w:right="80" w:firstLine="405"/>
        <w:spacing w:after="0" w:line="255" w:lineRule="auto"/>
        <w:rPr>
          <w:sz w:val="20"/>
          <w:szCs w:val="20"/>
          <w:color w:val="auto"/>
        </w:rPr>
      </w:pPr>
      <w:r>
        <w:rPr>
          <w:rFonts w:ascii="Arial" w:cs="Arial" w:eastAsia="Arial" w:hAnsi="Arial"/>
          <w:sz w:val="18"/>
          <w:szCs w:val="18"/>
          <w:color w:val="auto"/>
        </w:rPr>
        <w:t>To determine the proper revenue recognition method for research and development contracts, we evaluate whether two or more contracts should be combined and accounted for as one single modified contract and whether the combined or single contract should be accounted for as more than one performance obligation. For instances where a contract has options that were bid with the initial contract and awarded at a later date, we combine the options with the original contract when options are awarded. For most of our contracts, the customer contracts for research with multiple milestones that are interdependent. Consequently, the entire contract is accounted for as one performance obligation. The effect of the combined or modified contract on the transaction price and measure of</w:t>
      </w:r>
    </w:p>
    <w:p>
      <w:pPr>
        <w:spacing w:after="0" w:line="220"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8</w:t>
      </w:r>
    </w:p>
    <w:p>
      <w:pPr>
        <w:sectPr>
          <w:pgSz w:w="11900" w:h="16838" w:orient="portrait"/>
          <w:cols w:equalWidth="0" w:num="1">
            <w:col w:w="11380"/>
          </w:cols>
          <w:pgMar w:left="240" w:top="118" w:right="279" w:bottom="1440" w:gutter="0" w:footer="0" w:header="0"/>
        </w:sectPr>
      </w:pPr>
    </w:p>
    <w:bookmarkStart w:id="8" w:name="page9"/>
    <w:bookmarkEnd w:id="8"/>
    <w:p>
      <w:pPr>
        <w:spacing w:after="0"/>
        <w:rPr>
          <w:rFonts w:ascii="Arial" w:cs="Arial" w:eastAsia="Arial" w:hAnsi="Arial"/>
          <w:sz w:val="14"/>
          <w:szCs w:val="14"/>
          <w:b w:val="1"/>
          <w:bCs w:val="1"/>
          <w:u w:val="single" w:color="auto"/>
          <w:color w:val="0000EE"/>
        </w:rPr>
      </w:pPr>
      <w:hyperlink w:anchor="page2">
        <w:r>
          <w:rPr>
            <w:rFonts w:ascii="Arial" w:cs="Arial" w:eastAsia="Arial" w:hAnsi="Arial"/>
            <w:sz w:val="14"/>
            <w:szCs w:val="14"/>
            <w:b w:val="1"/>
            <w:bCs w:val="1"/>
            <w:u w:val="single" w:color="auto"/>
            <w:color w:val="0000EE"/>
          </w:rPr>
          <w:t>Table of Contents</w:t>
        </w:r>
      </w:hyperlink>
    </w:p>
    <w:p>
      <w:pPr>
        <w:spacing w:after="0" w:line="252" w:lineRule="exact"/>
        <w:rPr>
          <w:sz w:val="20"/>
          <w:szCs w:val="20"/>
          <w:color w:val="auto"/>
        </w:rPr>
      </w:pPr>
    </w:p>
    <w:p>
      <w:pPr>
        <w:ind w:right="100"/>
        <w:spacing w:after="0" w:line="277" w:lineRule="auto"/>
        <w:rPr>
          <w:sz w:val="20"/>
          <w:szCs w:val="20"/>
          <w:color w:val="auto"/>
        </w:rPr>
      </w:pPr>
      <w:r>
        <w:rPr>
          <w:rFonts w:ascii="Arial" w:cs="Arial" w:eastAsia="Arial" w:hAnsi="Arial"/>
          <w:sz w:val="18"/>
          <w:szCs w:val="18"/>
          <w:color w:val="auto"/>
        </w:rPr>
        <w:t>progress for the performance obligation to which it relates, is recognized as an adjustment to revenue (either as an increase in or a reduction of revenue) on a cumulative catch-up basis.</w:t>
      </w:r>
    </w:p>
    <w:p>
      <w:pPr>
        <w:spacing w:after="0" w:line="170" w:lineRule="exact"/>
        <w:rPr>
          <w:sz w:val="20"/>
          <w:szCs w:val="20"/>
          <w:color w:val="auto"/>
        </w:rPr>
      </w:pPr>
    </w:p>
    <w:p>
      <w:pPr>
        <w:ind w:right="40" w:firstLine="405"/>
        <w:spacing w:after="0" w:line="255" w:lineRule="auto"/>
        <w:rPr>
          <w:sz w:val="20"/>
          <w:szCs w:val="20"/>
          <w:color w:val="auto"/>
        </w:rPr>
      </w:pPr>
      <w:r>
        <w:rPr>
          <w:rFonts w:ascii="Arial" w:cs="Arial" w:eastAsia="Arial" w:hAnsi="Arial"/>
          <w:sz w:val="18"/>
          <w:szCs w:val="18"/>
          <w:color w:val="auto"/>
        </w:rPr>
        <w:t>Contract revenue recognition is measured over time as we perform because of continuous transfer of control to the customer. For U.S. government contracts which are typically subject to the Federal Acquisition Regulation ("FAR"), this continuous transfer of control to the customer is supported by clauses in the contract that allow the customer to unilaterally terminate the contract for convenience, pay us for cost incurred plus a reasonable profit and take control of any work in process. From time to time, as part of normal management processes, facts may change, causing revisions to estimated total costs or revenues expected. The cumulative impact of any revisions to estimates and the full impact of anticipated losses on any type of contract are recognized in the period in which they become known.</w:t>
      </w:r>
    </w:p>
    <w:p>
      <w:pPr>
        <w:spacing w:after="0" w:line="193" w:lineRule="exact"/>
        <w:rPr>
          <w:sz w:val="20"/>
          <w:szCs w:val="20"/>
          <w:color w:val="auto"/>
        </w:rPr>
      </w:pPr>
    </w:p>
    <w:p>
      <w:pPr>
        <w:ind w:firstLine="405"/>
        <w:spacing w:after="0" w:line="288" w:lineRule="auto"/>
        <w:rPr>
          <w:sz w:val="20"/>
          <w:szCs w:val="20"/>
          <w:color w:val="auto"/>
        </w:rPr>
      </w:pPr>
      <w:r>
        <w:rPr>
          <w:rFonts w:ascii="Arial" w:cs="Arial" w:eastAsia="Arial" w:hAnsi="Arial"/>
          <w:sz w:val="16"/>
          <w:szCs w:val="16"/>
          <w:color w:val="auto"/>
        </w:rPr>
        <w:t>Because of control transferring over time, revenue is recognized based on the extent of progress towards completion of the performance obligation. The selection of the method to measure progress towards completion requires judgment and is based on the nature of the services to be provided. We generally use the input method, more specifically the cost-to-cost measure of progress for our contracts because it best depicts the transfer of control to the customer which occurs as we incur costs on our contracts. Under the cost-to-cost measure of progress, the extent of progress towards completion is measured based on the ratio of costs incurred to date to the total estimated costs at completion of the performance obligation. The underlying bases for estimating our contract research revenues are measurable expenses, such as labor, subcontractor costs and materials, and data that are updated on a regular basis for purposes of preparing our cost estimates. Our research contracts generally have a period of performance of six months to three years, and our estimates of contract costs have historically been consistent with actual results. Revisions in these estimates between accounting periods to reflect changing facts and circumstances have not had a material impact on our operating results, and we do not expect future changes in these estimates to be material. The cumulative impact of any revisions to estimates and the full impact of anticipated losses on any type of contract are recognized in the period in which they become known.</w:t>
      </w:r>
    </w:p>
    <w:p>
      <w:pPr>
        <w:spacing w:after="0" w:line="169" w:lineRule="exact"/>
        <w:rPr>
          <w:sz w:val="20"/>
          <w:szCs w:val="20"/>
          <w:color w:val="auto"/>
        </w:rPr>
      </w:pPr>
    </w:p>
    <w:p>
      <w:pPr>
        <w:ind w:right="40" w:firstLine="405"/>
        <w:spacing w:after="0" w:line="259" w:lineRule="auto"/>
        <w:rPr>
          <w:sz w:val="20"/>
          <w:szCs w:val="20"/>
          <w:color w:val="auto"/>
        </w:rPr>
      </w:pPr>
      <w:r>
        <w:rPr>
          <w:rFonts w:ascii="Arial" w:cs="Arial" w:eastAsia="Arial" w:hAnsi="Arial"/>
          <w:sz w:val="18"/>
          <w:szCs w:val="18"/>
          <w:color w:val="auto"/>
        </w:rPr>
        <w:t>Under cost reimbursable contracts, we are reimbursed for costs that are determined to be reasonable, allowable and allocable to the contract and paid a fixed fee representing the profit negotiated between us and the contracting agency. Revenue from cost reimbursable contracts is recognized as costs are incurred plus an estimate of applicable fees earned. We consider fixed fees under cost reimbursable contracts to be earned in proportion to the allowable costs incurred in performance of the contract.</w:t>
      </w:r>
    </w:p>
    <w:p>
      <w:pPr>
        <w:spacing w:after="0" w:line="187" w:lineRule="exact"/>
        <w:rPr>
          <w:sz w:val="20"/>
          <w:szCs w:val="20"/>
          <w:color w:val="auto"/>
        </w:rPr>
      </w:pPr>
    </w:p>
    <w:p>
      <w:pPr>
        <w:ind w:left="420"/>
        <w:spacing w:after="0"/>
        <w:rPr>
          <w:sz w:val="20"/>
          <w:szCs w:val="20"/>
          <w:color w:val="auto"/>
        </w:rPr>
      </w:pPr>
      <w:r>
        <w:rPr>
          <w:rFonts w:ascii="Arial" w:cs="Arial" w:eastAsia="Arial" w:hAnsi="Arial"/>
          <w:sz w:val="16"/>
          <w:szCs w:val="16"/>
          <w:color w:val="auto"/>
        </w:rPr>
        <w:t>Revenue from time and materials contracts is recognized based on direct labor hours expended at contract billing rates plus other billable direct costs.</w:t>
      </w:r>
    </w:p>
    <w:p>
      <w:pPr>
        <w:spacing w:after="0" w:line="248" w:lineRule="exact"/>
        <w:rPr>
          <w:sz w:val="20"/>
          <w:szCs w:val="20"/>
          <w:color w:val="auto"/>
        </w:rPr>
      </w:pPr>
    </w:p>
    <w:p>
      <w:pPr>
        <w:ind w:right="20" w:firstLine="405"/>
        <w:spacing w:after="0" w:line="257" w:lineRule="auto"/>
        <w:rPr>
          <w:sz w:val="20"/>
          <w:szCs w:val="20"/>
          <w:color w:val="auto"/>
        </w:rPr>
      </w:pPr>
      <w:r>
        <w:rPr>
          <w:rFonts w:ascii="Arial" w:cs="Arial" w:eastAsia="Arial" w:hAnsi="Arial"/>
          <w:sz w:val="18"/>
          <w:szCs w:val="18"/>
          <w:color w:val="auto"/>
        </w:rPr>
        <w:t>Fixed price contracts may include either a product delivery or specific service performance throughout a period. For fixed price contracts that are based on the proportional performance method and involve a specified number of deliverables, we recognize revenue based on the proportion of the cost of the deliverables compared to the cost of all deliverables included in the contract as this method more accurately measures performance under these arrangements. For fixed price contracts that provide for the development and delivery of a specific prototype or product, revenue is recognized based upon the percentage of completion method.</w:t>
      </w:r>
    </w:p>
    <w:p>
      <w:pPr>
        <w:spacing w:after="0" w:line="188" w:lineRule="exact"/>
        <w:rPr>
          <w:sz w:val="20"/>
          <w:szCs w:val="20"/>
          <w:color w:val="auto"/>
        </w:rPr>
      </w:pPr>
    </w:p>
    <w:p>
      <w:pPr>
        <w:ind w:right="60" w:firstLine="405"/>
        <w:spacing w:after="0" w:line="286" w:lineRule="auto"/>
        <w:rPr>
          <w:sz w:val="20"/>
          <w:szCs w:val="20"/>
          <w:color w:val="auto"/>
        </w:rPr>
      </w:pPr>
      <w:r>
        <w:rPr>
          <w:rFonts w:ascii="Arial" w:cs="Arial" w:eastAsia="Arial" w:hAnsi="Arial"/>
          <w:sz w:val="17"/>
          <w:szCs w:val="17"/>
          <w:color w:val="auto"/>
        </w:rPr>
        <w:t>Whether certain costs under government contracts are allowable is subject to audit by the government. Certain indirect costs are charged to contracts using provisional or estimated indirect rates, which are subject to later revision based on government audits of those costs. Management is of the opinion that costs subsequently disallowed, if any, would not likely have a significant impact on revenues recognized for those contracts.</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Products and Licensing Revenues</w:t>
      </w:r>
    </w:p>
    <w:p>
      <w:pPr>
        <w:spacing w:after="0" w:line="225" w:lineRule="exact"/>
        <w:rPr>
          <w:sz w:val="20"/>
          <w:szCs w:val="20"/>
          <w:color w:val="auto"/>
        </w:rPr>
      </w:pPr>
    </w:p>
    <w:p>
      <w:pPr>
        <w:ind w:right="140" w:firstLine="405"/>
        <w:spacing w:after="0" w:line="302" w:lineRule="auto"/>
        <w:rPr>
          <w:sz w:val="20"/>
          <w:szCs w:val="20"/>
          <w:color w:val="auto"/>
        </w:rPr>
      </w:pPr>
      <w:r>
        <w:rPr>
          <w:rFonts w:ascii="Arial" w:cs="Arial" w:eastAsia="Arial" w:hAnsi="Arial"/>
          <w:sz w:val="16"/>
          <w:szCs w:val="16"/>
          <w:color w:val="auto"/>
        </w:rPr>
        <w:t>We produce standard and customized products for commercial organizations, educational institutions, and U.S. Federal government agencies. In addition we will also offer extended warranties, product rentals, and services which include testing, training, or repairs for specific products. Customers also pay royalties as agreed based on sales or usage. We account for product and related items when a contract has been executed, the rights of the parties are identified, payment terms are identified, the contract has commercial substance, and collectability of the contract price is considered probable.</w:t>
      </w:r>
    </w:p>
    <w:p>
      <w:pPr>
        <w:spacing w:after="0" w:line="154" w:lineRule="exact"/>
        <w:rPr>
          <w:sz w:val="20"/>
          <w:szCs w:val="20"/>
          <w:color w:val="auto"/>
        </w:rPr>
      </w:pPr>
    </w:p>
    <w:p>
      <w:pPr>
        <w:ind w:right="20" w:firstLine="405"/>
        <w:spacing w:after="0" w:line="293" w:lineRule="auto"/>
        <w:rPr>
          <w:sz w:val="20"/>
          <w:szCs w:val="20"/>
          <w:color w:val="auto"/>
        </w:rPr>
      </w:pPr>
      <w:r>
        <w:rPr>
          <w:rFonts w:ascii="Arial" w:cs="Arial" w:eastAsia="Arial" w:hAnsi="Arial"/>
          <w:sz w:val="16"/>
          <w:szCs w:val="16"/>
          <w:color w:val="auto"/>
        </w:rPr>
        <w:t>To determine the proper revenue recognition method for Products and Licensing contracts, we evaluate whether two or more contracts should be combined and accounted for as one single contract and whether the combined or single contract should be accounted for as more than one performance obligation. We recognize revenue when the performance obligation has been satisfied by transferring the control of the product or service to the customer. For tangible products that contain software that is essential to the tangible product’s functionality, we consider the product and software to be a single performance obligation and recognize revenue accordingly. For contracts with multiple performance obligations, we allocate the contract’s transaction price to each performance obligation based on their relative stand-alone selling prices. In such circumstances, we use the observable price of goods or services</w:t>
      </w:r>
    </w:p>
    <w:p>
      <w:pPr>
        <w:spacing w:after="0" w:line="19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9</w:t>
      </w:r>
    </w:p>
    <w:p>
      <w:pPr>
        <w:sectPr>
          <w:pgSz w:w="11900" w:h="16838" w:orient="portrait"/>
          <w:cols w:equalWidth="0" w:num="1">
            <w:col w:w="11400"/>
          </w:cols>
          <w:pgMar w:left="240" w:top="118" w:right="259" w:bottom="1440" w:gutter="0" w:footer="0" w:header="0"/>
        </w:sectPr>
      </w:pPr>
    </w:p>
    <w:bookmarkStart w:id="9" w:name="page10"/>
    <w:bookmarkEnd w:id="9"/>
    <w:p>
      <w:pPr>
        <w:spacing w:after="0"/>
        <w:rPr>
          <w:rFonts w:ascii="Arial" w:cs="Arial" w:eastAsia="Arial" w:hAnsi="Arial"/>
          <w:sz w:val="14"/>
          <w:szCs w:val="14"/>
          <w:b w:val="1"/>
          <w:bCs w:val="1"/>
          <w:u w:val="single" w:color="auto"/>
          <w:color w:val="0000EE"/>
        </w:rPr>
      </w:pPr>
      <w:hyperlink w:anchor="page2">
        <w:r>
          <w:rPr>
            <w:rFonts w:ascii="Arial" w:cs="Arial" w:eastAsia="Arial" w:hAnsi="Arial"/>
            <w:sz w:val="14"/>
            <w:szCs w:val="14"/>
            <w:b w:val="1"/>
            <w:bCs w:val="1"/>
            <w:u w:val="single" w:color="auto"/>
            <w:color w:val="0000EE"/>
          </w:rPr>
          <w:t>Table of Contents</w:t>
        </w:r>
      </w:hyperlink>
    </w:p>
    <w:p>
      <w:pPr>
        <w:spacing w:after="0" w:line="252" w:lineRule="exact"/>
        <w:rPr>
          <w:sz w:val="20"/>
          <w:szCs w:val="20"/>
          <w:color w:val="auto"/>
        </w:rPr>
      </w:pPr>
    </w:p>
    <w:p>
      <w:pPr>
        <w:ind w:right="20"/>
        <w:spacing w:after="0" w:line="269" w:lineRule="auto"/>
        <w:rPr>
          <w:sz w:val="20"/>
          <w:szCs w:val="20"/>
          <w:color w:val="auto"/>
        </w:rPr>
      </w:pPr>
      <w:r>
        <w:rPr>
          <w:rFonts w:ascii="Arial" w:cs="Arial" w:eastAsia="Arial" w:hAnsi="Arial"/>
          <w:sz w:val="17"/>
          <w:szCs w:val="17"/>
          <w:color w:val="auto"/>
        </w:rPr>
        <w:t>which are sold separately in similar circumstances to similar customers. If these prices are not observable, then we will estimate the stand-alone selling price using information that is reasonably available. For the majority of our standard products and services, price list and discount structures related to customer type are available. For products and services that do not have price list and discount structures, we may use one or more of the following: (i) adjusted market assessment approach, (ii) expected cost plus a margin approach, and (iii) residual approach. The adjusted market approach requires us to evaluate the market in which we sell goods or services and estimate the price that a customer in that market would be willing to pay for those goods or services. The expected cost plus margin approach requires us to forecast our expected costs of satisfying the performance obligation and then add a reasonable margin for that good or service. The residual approach decreases the total transaction price by the sum of the observable standalone selling prices if either the company sells the same good or services to different customers for a broad range of amounts or the company has not established a price for the good or service and that good or service has not been sold on a standalone basis. Shipping and handling activities primarily occur after a customer obtains control and are considered fulfillment cost rather than separate performance obligations. Similarly, sales and similar taxes assessed by a governmental authority that are both imposed on and concurrent with a specific revenue-producing transaction and collected by the entity from a customer are excluded from the measurement of the transaction price.</w:t>
      </w:r>
    </w:p>
    <w:p>
      <w:pPr>
        <w:spacing w:after="0" w:line="180" w:lineRule="exact"/>
        <w:rPr>
          <w:sz w:val="20"/>
          <w:szCs w:val="20"/>
          <w:color w:val="auto"/>
        </w:rPr>
      </w:pPr>
    </w:p>
    <w:p>
      <w:pPr>
        <w:ind w:firstLine="405"/>
        <w:spacing w:after="0" w:line="286" w:lineRule="auto"/>
        <w:rPr>
          <w:sz w:val="20"/>
          <w:szCs w:val="20"/>
          <w:color w:val="auto"/>
        </w:rPr>
      </w:pPr>
      <w:r>
        <w:rPr>
          <w:rFonts w:ascii="Arial" w:cs="Arial" w:eastAsia="Arial" w:hAnsi="Arial"/>
          <w:sz w:val="16"/>
          <w:szCs w:val="16"/>
          <w:color w:val="auto"/>
        </w:rPr>
        <w:t>For standard products, we recognize revenue at a point in time when control passes to the customer. Absent substantial product acceptance clauses, this is based on the shipping terms. For custom products that require engineering and development based on customer requirements, we will recognize revenue over time using the output method for any items shipped and any finished goods or work in process that is produced for balances of open sales orders. For any finished goods or work in process that has been produced for the balance of open sales orders we recognize revenue by applying the average selling price for such open order to the lesser of the on hand balance in finished goods or open sales order quantity which we present as a contract asset on the balance sheet. Cost of sales is recognized based on the standard cost of the finished goods and work in process associated with this revenue and inventory balances are reduced accordingly. For extended warranties and product rentals, revenue is recognized over time using the output method based on the time elapsed for the warranty or service period. In the case of warranties, we record a contract liability for amounts billed but that are not recognized until subsequent period. A separate contract liability is recorded for the cost associated with warranty repairs based on our estimate of future expense. For testing services where we are performing testing on an asset the customer controls, revenue is recognized over time by the output method using the performance to date. For training where the customer is receiving the benefit of training as it is occurring and for repairs to a customer controlled asset, revenue is recognized over time by the output method using the performance to date. For royalty revenue, we apply the practical expedient “royalty exception” recognizing revenue based on the royalty agreement which specifies an amount based on sales or minimum amount, whichever is greater.</w:t>
      </w:r>
    </w:p>
    <w:p>
      <w:pPr>
        <w:spacing w:after="0" w:line="175" w:lineRule="exact"/>
        <w:rPr>
          <w:sz w:val="20"/>
          <w:szCs w:val="20"/>
          <w:color w:val="auto"/>
        </w:rPr>
      </w:pPr>
    </w:p>
    <w:p>
      <w:pPr>
        <w:ind w:right="100" w:firstLine="405"/>
        <w:spacing w:after="0" w:line="255" w:lineRule="auto"/>
        <w:rPr>
          <w:sz w:val="20"/>
          <w:szCs w:val="20"/>
          <w:color w:val="auto"/>
        </w:rPr>
      </w:pPr>
      <w:r>
        <w:rPr>
          <w:rFonts w:ascii="Arial" w:cs="Arial" w:eastAsia="Arial" w:hAnsi="Arial"/>
          <w:sz w:val="18"/>
          <w:szCs w:val="18"/>
          <w:color w:val="auto"/>
        </w:rPr>
        <w:t>In some product rental contracts, a customer may be offered a discount on the purchase of an item that would provide for a material right. When a material right has been provided to a customer, a separate performance obligation is established and a portion of the rental revenue will be deferred until the future product is purchased or the option expires. This deferred revenue is recognized as a contract liability on the balance sheet. In certain circumstances we may offer a "right of return" to a distributor of our products, in which case a contract liability is calculated based on the terms of the agreement and recorded as a reduction to revenue. In addition, a contract asset for the rights to recover products from customers and a reduction of cost of sales is also calculated and recorded.</w:t>
      </w:r>
    </w:p>
    <w:p>
      <w:pPr>
        <w:spacing w:after="0" w:line="193" w:lineRule="exact"/>
        <w:rPr>
          <w:sz w:val="20"/>
          <w:szCs w:val="20"/>
          <w:color w:val="auto"/>
        </w:rPr>
      </w:pPr>
    </w:p>
    <w:p>
      <w:pPr>
        <w:ind w:right="20" w:firstLine="648"/>
        <w:spacing w:after="0" w:line="291" w:lineRule="auto"/>
        <w:rPr>
          <w:sz w:val="20"/>
          <w:szCs w:val="20"/>
          <w:color w:val="auto"/>
        </w:rPr>
      </w:pPr>
      <w:r>
        <w:rPr>
          <w:rFonts w:ascii="Arial" w:cs="Arial" w:eastAsia="Arial" w:hAnsi="Arial"/>
          <w:sz w:val="16"/>
          <w:szCs w:val="16"/>
          <w:color w:val="auto"/>
        </w:rPr>
        <w:t>Unfulfilled performance obligations represent amounts expected to be earned on executed contracts. Indefinite delivery and quantity contracts and unexercised options are not reported in total unfulfilled performance obligations. Unfulfilled performance obligations include funded obligations, which is the amount for which money has been directly authorized by the U.S. government and for which a purchase order has been received by a commercial customer, and unfunded obligations, representing firm orders for which funding has not yet been appropriated. The approximate value of our Technology Development segment unfulfilled performance obligations was $19.3 million at June 30, 2018. We expect to satisfy 48% of the performance obligations in 2018, 41% in 2019 and the remaining by 2022. The approximate value of our Products and Licensing segment unfulfilled performance obligations was $5.5 million at June 30, 2018. We expect to satisfy 69% of the performance obligations in 2018, 28% in 2019 and the remaining by 2023.</w:t>
      </w:r>
    </w:p>
    <w:p>
      <w:pPr>
        <w:spacing w:after="0" w:line="167" w:lineRule="exact"/>
        <w:rPr>
          <w:sz w:val="20"/>
          <w:szCs w:val="20"/>
          <w:color w:val="auto"/>
        </w:rPr>
      </w:pPr>
    </w:p>
    <w:p>
      <w:pPr>
        <w:ind w:right="200" w:firstLine="405"/>
        <w:spacing w:after="0" w:line="264" w:lineRule="auto"/>
        <w:rPr>
          <w:sz w:val="20"/>
          <w:szCs w:val="20"/>
          <w:color w:val="auto"/>
        </w:rPr>
      </w:pPr>
      <w:r>
        <w:rPr>
          <w:rFonts w:ascii="Arial" w:cs="Arial" w:eastAsia="Arial" w:hAnsi="Arial"/>
          <w:sz w:val="18"/>
          <w:szCs w:val="18"/>
          <w:color w:val="auto"/>
        </w:rPr>
        <w:t>We disaggregate our revenue from contracts with customers by geographic locations, customer-type, contract type, timing of recognition, and major categories for each of our segments, as we believe it best depicts how the nature, amount, timing and uncertainty of our revenue and cash flows are affected by economic factors. See details in the tables below.</w:t>
      </w:r>
    </w:p>
    <w:p>
      <w:pPr>
        <w:spacing w:after="0" w:line="200" w:lineRule="exact"/>
        <w:rPr>
          <w:sz w:val="20"/>
          <w:szCs w:val="20"/>
          <w:color w:val="auto"/>
        </w:rPr>
      </w:pPr>
    </w:p>
    <w:p>
      <w:pPr>
        <w:spacing w:after="0" w:line="22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10</w:t>
      </w:r>
    </w:p>
    <w:p>
      <w:pPr>
        <w:sectPr>
          <w:pgSz w:w="11900" w:h="16838" w:orient="portrait"/>
          <w:cols w:equalWidth="0" w:num="1">
            <w:col w:w="11420"/>
          </w:cols>
          <w:pgMar w:left="240" w:top="118" w:right="239" w:bottom="1440" w:gutter="0" w:footer="0" w:header="0"/>
        </w:sectPr>
      </w:pPr>
    </w:p>
    <w:bookmarkStart w:id="10" w:name="page11"/>
    <w:bookmarkEnd w:id="10"/>
    <w:p>
      <w:pPr>
        <w:spacing w:after="0"/>
        <w:rPr>
          <w:rFonts w:ascii="Arial" w:cs="Arial" w:eastAsia="Arial" w:hAnsi="Arial"/>
          <w:sz w:val="14"/>
          <w:szCs w:val="14"/>
          <w:b w:val="1"/>
          <w:bCs w:val="1"/>
          <w:u w:val="single" w:color="auto"/>
          <w:color w:val="0000EE"/>
        </w:rPr>
      </w:pPr>
      <w:hyperlink w:anchor="page2">
        <w:r>
          <w:rPr>
            <w:rFonts w:ascii="Arial" w:cs="Arial" w:eastAsia="Arial" w:hAnsi="Arial"/>
            <w:sz w:val="14"/>
            <w:szCs w:val="14"/>
            <w:b w:val="1"/>
            <w:bCs w:val="1"/>
            <w:u w:val="single" w:color="auto"/>
            <w:color w:val="0000EE"/>
          </w:rPr>
          <w:t>Table of Contents</w:t>
        </w:r>
      </w:hyperlink>
    </w:p>
    <w:p>
      <w:pPr>
        <w:spacing w:after="0" w:line="200" w:lineRule="exact"/>
        <w:rPr>
          <w:sz w:val="20"/>
          <w:szCs w:val="20"/>
          <w:color w:val="auto"/>
        </w:rPr>
      </w:pPr>
    </w:p>
    <w:p>
      <w:pPr>
        <w:spacing w:after="0" w:line="210" w:lineRule="exact"/>
        <w:rPr>
          <w:sz w:val="20"/>
          <w:szCs w:val="20"/>
          <w:color w:val="auto"/>
        </w:rPr>
      </w:pPr>
    </w:p>
    <w:tbl>
      <w:tblPr>
        <w:tblLayout w:type="fixed"/>
        <w:tblInd w:w="3500" w:type="dxa"/>
        <w:tblCellMar>
          <w:top w:w="0" w:type="dxa"/>
          <w:left w:w="0" w:type="dxa"/>
          <w:bottom w:w="0" w:type="dxa"/>
          <w:right w:w="0" w:type="dxa"/>
        </w:tblCellMar>
      </w:tblPr>
      <w:tr>
        <w:trPr>
          <w:trHeight w:val="234"/>
        </w:trPr>
        <w:tc>
          <w:tcPr>
            <w:tcW w:w="3900" w:type="dxa"/>
            <w:vAlign w:val="bottom"/>
            <w:gridSpan w:val="4"/>
          </w:tcPr>
          <w:p>
            <w:pPr>
              <w:jc w:val="center"/>
              <w:ind w:right="420"/>
              <w:spacing w:after="0"/>
              <w:rPr>
                <w:sz w:val="20"/>
                <w:szCs w:val="20"/>
                <w:color w:val="auto"/>
              </w:rPr>
            </w:pPr>
            <w:r>
              <w:rPr>
                <w:rFonts w:ascii="Arial" w:cs="Arial" w:eastAsia="Arial" w:hAnsi="Arial"/>
                <w:sz w:val="18"/>
                <w:szCs w:val="18"/>
                <w:b w:val="1"/>
                <w:bCs w:val="1"/>
                <w:color w:val="auto"/>
                <w:w w:val="90"/>
              </w:rPr>
              <w:t>Three Months Ended June 30, 2018</w:t>
            </w:r>
          </w:p>
        </w:tc>
        <w:tc>
          <w:tcPr>
            <w:tcW w:w="3580" w:type="dxa"/>
            <w:vAlign w:val="bottom"/>
            <w:gridSpan w:val="3"/>
          </w:tcPr>
          <w:p>
            <w:pPr>
              <w:jc w:val="center"/>
              <w:spacing w:after="0"/>
              <w:rPr>
                <w:sz w:val="20"/>
                <w:szCs w:val="20"/>
                <w:color w:val="auto"/>
              </w:rPr>
            </w:pPr>
            <w:r>
              <w:rPr>
                <w:rFonts w:ascii="Arial" w:cs="Arial" w:eastAsia="Arial" w:hAnsi="Arial"/>
                <w:sz w:val="18"/>
                <w:szCs w:val="18"/>
                <w:b w:val="1"/>
                <w:bCs w:val="1"/>
                <w:color w:val="auto"/>
                <w:w w:val="90"/>
              </w:rPr>
              <w:t>Six Months Ended June 30, 2018</w:t>
            </w:r>
          </w:p>
        </w:tc>
        <w:tc>
          <w:tcPr>
            <w:tcW w:w="0" w:type="dxa"/>
            <w:vAlign w:val="bottom"/>
          </w:tcPr>
          <w:p>
            <w:pPr>
              <w:spacing w:after="0"/>
              <w:rPr>
                <w:sz w:val="1"/>
                <w:szCs w:val="1"/>
                <w:color w:val="auto"/>
              </w:rPr>
            </w:pPr>
          </w:p>
        </w:tc>
      </w:tr>
      <w:tr>
        <w:trPr>
          <w:trHeight w:val="27"/>
        </w:trPr>
        <w:tc>
          <w:tcPr>
            <w:tcW w:w="114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420" w:type="dxa"/>
            <w:vAlign w:val="bottom"/>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38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7"/>
        </w:trPr>
        <w:tc>
          <w:tcPr>
            <w:tcW w:w="1140" w:type="dxa"/>
            <w:vAlign w:val="bottom"/>
          </w:tcPr>
          <w:p>
            <w:pPr>
              <w:spacing w:after="0"/>
              <w:rPr>
                <w:sz w:val="20"/>
                <w:szCs w:val="20"/>
                <w:color w:val="auto"/>
              </w:rPr>
            </w:pPr>
          </w:p>
        </w:tc>
        <w:tc>
          <w:tcPr>
            <w:tcW w:w="1320" w:type="dxa"/>
            <w:vAlign w:val="bottom"/>
          </w:tcPr>
          <w:p>
            <w:pPr>
              <w:jc w:val="center"/>
              <w:ind w:right="22"/>
              <w:spacing w:after="0"/>
              <w:rPr>
                <w:sz w:val="20"/>
                <w:szCs w:val="20"/>
                <w:color w:val="auto"/>
              </w:rPr>
            </w:pPr>
            <w:r>
              <w:rPr>
                <w:rFonts w:ascii="Arial" w:cs="Arial" w:eastAsia="Arial" w:hAnsi="Arial"/>
                <w:sz w:val="18"/>
                <w:szCs w:val="18"/>
                <w:b w:val="1"/>
                <w:bCs w:val="1"/>
                <w:color w:val="auto"/>
                <w:w w:val="91"/>
              </w:rPr>
              <w:t>(unaudited)</w:t>
            </w:r>
          </w:p>
        </w:tc>
        <w:tc>
          <w:tcPr>
            <w:tcW w:w="102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1140" w:type="dxa"/>
            <w:vAlign w:val="bottom"/>
          </w:tcPr>
          <w:p>
            <w:pPr>
              <w:spacing w:after="0"/>
              <w:rPr>
                <w:sz w:val="20"/>
                <w:szCs w:val="20"/>
                <w:color w:val="auto"/>
              </w:rPr>
            </w:pPr>
          </w:p>
        </w:tc>
        <w:tc>
          <w:tcPr>
            <w:tcW w:w="1380" w:type="dxa"/>
            <w:vAlign w:val="bottom"/>
          </w:tcPr>
          <w:p>
            <w:pPr>
              <w:jc w:val="center"/>
              <w:ind w:right="2"/>
              <w:spacing w:after="0"/>
              <w:rPr>
                <w:sz w:val="20"/>
                <w:szCs w:val="20"/>
                <w:color w:val="auto"/>
              </w:rPr>
            </w:pPr>
            <w:r>
              <w:rPr>
                <w:rFonts w:ascii="Arial" w:cs="Arial" w:eastAsia="Arial" w:hAnsi="Arial"/>
                <w:sz w:val="18"/>
                <w:szCs w:val="18"/>
                <w:b w:val="1"/>
                <w:bCs w:val="1"/>
                <w:color w:val="auto"/>
                <w:w w:val="91"/>
              </w:rPr>
              <w:t>(unaudited)</w:t>
            </w:r>
          </w:p>
        </w:tc>
        <w:tc>
          <w:tcPr>
            <w:tcW w:w="10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7"/>
        </w:trPr>
        <w:tc>
          <w:tcPr>
            <w:tcW w:w="114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420" w:type="dxa"/>
            <w:vAlign w:val="bottom"/>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38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146"/>
        </w:trPr>
        <w:tc>
          <w:tcPr>
            <w:tcW w:w="1140" w:type="dxa"/>
            <w:vAlign w:val="bottom"/>
          </w:tcPr>
          <w:p>
            <w:pPr>
              <w:jc w:val="center"/>
              <w:spacing w:after="0" w:line="147" w:lineRule="exact"/>
              <w:rPr>
                <w:sz w:val="20"/>
                <w:szCs w:val="20"/>
                <w:color w:val="auto"/>
              </w:rPr>
            </w:pPr>
            <w:r>
              <w:rPr>
                <w:rFonts w:ascii="Arial" w:cs="Arial" w:eastAsia="Arial" w:hAnsi="Arial"/>
                <w:sz w:val="14"/>
                <w:szCs w:val="14"/>
                <w:b w:val="1"/>
                <w:bCs w:val="1"/>
                <w:color w:val="auto"/>
                <w:w w:val="89"/>
              </w:rPr>
              <w:t>Technology</w:t>
            </w:r>
          </w:p>
        </w:tc>
        <w:tc>
          <w:tcPr>
            <w:tcW w:w="1320" w:type="dxa"/>
            <w:vAlign w:val="bottom"/>
          </w:tcPr>
          <w:p>
            <w:pPr>
              <w:jc w:val="center"/>
              <w:ind w:right="62"/>
              <w:spacing w:after="0" w:line="147" w:lineRule="exact"/>
              <w:rPr>
                <w:sz w:val="20"/>
                <w:szCs w:val="20"/>
                <w:color w:val="auto"/>
              </w:rPr>
            </w:pPr>
            <w:r>
              <w:rPr>
                <w:rFonts w:ascii="Arial" w:cs="Arial" w:eastAsia="Arial" w:hAnsi="Arial"/>
                <w:sz w:val="14"/>
                <w:szCs w:val="14"/>
                <w:b w:val="1"/>
                <w:bCs w:val="1"/>
                <w:color w:val="auto"/>
                <w:w w:val="91"/>
              </w:rPr>
              <w:t>Products and</w:t>
            </w:r>
          </w:p>
        </w:tc>
        <w:tc>
          <w:tcPr>
            <w:tcW w:w="1440" w:type="dxa"/>
            <w:vAlign w:val="bottom"/>
            <w:gridSpan w:val="2"/>
            <w:vMerge w:val="restart"/>
          </w:tcPr>
          <w:p>
            <w:pPr>
              <w:ind w:left="280"/>
              <w:spacing w:after="0"/>
              <w:rPr>
                <w:sz w:val="20"/>
                <w:szCs w:val="20"/>
                <w:color w:val="auto"/>
              </w:rPr>
            </w:pPr>
            <w:r>
              <w:rPr>
                <w:rFonts w:ascii="Arial" w:cs="Arial" w:eastAsia="Arial" w:hAnsi="Arial"/>
                <w:sz w:val="14"/>
                <w:szCs w:val="14"/>
                <w:b w:val="1"/>
                <w:bCs w:val="1"/>
                <w:color w:val="auto"/>
              </w:rPr>
              <w:t>Total</w:t>
            </w:r>
          </w:p>
        </w:tc>
        <w:tc>
          <w:tcPr>
            <w:tcW w:w="1140" w:type="dxa"/>
            <w:vAlign w:val="bottom"/>
          </w:tcPr>
          <w:p>
            <w:pPr>
              <w:jc w:val="center"/>
              <w:spacing w:after="0" w:line="147" w:lineRule="exact"/>
              <w:rPr>
                <w:sz w:val="20"/>
                <w:szCs w:val="20"/>
                <w:color w:val="auto"/>
              </w:rPr>
            </w:pPr>
            <w:r>
              <w:rPr>
                <w:rFonts w:ascii="Arial" w:cs="Arial" w:eastAsia="Arial" w:hAnsi="Arial"/>
                <w:sz w:val="14"/>
                <w:szCs w:val="14"/>
                <w:b w:val="1"/>
                <w:bCs w:val="1"/>
                <w:color w:val="auto"/>
                <w:w w:val="89"/>
              </w:rPr>
              <w:t>Technology</w:t>
            </w:r>
          </w:p>
        </w:tc>
        <w:tc>
          <w:tcPr>
            <w:tcW w:w="1380" w:type="dxa"/>
            <w:vAlign w:val="bottom"/>
          </w:tcPr>
          <w:p>
            <w:pPr>
              <w:jc w:val="center"/>
              <w:ind w:right="122"/>
              <w:spacing w:after="0" w:line="147" w:lineRule="exact"/>
              <w:rPr>
                <w:sz w:val="20"/>
                <w:szCs w:val="20"/>
                <w:color w:val="auto"/>
              </w:rPr>
            </w:pPr>
            <w:r>
              <w:rPr>
                <w:rFonts w:ascii="Arial" w:cs="Arial" w:eastAsia="Arial" w:hAnsi="Arial"/>
                <w:sz w:val="14"/>
                <w:szCs w:val="14"/>
                <w:b w:val="1"/>
                <w:bCs w:val="1"/>
                <w:color w:val="auto"/>
                <w:w w:val="91"/>
              </w:rPr>
              <w:t>Products and</w:t>
            </w:r>
          </w:p>
        </w:tc>
        <w:tc>
          <w:tcPr>
            <w:tcW w:w="1060" w:type="dxa"/>
            <w:vAlign w:val="bottom"/>
            <w:vMerge w:val="restart"/>
          </w:tcPr>
          <w:p>
            <w:pPr>
              <w:ind w:left="260"/>
              <w:spacing w:after="0"/>
              <w:rPr>
                <w:sz w:val="20"/>
                <w:szCs w:val="20"/>
                <w:color w:val="auto"/>
              </w:rPr>
            </w:pPr>
            <w:r>
              <w:rPr>
                <w:rFonts w:ascii="Arial" w:cs="Arial" w:eastAsia="Arial" w:hAnsi="Arial"/>
                <w:sz w:val="14"/>
                <w:szCs w:val="14"/>
                <w:b w:val="1"/>
                <w:bCs w:val="1"/>
                <w:color w:val="auto"/>
              </w:rPr>
              <w:t>Total</w:t>
            </w:r>
          </w:p>
        </w:tc>
        <w:tc>
          <w:tcPr>
            <w:tcW w:w="0" w:type="dxa"/>
            <w:vAlign w:val="bottom"/>
          </w:tcPr>
          <w:p>
            <w:pPr>
              <w:spacing w:after="0"/>
              <w:rPr>
                <w:sz w:val="1"/>
                <w:szCs w:val="1"/>
                <w:color w:val="auto"/>
              </w:rPr>
            </w:pPr>
          </w:p>
        </w:tc>
      </w:tr>
      <w:tr>
        <w:trPr>
          <w:trHeight w:val="186"/>
        </w:trPr>
        <w:tc>
          <w:tcPr>
            <w:tcW w:w="1140" w:type="dxa"/>
            <w:vAlign w:val="bottom"/>
          </w:tcPr>
          <w:p>
            <w:pPr>
              <w:jc w:val="center"/>
              <w:spacing w:after="0"/>
              <w:rPr>
                <w:sz w:val="20"/>
                <w:szCs w:val="20"/>
                <w:color w:val="auto"/>
              </w:rPr>
            </w:pPr>
            <w:r>
              <w:rPr>
                <w:rFonts w:ascii="Arial" w:cs="Arial" w:eastAsia="Arial" w:hAnsi="Arial"/>
                <w:sz w:val="14"/>
                <w:szCs w:val="14"/>
                <w:b w:val="1"/>
                <w:bCs w:val="1"/>
                <w:color w:val="auto"/>
                <w:w w:val="93"/>
              </w:rPr>
              <w:t>Development</w:t>
            </w:r>
          </w:p>
        </w:tc>
        <w:tc>
          <w:tcPr>
            <w:tcW w:w="1320" w:type="dxa"/>
            <w:vAlign w:val="bottom"/>
          </w:tcPr>
          <w:p>
            <w:pPr>
              <w:jc w:val="center"/>
              <w:ind w:right="62"/>
              <w:spacing w:after="0"/>
              <w:rPr>
                <w:sz w:val="20"/>
                <w:szCs w:val="20"/>
                <w:color w:val="auto"/>
              </w:rPr>
            </w:pPr>
            <w:r>
              <w:rPr>
                <w:rFonts w:ascii="Arial" w:cs="Arial" w:eastAsia="Arial" w:hAnsi="Arial"/>
                <w:sz w:val="14"/>
                <w:szCs w:val="14"/>
                <w:b w:val="1"/>
                <w:bCs w:val="1"/>
                <w:color w:val="auto"/>
                <w:w w:val="88"/>
              </w:rPr>
              <w:t>Licensing</w:t>
            </w:r>
          </w:p>
        </w:tc>
        <w:tc>
          <w:tcPr>
            <w:tcW w:w="1440" w:type="dxa"/>
            <w:vAlign w:val="bottom"/>
            <w:gridSpan w:val="2"/>
            <w:vMerge w:val="continue"/>
          </w:tcPr>
          <w:p>
            <w:pPr>
              <w:spacing w:after="0"/>
              <w:rPr>
                <w:sz w:val="16"/>
                <w:szCs w:val="16"/>
                <w:color w:val="auto"/>
              </w:rPr>
            </w:pPr>
          </w:p>
        </w:tc>
        <w:tc>
          <w:tcPr>
            <w:tcW w:w="1140" w:type="dxa"/>
            <w:vAlign w:val="bottom"/>
          </w:tcPr>
          <w:p>
            <w:pPr>
              <w:jc w:val="center"/>
              <w:spacing w:after="0"/>
              <w:rPr>
                <w:sz w:val="20"/>
                <w:szCs w:val="20"/>
                <w:color w:val="auto"/>
              </w:rPr>
            </w:pPr>
            <w:r>
              <w:rPr>
                <w:rFonts w:ascii="Arial" w:cs="Arial" w:eastAsia="Arial" w:hAnsi="Arial"/>
                <w:sz w:val="14"/>
                <w:szCs w:val="14"/>
                <w:b w:val="1"/>
                <w:bCs w:val="1"/>
                <w:color w:val="auto"/>
                <w:w w:val="93"/>
              </w:rPr>
              <w:t>Development</w:t>
            </w:r>
          </w:p>
        </w:tc>
        <w:tc>
          <w:tcPr>
            <w:tcW w:w="1380" w:type="dxa"/>
            <w:vAlign w:val="bottom"/>
          </w:tcPr>
          <w:p>
            <w:pPr>
              <w:jc w:val="center"/>
              <w:ind w:right="122"/>
              <w:spacing w:after="0"/>
              <w:rPr>
                <w:sz w:val="20"/>
                <w:szCs w:val="20"/>
                <w:color w:val="auto"/>
              </w:rPr>
            </w:pPr>
            <w:r>
              <w:rPr>
                <w:rFonts w:ascii="Arial" w:cs="Arial" w:eastAsia="Arial" w:hAnsi="Arial"/>
                <w:sz w:val="14"/>
                <w:szCs w:val="14"/>
                <w:b w:val="1"/>
                <w:bCs w:val="1"/>
                <w:color w:val="auto"/>
                <w:w w:val="88"/>
              </w:rPr>
              <w:t>Licensing</w:t>
            </w:r>
          </w:p>
        </w:tc>
        <w:tc>
          <w:tcPr>
            <w:tcW w:w="1060" w:type="dxa"/>
            <w:vAlign w:val="bottom"/>
            <w:vMerge w:val="continue"/>
          </w:tcPr>
          <w:p>
            <w:pPr>
              <w:spacing w:after="0"/>
              <w:rPr>
                <w:sz w:val="16"/>
                <w:szCs w:val="16"/>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288290</wp:posOffset>
            </wp:positionH>
            <wp:positionV relativeFrom="paragraph">
              <wp:posOffset>7620</wp:posOffset>
            </wp:positionV>
            <wp:extent cx="6689090" cy="18034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6689090" cy="180340"/>
                    </a:xfrm>
                    <a:prstGeom prst="rect">
                      <a:avLst/>
                    </a:prstGeom>
                    <a:noFill/>
                  </pic:spPr>
                </pic:pic>
              </a:graphicData>
            </a:graphic>
          </wp:anchor>
        </w:drawing>
      </w:r>
    </w:p>
    <w:p>
      <w:pPr>
        <w:spacing w:after="0" w:line="18" w:lineRule="exact"/>
        <w:rPr>
          <w:sz w:val="20"/>
          <w:szCs w:val="20"/>
          <w:color w:val="auto"/>
        </w:rPr>
      </w:pPr>
    </w:p>
    <w:p>
      <w:pPr>
        <w:ind w:left="480"/>
        <w:spacing w:after="0"/>
        <w:rPr>
          <w:sz w:val="20"/>
          <w:szCs w:val="20"/>
          <w:color w:val="auto"/>
        </w:rPr>
      </w:pPr>
      <w:r>
        <w:rPr>
          <w:rFonts w:ascii="Arial" w:cs="Arial" w:eastAsia="Arial" w:hAnsi="Arial"/>
          <w:sz w:val="18"/>
          <w:szCs w:val="18"/>
          <w:color w:val="auto"/>
        </w:rPr>
        <w:t>Total Revenue by Geographic Location</w:t>
      </w:r>
    </w:p>
    <w:p>
      <w:pPr>
        <w:sectPr>
          <w:pgSz w:w="11900" w:h="16838" w:orient="portrait"/>
          <w:cols w:equalWidth="0" w:num="1">
            <w:col w:w="11420"/>
          </w:cols>
          <w:pgMar w:left="240" w:top="118" w:right="239" w:bottom="1440" w:gutter="0" w:footer="0" w:header="0"/>
        </w:sectPr>
      </w:pPr>
    </w:p>
    <w:p>
      <w:pPr>
        <w:spacing w:after="0" w:line="63" w:lineRule="exact"/>
        <w:rPr>
          <w:sz w:val="20"/>
          <w:szCs w:val="20"/>
          <w:color w:val="auto"/>
        </w:rPr>
      </w:pPr>
    </w:p>
    <w:tbl>
      <w:tblPr>
        <w:tblLayout w:type="fixed"/>
        <w:tblInd w:w="460" w:type="dxa"/>
        <w:tblCellMar>
          <w:top w:w="0" w:type="dxa"/>
          <w:left w:w="0" w:type="dxa"/>
          <w:bottom w:w="0" w:type="dxa"/>
          <w:right w:w="0" w:type="dxa"/>
        </w:tblCellMar>
      </w:tblPr>
      <w:tr>
        <w:trPr>
          <w:trHeight w:val="230"/>
        </w:trPr>
        <w:tc>
          <w:tcPr>
            <w:tcW w:w="3020" w:type="dxa"/>
            <w:vAlign w:val="bottom"/>
          </w:tcPr>
          <w:p>
            <w:pPr>
              <w:ind w:left="220"/>
              <w:spacing w:after="0"/>
              <w:rPr>
                <w:sz w:val="20"/>
                <w:szCs w:val="20"/>
                <w:color w:val="auto"/>
              </w:rPr>
            </w:pPr>
            <w:r>
              <w:rPr>
                <w:rFonts w:ascii="Arial" w:cs="Arial" w:eastAsia="Arial" w:hAnsi="Arial"/>
                <w:sz w:val="18"/>
                <w:szCs w:val="18"/>
                <w:color w:val="auto"/>
              </w:rPr>
              <w:t>United States</w:t>
            </w:r>
          </w:p>
        </w:tc>
        <w:tc>
          <w:tcPr>
            <w:tcW w:w="240" w:type="dxa"/>
            <w:vAlign w:val="bottom"/>
          </w:tcPr>
          <w:p>
            <w:pPr>
              <w:jc w:val="right"/>
              <w:ind w:right="30"/>
              <w:spacing w:after="0"/>
              <w:rPr>
                <w:sz w:val="20"/>
                <w:szCs w:val="20"/>
                <w:color w:val="auto"/>
              </w:rPr>
            </w:pPr>
            <w:r>
              <w:rPr>
                <w:rFonts w:ascii="Arial" w:cs="Arial" w:eastAsia="Arial" w:hAnsi="Arial"/>
                <w:sz w:val="18"/>
                <w:szCs w:val="18"/>
                <w:color w:val="auto"/>
                <w:w w:val="99"/>
              </w:rPr>
              <w:t>$</w:t>
            </w:r>
          </w:p>
        </w:tc>
        <w:tc>
          <w:tcPr>
            <w:tcW w:w="900" w:type="dxa"/>
            <w:vAlign w:val="bottom"/>
          </w:tcPr>
          <w:p>
            <w:pPr>
              <w:jc w:val="right"/>
              <w:spacing w:after="0"/>
              <w:rPr>
                <w:sz w:val="20"/>
                <w:szCs w:val="20"/>
                <w:color w:val="auto"/>
              </w:rPr>
            </w:pPr>
            <w:r>
              <w:rPr>
                <w:rFonts w:ascii="Arial" w:cs="Arial" w:eastAsia="Arial" w:hAnsi="Arial"/>
                <w:sz w:val="18"/>
                <w:szCs w:val="18"/>
                <w:color w:val="auto"/>
              </w:rPr>
              <w:t>5,466,281</w:t>
            </w:r>
          </w:p>
        </w:tc>
        <w:tc>
          <w:tcPr>
            <w:tcW w:w="260" w:type="dxa"/>
            <w:vAlign w:val="bottom"/>
          </w:tcPr>
          <w:p>
            <w:pPr>
              <w:jc w:val="right"/>
              <w:ind w:right="30"/>
              <w:spacing w:after="0"/>
              <w:rPr>
                <w:sz w:val="20"/>
                <w:szCs w:val="20"/>
                <w:color w:val="auto"/>
              </w:rPr>
            </w:pPr>
            <w:r>
              <w:rPr>
                <w:rFonts w:ascii="Arial" w:cs="Arial" w:eastAsia="Arial" w:hAnsi="Arial"/>
                <w:sz w:val="18"/>
                <w:szCs w:val="18"/>
                <w:color w:val="auto"/>
              </w:rPr>
              <w:t>$</w:t>
            </w:r>
          </w:p>
        </w:tc>
        <w:tc>
          <w:tcPr>
            <w:tcW w:w="900" w:type="dxa"/>
            <w:vAlign w:val="bottom"/>
          </w:tcPr>
          <w:p>
            <w:pPr>
              <w:jc w:val="right"/>
              <w:spacing w:after="0"/>
              <w:rPr>
                <w:sz w:val="20"/>
                <w:szCs w:val="20"/>
                <w:color w:val="auto"/>
              </w:rPr>
            </w:pPr>
            <w:r>
              <w:rPr>
                <w:rFonts w:ascii="Arial" w:cs="Arial" w:eastAsia="Arial" w:hAnsi="Arial"/>
                <w:sz w:val="18"/>
                <w:szCs w:val="18"/>
                <w:color w:val="auto"/>
              </w:rPr>
              <w:t>4,992,300</w:t>
            </w:r>
          </w:p>
        </w:tc>
        <w:tc>
          <w:tcPr>
            <w:tcW w:w="220" w:type="dxa"/>
            <w:vAlign w:val="bottom"/>
          </w:tcPr>
          <w:p>
            <w:pPr>
              <w:jc w:val="right"/>
              <w:spacing w:after="0"/>
              <w:rPr>
                <w:sz w:val="20"/>
                <w:szCs w:val="20"/>
                <w:color w:val="auto"/>
              </w:rPr>
            </w:pPr>
            <w:r>
              <w:rPr>
                <w:rFonts w:ascii="Arial" w:cs="Arial" w:eastAsia="Arial" w:hAnsi="Arial"/>
                <w:sz w:val="18"/>
                <w:szCs w:val="18"/>
                <w:color w:val="auto"/>
              </w:rPr>
              <w:t>$</w:t>
            </w:r>
          </w:p>
        </w:tc>
        <w:tc>
          <w:tcPr>
            <w:tcW w:w="980" w:type="dxa"/>
            <w:vAlign w:val="bottom"/>
          </w:tcPr>
          <w:p>
            <w:pPr>
              <w:jc w:val="right"/>
              <w:ind w:right="10"/>
              <w:spacing w:after="0"/>
              <w:rPr>
                <w:sz w:val="20"/>
                <w:szCs w:val="20"/>
                <w:color w:val="auto"/>
              </w:rPr>
            </w:pPr>
            <w:r>
              <w:rPr>
                <w:rFonts w:ascii="Arial" w:cs="Arial" w:eastAsia="Arial" w:hAnsi="Arial"/>
                <w:sz w:val="18"/>
                <w:szCs w:val="18"/>
                <w:color w:val="auto"/>
                <w:w w:val="95"/>
              </w:rPr>
              <w:t>10,458,581</w:t>
            </w:r>
          </w:p>
        </w:tc>
      </w:tr>
      <w:tr>
        <w:trPr>
          <w:trHeight w:val="270"/>
        </w:trPr>
        <w:tc>
          <w:tcPr>
            <w:tcW w:w="3020" w:type="dxa"/>
            <w:vAlign w:val="bottom"/>
          </w:tcPr>
          <w:p>
            <w:pPr>
              <w:ind w:left="220"/>
              <w:spacing w:after="0"/>
              <w:rPr>
                <w:sz w:val="20"/>
                <w:szCs w:val="20"/>
                <w:color w:val="auto"/>
              </w:rPr>
            </w:pPr>
            <w:r>
              <w:rPr>
                <w:rFonts w:ascii="Arial" w:cs="Arial" w:eastAsia="Arial" w:hAnsi="Arial"/>
                <w:sz w:val="18"/>
                <w:szCs w:val="18"/>
                <w:color w:val="auto"/>
              </w:rPr>
              <w:t>Asia</w:t>
            </w:r>
          </w:p>
        </w:tc>
        <w:tc>
          <w:tcPr>
            <w:tcW w:w="240" w:type="dxa"/>
            <w:vAlign w:val="bottom"/>
          </w:tcPr>
          <w:p>
            <w:pPr>
              <w:spacing w:after="0"/>
              <w:rPr>
                <w:sz w:val="23"/>
                <w:szCs w:val="23"/>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w:t>
            </w:r>
          </w:p>
        </w:tc>
        <w:tc>
          <w:tcPr>
            <w:tcW w:w="260" w:type="dxa"/>
            <w:vAlign w:val="bottom"/>
          </w:tcPr>
          <w:p>
            <w:pPr>
              <w:spacing w:after="0"/>
              <w:rPr>
                <w:sz w:val="23"/>
                <w:szCs w:val="23"/>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1,762,578</w:t>
            </w:r>
          </w:p>
        </w:tc>
        <w:tc>
          <w:tcPr>
            <w:tcW w:w="220" w:type="dxa"/>
            <w:vAlign w:val="bottom"/>
          </w:tcPr>
          <w:p>
            <w:pPr>
              <w:spacing w:after="0"/>
              <w:rPr>
                <w:sz w:val="23"/>
                <w:szCs w:val="23"/>
                <w:color w:val="auto"/>
              </w:rPr>
            </w:pPr>
          </w:p>
        </w:tc>
        <w:tc>
          <w:tcPr>
            <w:tcW w:w="980" w:type="dxa"/>
            <w:vAlign w:val="bottom"/>
          </w:tcPr>
          <w:p>
            <w:pPr>
              <w:jc w:val="right"/>
              <w:ind w:right="10"/>
              <w:spacing w:after="0"/>
              <w:rPr>
                <w:sz w:val="20"/>
                <w:szCs w:val="20"/>
                <w:color w:val="auto"/>
              </w:rPr>
            </w:pPr>
            <w:r>
              <w:rPr>
                <w:rFonts w:ascii="Arial" w:cs="Arial" w:eastAsia="Arial" w:hAnsi="Arial"/>
                <w:sz w:val="18"/>
                <w:szCs w:val="18"/>
                <w:color w:val="auto"/>
              </w:rPr>
              <w:t>1,762,578</w:t>
            </w:r>
          </w:p>
        </w:tc>
      </w:tr>
      <w:tr>
        <w:trPr>
          <w:trHeight w:val="270"/>
        </w:trPr>
        <w:tc>
          <w:tcPr>
            <w:tcW w:w="3020" w:type="dxa"/>
            <w:vAlign w:val="bottom"/>
          </w:tcPr>
          <w:p>
            <w:pPr>
              <w:ind w:left="220"/>
              <w:spacing w:after="0"/>
              <w:rPr>
                <w:sz w:val="20"/>
                <w:szCs w:val="20"/>
                <w:color w:val="auto"/>
              </w:rPr>
            </w:pPr>
            <w:r>
              <w:rPr>
                <w:rFonts w:ascii="Arial" w:cs="Arial" w:eastAsia="Arial" w:hAnsi="Arial"/>
                <w:sz w:val="18"/>
                <w:szCs w:val="18"/>
                <w:color w:val="auto"/>
              </w:rPr>
              <w:t>Europe</w:t>
            </w:r>
          </w:p>
        </w:tc>
        <w:tc>
          <w:tcPr>
            <w:tcW w:w="240" w:type="dxa"/>
            <w:vAlign w:val="bottom"/>
          </w:tcPr>
          <w:p>
            <w:pPr>
              <w:spacing w:after="0"/>
              <w:rPr>
                <w:sz w:val="23"/>
                <w:szCs w:val="23"/>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w:t>
            </w:r>
          </w:p>
        </w:tc>
        <w:tc>
          <w:tcPr>
            <w:tcW w:w="260" w:type="dxa"/>
            <w:vAlign w:val="bottom"/>
          </w:tcPr>
          <w:p>
            <w:pPr>
              <w:spacing w:after="0"/>
              <w:rPr>
                <w:sz w:val="23"/>
                <w:szCs w:val="23"/>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1,421,279</w:t>
            </w:r>
          </w:p>
        </w:tc>
        <w:tc>
          <w:tcPr>
            <w:tcW w:w="220" w:type="dxa"/>
            <w:vAlign w:val="bottom"/>
          </w:tcPr>
          <w:p>
            <w:pPr>
              <w:spacing w:after="0"/>
              <w:rPr>
                <w:sz w:val="23"/>
                <w:szCs w:val="23"/>
                <w:color w:val="auto"/>
              </w:rPr>
            </w:pPr>
          </w:p>
        </w:tc>
        <w:tc>
          <w:tcPr>
            <w:tcW w:w="980" w:type="dxa"/>
            <w:vAlign w:val="bottom"/>
          </w:tcPr>
          <w:p>
            <w:pPr>
              <w:jc w:val="right"/>
              <w:ind w:right="10"/>
              <w:spacing w:after="0"/>
              <w:rPr>
                <w:sz w:val="20"/>
                <w:szCs w:val="20"/>
                <w:color w:val="auto"/>
              </w:rPr>
            </w:pPr>
            <w:r>
              <w:rPr>
                <w:rFonts w:ascii="Arial" w:cs="Arial" w:eastAsia="Arial" w:hAnsi="Arial"/>
                <w:sz w:val="18"/>
                <w:szCs w:val="18"/>
                <w:color w:val="auto"/>
              </w:rPr>
              <w:t>1,421,279</w:t>
            </w:r>
          </w:p>
        </w:tc>
      </w:tr>
      <w:tr>
        <w:trPr>
          <w:trHeight w:val="270"/>
        </w:trPr>
        <w:tc>
          <w:tcPr>
            <w:tcW w:w="3020" w:type="dxa"/>
            <w:vAlign w:val="bottom"/>
          </w:tcPr>
          <w:p>
            <w:pPr>
              <w:ind w:left="220"/>
              <w:spacing w:after="0"/>
              <w:rPr>
                <w:sz w:val="20"/>
                <w:szCs w:val="20"/>
                <w:color w:val="auto"/>
              </w:rPr>
            </w:pPr>
            <w:r>
              <w:rPr>
                <w:rFonts w:ascii="Arial" w:cs="Arial" w:eastAsia="Arial" w:hAnsi="Arial"/>
                <w:sz w:val="18"/>
                <w:szCs w:val="18"/>
                <w:color w:val="auto"/>
                <w:w w:val="96"/>
              </w:rPr>
              <w:t>Canada, Central and South America</w:t>
            </w:r>
          </w:p>
        </w:tc>
        <w:tc>
          <w:tcPr>
            <w:tcW w:w="240" w:type="dxa"/>
            <w:vAlign w:val="bottom"/>
          </w:tcPr>
          <w:p>
            <w:pPr>
              <w:spacing w:after="0"/>
              <w:rPr>
                <w:sz w:val="23"/>
                <w:szCs w:val="23"/>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w:t>
            </w:r>
          </w:p>
        </w:tc>
        <w:tc>
          <w:tcPr>
            <w:tcW w:w="260" w:type="dxa"/>
            <w:vAlign w:val="bottom"/>
          </w:tcPr>
          <w:p>
            <w:pPr>
              <w:spacing w:after="0"/>
              <w:rPr>
                <w:sz w:val="23"/>
                <w:szCs w:val="23"/>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127,150</w:t>
            </w:r>
          </w:p>
        </w:tc>
        <w:tc>
          <w:tcPr>
            <w:tcW w:w="220" w:type="dxa"/>
            <w:vAlign w:val="bottom"/>
          </w:tcPr>
          <w:p>
            <w:pPr>
              <w:spacing w:after="0"/>
              <w:rPr>
                <w:sz w:val="23"/>
                <w:szCs w:val="23"/>
                <w:color w:val="auto"/>
              </w:rPr>
            </w:pPr>
          </w:p>
        </w:tc>
        <w:tc>
          <w:tcPr>
            <w:tcW w:w="980" w:type="dxa"/>
            <w:vAlign w:val="bottom"/>
          </w:tcPr>
          <w:p>
            <w:pPr>
              <w:jc w:val="right"/>
              <w:ind w:right="10"/>
              <w:spacing w:after="0"/>
              <w:rPr>
                <w:sz w:val="20"/>
                <w:szCs w:val="20"/>
                <w:color w:val="auto"/>
              </w:rPr>
            </w:pPr>
            <w:r>
              <w:rPr>
                <w:rFonts w:ascii="Arial" w:cs="Arial" w:eastAsia="Arial" w:hAnsi="Arial"/>
                <w:sz w:val="18"/>
                <w:szCs w:val="18"/>
                <w:color w:val="auto"/>
              </w:rPr>
              <w:t>127,150</w:t>
            </w:r>
          </w:p>
        </w:tc>
      </w:tr>
      <w:tr>
        <w:trPr>
          <w:trHeight w:val="270"/>
        </w:trPr>
        <w:tc>
          <w:tcPr>
            <w:tcW w:w="3020" w:type="dxa"/>
            <w:vAlign w:val="bottom"/>
          </w:tcPr>
          <w:p>
            <w:pPr>
              <w:ind w:left="220"/>
              <w:spacing w:after="0"/>
              <w:rPr>
                <w:sz w:val="20"/>
                <w:szCs w:val="20"/>
                <w:color w:val="auto"/>
              </w:rPr>
            </w:pPr>
            <w:r>
              <w:rPr>
                <w:rFonts w:ascii="Arial" w:cs="Arial" w:eastAsia="Arial" w:hAnsi="Arial"/>
                <w:sz w:val="18"/>
                <w:szCs w:val="18"/>
                <w:color w:val="auto"/>
              </w:rPr>
              <w:t>All Others</w:t>
            </w:r>
          </w:p>
        </w:tc>
        <w:tc>
          <w:tcPr>
            <w:tcW w:w="240" w:type="dxa"/>
            <w:vAlign w:val="bottom"/>
          </w:tcPr>
          <w:p>
            <w:pPr>
              <w:spacing w:after="0"/>
              <w:rPr>
                <w:sz w:val="23"/>
                <w:szCs w:val="23"/>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w:t>
            </w:r>
          </w:p>
        </w:tc>
        <w:tc>
          <w:tcPr>
            <w:tcW w:w="260" w:type="dxa"/>
            <w:vAlign w:val="bottom"/>
          </w:tcPr>
          <w:p>
            <w:pPr>
              <w:spacing w:after="0"/>
              <w:rPr>
                <w:sz w:val="23"/>
                <w:szCs w:val="23"/>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3,060</w:t>
            </w:r>
          </w:p>
        </w:tc>
        <w:tc>
          <w:tcPr>
            <w:tcW w:w="220" w:type="dxa"/>
            <w:vAlign w:val="bottom"/>
          </w:tcPr>
          <w:p>
            <w:pPr>
              <w:spacing w:after="0"/>
              <w:rPr>
                <w:sz w:val="23"/>
                <w:szCs w:val="23"/>
                <w:color w:val="auto"/>
              </w:rPr>
            </w:pPr>
          </w:p>
        </w:tc>
        <w:tc>
          <w:tcPr>
            <w:tcW w:w="980" w:type="dxa"/>
            <w:vAlign w:val="bottom"/>
          </w:tcPr>
          <w:p>
            <w:pPr>
              <w:jc w:val="right"/>
              <w:ind w:right="10"/>
              <w:spacing w:after="0"/>
              <w:rPr>
                <w:sz w:val="20"/>
                <w:szCs w:val="20"/>
                <w:color w:val="auto"/>
              </w:rPr>
            </w:pPr>
            <w:r>
              <w:rPr>
                <w:rFonts w:ascii="Arial" w:cs="Arial" w:eastAsia="Arial" w:hAnsi="Arial"/>
                <w:sz w:val="18"/>
                <w:szCs w:val="18"/>
                <w:color w:val="auto"/>
              </w:rPr>
              <w:t>3,060</w:t>
            </w:r>
          </w:p>
        </w:tc>
      </w:tr>
      <w:tr>
        <w:trPr>
          <w:trHeight w:val="27"/>
        </w:trPr>
        <w:tc>
          <w:tcPr>
            <w:tcW w:w="3020" w:type="dxa"/>
            <w:vAlign w:val="bottom"/>
            <w:tcBorders>
              <w:bottom w:val="single" w:sz="8" w:color="auto"/>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r>
      <w:tr>
        <w:trPr>
          <w:trHeight w:val="237"/>
        </w:trPr>
        <w:tc>
          <w:tcPr>
            <w:tcW w:w="3020" w:type="dxa"/>
            <w:vAlign w:val="bottom"/>
          </w:tcPr>
          <w:p>
            <w:pPr>
              <w:ind w:left="360"/>
              <w:spacing w:after="0"/>
              <w:rPr>
                <w:sz w:val="20"/>
                <w:szCs w:val="20"/>
                <w:color w:val="auto"/>
              </w:rPr>
            </w:pPr>
            <w:r>
              <w:rPr>
                <w:rFonts w:ascii="Arial" w:cs="Arial" w:eastAsia="Arial" w:hAnsi="Arial"/>
                <w:sz w:val="18"/>
                <w:szCs w:val="18"/>
                <w:color w:val="auto"/>
              </w:rPr>
              <w:t>Total</w:t>
            </w:r>
          </w:p>
        </w:tc>
        <w:tc>
          <w:tcPr>
            <w:tcW w:w="240" w:type="dxa"/>
            <w:vAlign w:val="bottom"/>
          </w:tcPr>
          <w:p>
            <w:pPr>
              <w:jc w:val="right"/>
              <w:ind w:right="30"/>
              <w:spacing w:after="0"/>
              <w:rPr>
                <w:sz w:val="20"/>
                <w:szCs w:val="20"/>
                <w:color w:val="auto"/>
              </w:rPr>
            </w:pPr>
            <w:r>
              <w:rPr>
                <w:rFonts w:ascii="Arial" w:cs="Arial" w:eastAsia="Arial" w:hAnsi="Arial"/>
                <w:sz w:val="18"/>
                <w:szCs w:val="18"/>
                <w:color w:val="auto"/>
                <w:w w:val="99"/>
              </w:rPr>
              <w:t>$</w:t>
            </w:r>
          </w:p>
        </w:tc>
        <w:tc>
          <w:tcPr>
            <w:tcW w:w="900" w:type="dxa"/>
            <w:vAlign w:val="bottom"/>
          </w:tcPr>
          <w:p>
            <w:pPr>
              <w:jc w:val="right"/>
              <w:spacing w:after="0"/>
              <w:rPr>
                <w:sz w:val="20"/>
                <w:szCs w:val="20"/>
                <w:color w:val="auto"/>
              </w:rPr>
            </w:pPr>
            <w:r>
              <w:rPr>
                <w:rFonts w:ascii="Arial" w:cs="Arial" w:eastAsia="Arial" w:hAnsi="Arial"/>
                <w:sz w:val="18"/>
                <w:szCs w:val="18"/>
                <w:color w:val="auto"/>
              </w:rPr>
              <w:t>5,466,281</w:t>
            </w:r>
          </w:p>
        </w:tc>
        <w:tc>
          <w:tcPr>
            <w:tcW w:w="260" w:type="dxa"/>
            <w:vAlign w:val="bottom"/>
          </w:tcPr>
          <w:p>
            <w:pPr>
              <w:jc w:val="right"/>
              <w:ind w:right="30"/>
              <w:spacing w:after="0"/>
              <w:rPr>
                <w:sz w:val="20"/>
                <w:szCs w:val="20"/>
                <w:color w:val="auto"/>
              </w:rPr>
            </w:pPr>
            <w:r>
              <w:rPr>
                <w:rFonts w:ascii="Arial" w:cs="Arial" w:eastAsia="Arial" w:hAnsi="Arial"/>
                <w:sz w:val="18"/>
                <w:szCs w:val="18"/>
                <w:color w:val="auto"/>
              </w:rPr>
              <w:t>$</w:t>
            </w:r>
          </w:p>
        </w:tc>
        <w:tc>
          <w:tcPr>
            <w:tcW w:w="900" w:type="dxa"/>
            <w:vAlign w:val="bottom"/>
          </w:tcPr>
          <w:p>
            <w:pPr>
              <w:jc w:val="right"/>
              <w:spacing w:after="0"/>
              <w:rPr>
                <w:sz w:val="20"/>
                <w:szCs w:val="20"/>
                <w:color w:val="auto"/>
              </w:rPr>
            </w:pPr>
            <w:r>
              <w:rPr>
                <w:rFonts w:ascii="Arial" w:cs="Arial" w:eastAsia="Arial" w:hAnsi="Arial"/>
                <w:sz w:val="18"/>
                <w:szCs w:val="18"/>
                <w:color w:val="auto"/>
              </w:rPr>
              <w:t>8,306,367</w:t>
            </w:r>
          </w:p>
        </w:tc>
        <w:tc>
          <w:tcPr>
            <w:tcW w:w="220" w:type="dxa"/>
            <w:vAlign w:val="bottom"/>
          </w:tcPr>
          <w:p>
            <w:pPr>
              <w:jc w:val="right"/>
              <w:spacing w:after="0"/>
              <w:rPr>
                <w:sz w:val="20"/>
                <w:szCs w:val="20"/>
                <w:color w:val="auto"/>
              </w:rPr>
            </w:pPr>
            <w:r>
              <w:rPr>
                <w:rFonts w:ascii="Arial" w:cs="Arial" w:eastAsia="Arial" w:hAnsi="Arial"/>
                <w:sz w:val="18"/>
                <w:szCs w:val="18"/>
                <w:color w:val="auto"/>
              </w:rPr>
              <w:t>$</w:t>
            </w:r>
          </w:p>
        </w:tc>
        <w:tc>
          <w:tcPr>
            <w:tcW w:w="980" w:type="dxa"/>
            <w:vAlign w:val="bottom"/>
          </w:tcPr>
          <w:p>
            <w:pPr>
              <w:jc w:val="right"/>
              <w:ind w:right="10"/>
              <w:spacing w:after="0"/>
              <w:rPr>
                <w:sz w:val="20"/>
                <w:szCs w:val="20"/>
                <w:color w:val="auto"/>
              </w:rPr>
            </w:pPr>
            <w:r>
              <w:rPr>
                <w:rFonts w:ascii="Arial" w:cs="Arial" w:eastAsia="Arial" w:hAnsi="Arial"/>
                <w:sz w:val="18"/>
                <w:szCs w:val="18"/>
                <w:color w:val="auto"/>
                <w:w w:val="95"/>
              </w:rPr>
              <w:t>13,772,648</w:t>
            </w:r>
          </w:p>
        </w:tc>
      </w:tr>
      <w:tr>
        <w:trPr>
          <w:trHeight w:val="27"/>
        </w:trPr>
        <w:tc>
          <w:tcPr>
            <w:tcW w:w="3020" w:type="dxa"/>
            <w:vAlign w:val="bottom"/>
            <w:tcBorders>
              <w:bottom w:val="single" w:sz="8" w:color="auto"/>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r>
      <w:tr>
        <w:trPr>
          <w:trHeight w:val="20"/>
        </w:trPr>
        <w:tc>
          <w:tcPr>
            <w:tcW w:w="3020" w:type="dxa"/>
            <w:vAlign w:val="bottom"/>
            <w:tcBorders>
              <w:bottom w:val="single" w:sz="8" w:color="auto"/>
            </w:tcBorders>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r>
      <w:tr>
        <w:trPr>
          <w:trHeight w:val="764"/>
        </w:trPr>
        <w:tc>
          <w:tcPr>
            <w:tcW w:w="3020" w:type="dxa"/>
            <w:vAlign w:val="bottom"/>
          </w:tcPr>
          <w:p>
            <w:pPr>
              <w:ind w:left="20"/>
              <w:spacing w:after="0"/>
              <w:rPr>
                <w:sz w:val="20"/>
                <w:szCs w:val="20"/>
                <w:color w:val="auto"/>
              </w:rPr>
            </w:pPr>
            <w:r>
              <w:rPr>
                <w:rFonts w:ascii="Arial" w:cs="Arial" w:eastAsia="Arial" w:hAnsi="Arial"/>
                <w:sz w:val="18"/>
                <w:szCs w:val="18"/>
                <w:color w:val="auto"/>
                <w:w w:val="93"/>
              </w:rPr>
              <w:t>Total Revenue by Major Customer Type</w:t>
            </w:r>
          </w:p>
        </w:tc>
        <w:tc>
          <w:tcPr>
            <w:tcW w:w="24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980" w:type="dxa"/>
            <w:vAlign w:val="bottom"/>
          </w:tcPr>
          <w:p>
            <w:pPr>
              <w:spacing w:after="0"/>
              <w:rPr>
                <w:sz w:val="24"/>
                <w:szCs w:val="24"/>
                <w:color w:val="auto"/>
              </w:rPr>
            </w:pPr>
          </w:p>
        </w:tc>
      </w:tr>
      <w:tr>
        <w:trPr>
          <w:trHeight w:val="270"/>
        </w:trPr>
        <w:tc>
          <w:tcPr>
            <w:tcW w:w="3020" w:type="dxa"/>
            <w:vAlign w:val="bottom"/>
          </w:tcPr>
          <w:p>
            <w:pPr>
              <w:ind w:left="220"/>
              <w:spacing w:after="0"/>
              <w:rPr>
                <w:sz w:val="20"/>
                <w:szCs w:val="20"/>
                <w:color w:val="auto"/>
              </w:rPr>
            </w:pPr>
            <w:r>
              <w:rPr>
                <w:rFonts w:ascii="Arial" w:cs="Arial" w:eastAsia="Arial" w:hAnsi="Arial"/>
                <w:sz w:val="18"/>
                <w:szCs w:val="18"/>
                <w:color w:val="auto"/>
              </w:rPr>
              <w:t>Sales to the U.S. government</w:t>
            </w:r>
          </w:p>
        </w:tc>
        <w:tc>
          <w:tcPr>
            <w:tcW w:w="240" w:type="dxa"/>
            <w:vAlign w:val="bottom"/>
          </w:tcPr>
          <w:p>
            <w:pPr>
              <w:jc w:val="right"/>
              <w:ind w:right="30"/>
              <w:spacing w:after="0"/>
              <w:rPr>
                <w:sz w:val="20"/>
                <w:szCs w:val="20"/>
                <w:color w:val="auto"/>
              </w:rPr>
            </w:pPr>
            <w:r>
              <w:rPr>
                <w:rFonts w:ascii="Arial" w:cs="Arial" w:eastAsia="Arial" w:hAnsi="Arial"/>
                <w:sz w:val="18"/>
                <w:szCs w:val="18"/>
                <w:color w:val="auto"/>
                <w:w w:val="99"/>
              </w:rPr>
              <w:t>$</w:t>
            </w:r>
          </w:p>
        </w:tc>
        <w:tc>
          <w:tcPr>
            <w:tcW w:w="900" w:type="dxa"/>
            <w:vAlign w:val="bottom"/>
          </w:tcPr>
          <w:p>
            <w:pPr>
              <w:jc w:val="right"/>
              <w:spacing w:after="0"/>
              <w:rPr>
                <w:sz w:val="20"/>
                <w:szCs w:val="20"/>
                <w:color w:val="auto"/>
              </w:rPr>
            </w:pPr>
            <w:r>
              <w:rPr>
                <w:rFonts w:ascii="Arial" w:cs="Arial" w:eastAsia="Arial" w:hAnsi="Arial"/>
                <w:sz w:val="18"/>
                <w:szCs w:val="18"/>
                <w:color w:val="auto"/>
              </w:rPr>
              <w:t>5,463,117</w:t>
            </w:r>
          </w:p>
        </w:tc>
        <w:tc>
          <w:tcPr>
            <w:tcW w:w="260" w:type="dxa"/>
            <w:vAlign w:val="bottom"/>
          </w:tcPr>
          <w:p>
            <w:pPr>
              <w:jc w:val="right"/>
              <w:ind w:right="30"/>
              <w:spacing w:after="0"/>
              <w:rPr>
                <w:sz w:val="20"/>
                <w:szCs w:val="20"/>
                <w:color w:val="auto"/>
              </w:rPr>
            </w:pPr>
            <w:r>
              <w:rPr>
                <w:rFonts w:ascii="Arial" w:cs="Arial" w:eastAsia="Arial" w:hAnsi="Arial"/>
                <w:sz w:val="18"/>
                <w:szCs w:val="18"/>
                <w:color w:val="auto"/>
              </w:rPr>
              <w:t>$</w:t>
            </w:r>
          </w:p>
        </w:tc>
        <w:tc>
          <w:tcPr>
            <w:tcW w:w="900" w:type="dxa"/>
            <w:vAlign w:val="bottom"/>
          </w:tcPr>
          <w:p>
            <w:pPr>
              <w:jc w:val="right"/>
              <w:spacing w:after="0"/>
              <w:rPr>
                <w:sz w:val="20"/>
                <w:szCs w:val="20"/>
                <w:color w:val="auto"/>
              </w:rPr>
            </w:pPr>
            <w:r>
              <w:rPr>
                <w:rFonts w:ascii="Arial" w:cs="Arial" w:eastAsia="Arial" w:hAnsi="Arial"/>
                <w:sz w:val="18"/>
                <w:szCs w:val="18"/>
                <w:color w:val="auto"/>
              </w:rPr>
              <w:t>885,133</w:t>
            </w:r>
          </w:p>
        </w:tc>
        <w:tc>
          <w:tcPr>
            <w:tcW w:w="220" w:type="dxa"/>
            <w:vAlign w:val="bottom"/>
          </w:tcPr>
          <w:p>
            <w:pPr>
              <w:jc w:val="right"/>
              <w:spacing w:after="0"/>
              <w:rPr>
                <w:sz w:val="20"/>
                <w:szCs w:val="20"/>
                <w:color w:val="auto"/>
              </w:rPr>
            </w:pPr>
            <w:r>
              <w:rPr>
                <w:rFonts w:ascii="Arial" w:cs="Arial" w:eastAsia="Arial" w:hAnsi="Arial"/>
                <w:sz w:val="18"/>
                <w:szCs w:val="18"/>
                <w:color w:val="auto"/>
              </w:rPr>
              <w:t>$</w:t>
            </w:r>
          </w:p>
        </w:tc>
        <w:tc>
          <w:tcPr>
            <w:tcW w:w="980" w:type="dxa"/>
            <w:vAlign w:val="bottom"/>
          </w:tcPr>
          <w:p>
            <w:pPr>
              <w:jc w:val="right"/>
              <w:ind w:right="10"/>
              <w:spacing w:after="0"/>
              <w:rPr>
                <w:sz w:val="20"/>
                <w:szCs w:val="20"/>
                <w:color w:val="auto"/>
              </w:rPr>
            </w:pPr>
            <w:r>
              <w:rPr>
                <w:rFonts w:ascii="Arial" w:cs="Arial" w:eastAsia="Arial" w:hAnsi="Arial"/>
                <w:sz w:val="18"/>
                <w:szCs w:val="18"/>
                <w:color w:val="auto"/>
              </w:rPr>
              <w:t>6,348,250</w:t>
            </w:r>
          </w:p>
        </w:tc>
      </w:tr>
      <w:tr>
        <w:trPr>
          <w:trHeight w:val="256"/>
        </w:trPr>
        <w:tc>
          <w:tcPr>
            <w:tcW w:w="3020" w:type="dxa"/>
            <w:vAlign w:val="bottom"/>
          </w:tcPr>
          <w:p>
            <w:pPr>
              <w:ind w:left="220"/>
              <w:spacing w:after="0"/>
              <w:rPr>
                <w:sz w:val="20"/>
                <w:szCs w:val="20"/>
                <w:color w:val="auto"/>
              </w:rPr>
            </w:pPr>
            <w:r>
              <w:rPr>
                <w:rFonts w:ascii="Arial" w:cs="Arial" w:eastAsia="Arial" w:hAnsi="Arial"/>
                <w:sz w:val="18"/>
                <w:szCs w:val="18"/>
                <w:color w:val="auto"/>
              </w:rPr>
              <w:t>U.S. direct commercial sales and</w:t>
            </w:r>
          </w:p>
        </w:tc>
        <w:tc>
          <w:tcPr>
            <w:tcW w:w="240" w:type="dxa"/>
            <w:vAlign w:val="bottom"/>
          </w:tcPr>
          <w:p>
            <w:pPr>
              <w:spacing w:after="0"/>
              <w:rPr>
                <w:sz w:val="22"/>
                <w:szCs w:val="22"/>
                <w:color w:val="auto"/>
              </w:rPr>
            </w:pPr>
          </w:p>
        </w:tc>
        <w:tc>
          <w:tcPr>
            <w:tcW w:w="900" w:type="dxa"/>
            <w:vAlign w:val="bottom"/>
          </w:tcPr>
          <w:p>
            <w:pPr>
              <w:spacing w:after="0"/>
              <w:rPr>
                <w:sz w:val="22"/>
                <w:szCs w:val="22"/>
                <w:color w:val="auto"/>
              </w:rPr>
            </w:pPr>
          </w:p>
        </w:tc>
        <w:tc>
          <w:tcPr>
            <w:tcW w:w="260" w:type="dxa"/>
            <w:vAlign w:val="bottom"/>
          </w:tcPr>
          <w:p>
            <w:pPr>
              <w:spacing w:after="0"/>
              <w:rPr>
                <w:sz w:val="22"/>
                <w:szCs w:val="22"/>
                <w:color w:val="auto"/>
              </w:rPr>
            </w:pPr>
          </w:p>
        </w:tc>
        <w:tc>
          <w:tcPr>
            <w:tcW w:w="90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980" w:type="dxa"/>
            <w:vAlign w:val="bottom"/>
          </w:tcPr>
          <w:p>
            <w:pPr>
              <w:spacing w:after="0"/>
              <w:rPr>
                <w:sz w:val="22"/>
                <w:szCs w:val="22"/>
                <w:color w:val="auto"/>
              </w:rPr>
            </w:pPr>
          </w:p>
        </w:tc>
      </w:tr>
      <w:tr>
        <w:trPr>
          <w:trHeight w:val="230"/>
        </w:trPr>
        <w:tc>
          <w:tcPr>
            <w:tcW w:w="3020" w:type="dxa"/>
            <w:vAlign w:val="bottom"/>
          </w:tcPr>
          <w:p>
            <w:pPr>
              <w:ind w:left="220"/>
              <w:spacing w:after="0"/>
              <w:rPr>
                <w:sz w:val="20"/>
                <w:szCs w:val="20"/>
                <w:color w:val="auto"/>
              </w:rPr>
            </w:pPr>
            <w:r>
              <w:rPr>
                <w:rFonts w:ascii="Arial" w:cs="Arial" w:eastAsia="Arial" w:hAnsi="Arial"/>
                <w:sz w:val="18"/>
                <w:szCs w:val="18"/>
                <w:color w:val="auto"/>
              </w:rPr>
              <w:t>other</w:t>
            </w:r>
          </w:p>
        </w:tc>
        <w:tc>
          <w:tcPr>
            <w:tcW w:w="240" w:type="dxa"/>
            <w:vAlign w:val="bottom"/>
          </w:tcPr>
          <w:p>
            <w:pPr>
              <w:spacing w:after="0"/>
              <w:rPr>
                <w:sz w:val="20"/>
                <w:szCs w:val="20"/>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3,164</w:t>
            </w:r>
          </w:p>
        </w:tc>
        <w:tc>
          <w:tcPr>
            <w:tcW w:w="260" w:type="dxa"/>
            <w:vAlign w:val="bottom"/>
          </w:tcPr>
          <w:p>
            <w:pPr>
              <w:spacing w:after="0"/>
              <w:rPr>
                <w:sz w:val="20"/>
                <w:szCs w:val="20"/>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4,107,167</w:t>
            </w:r>
          </w:p>
        </w:tc>
        <w:tc>
          <w:tcPr>
            <w:tcW w:w="220" w:type="dxa"/>
            <w:vAlign w:val="bottom"/>
          </w:tcPr>
          <w:p>
            <w:pPr>
              <w:spacing w:after="0"/>
              <w:rPr>
                <w:sz w:val="20"/>
                <w:szCs w:val="20"/>
                <w:color w:val="auto"/>
              </w:rPr>
            </w:pPr>
          </w:p>
        </w:tc>
        <w:tc>
          <w:tcPr>
            <w:tcW w:w="980" w:type="dxa"/>
            <w:vAlign w:val="bottom"/>
          </w:tcPr>
          <w:p>
            <w:pPr>
              <w:jc w:val="right"/>
              <w:ind w:right="10"/>
              <w:spacing w:after="0"/>
              <w:rPr>
                <w:sz w:val="20"/>
                <w:szCs w:val="20"/>
                <w:color w:val="auto"/>
              </w:rPr>
            </w:pPr>
            <w:r>
              <w:rPr>
                <w:rFonts w:ascii="Arial" w:cs="Arial" w:eastAsia="Arial" w:hAnsi="Arial"/>
                <w:sz w:val="18"/>
                <w:szCs w:val="18"/>
                <w:color w:val="auto"/>
              </w:rPr>
              <w:t>4,110,331</w:t>
            </w:r>
          </w:p>
        </w:tc>
      </w:tr>
      <w:tr>
        <w:trPr>
          <w:trHeight w:val="270"/>
        </w:trPr>
        <w:tc>
          <w:tcPr>
            <w:tcW w:w="3020" w:type="dxa"/>
            <w:vAlign w:val="bottom"/>
          </w:tcPr>
          <w:p>
            <w:pPr>
              <w:ind w:left="220"/>
              <w:spacing w:after="0"/>
              <w:rPr>
                <w:sz w:val="20"/>
                <w:szCs w:val="20"/>
                <w:color w:val="auto"/>
              </w:rPr>
            </w:pPr>
            <w:r>
              <w:rPr>
                <w:rFonts w:ascii="Arial" w:cs="Arial" w:eastAsia="Arial" w:hAnsi="Arial"/>
                <w:sz w:val="18"/>
                <w:szCs w:val="18"/>
                <w:color w:val="auto"/>
              </w:rPr>
              <w:t>Foreign commercial sales &amp; other</w:t>
            </w:r>
          </w:p>
        </w:tc>
        <w:tc>
          <w:tcPr>
            <w:tcW w:w="240" w:type="dxa"/>
            <w:vAlign w:val="bottom"/>
          </w:tcPr>
          <w:p>
            <w:pPr>
              <w:spacing w:after="0"/>
              <w:rPr>
                <w:sz w:val="23"/>
                <w:szCs w:val="23"/>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w:t>
            </w:r>
          </w:p>
        </w:tc>
        <w:tc>
          <w:tcPr>
            <w:tcW w:w="260" w:type="dxa"/>
            <w:vAlign w:val="bottom"/>
          </w:tcPr>
          <w:p>
            <w:pPr>
              <w:spacing w:after="0"/>
              <w:rPr>
                <w:sz w:val="23"/>
                <w:szCs w:val="23"/>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3,314,067</w:t>
            </w:r>
          </w:p>
        </w:tc>
        <w:tc>
          <w:tcPr>
            <w:tcW w:w="220" w:type="dxa"/>
            <w:vAlign w:val="bottom"/>
          </w:tcPr>
          <w:p>
            <w:pPr>
              <w:spacing w:after="0"/>
              <w:rPr>
                <w:sz w:val="23"/>
                <w:szCs w:val="23"/>
                <w:color w:val="auto"/>
              </w:rPr>
            </w:pPr>
          </w:p>
        </w:tc>
        <w:tc>
          <w:tcPr>
            <w:tcW w:w="980" w:type="dxa"/>
            <w:vAlign w:val="bottom"/>
          </w:tcPr>
          <w:p>
            <w:pPr>
              <w:jc w:val="right"/>
              <w:ind w:right="10"/>
              <w:spacing w:after="0"/>
              <w:rPr>
                <w:sz w:val="20"/>
                <w:szCs w:val="20"/>
                <w:color w:val="auto"/>
              </w:rPr>
            </w:pPr>
            <w:r>
              <w:rPr>
                <w:rFonts w:ascii="Arial" w:cs="Arial" w:eastAsia="Arial" w:hAnsi="Arial"/>
                <w:sz w:val="18"/>
                <w:szCs w:val="18"/>
                <w:color w:val="auto"/>
              </w:rPr>
              <w:t>3,314,067</w:t>
            </w:r>
          </w:p>
        </w:tc>
      </w:tr>
      <w:tr>
        <w:trPr>
          <w:trHeight w:val="27"/>
        </w:trPr>
        <w:tc>
          <w:tcPr>
            <w:tcW w:w="3020" w:type="dxa"/>
            <w:vAlign w:val="bottom"/>
            <w:tcBorders>
              <w:bottom w:val="single" w:sz="8" w:color="auto"/>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r>
      <w:tr>
        <w:trPr>
          <w:trHeight w:val="237"/>
        </w:trPr>
        <w:tc>
          <w:tcPr>
            <w:tcW w:w="3020" w:type="dxa"/>
            <w:vAlign w:val="bottom"/>
          </w:tcPr>
          <w:p>
            <w:pPr>
              <w:ind w:left="360"/>
              <w:spacing w:after="0"/>
              <w:rPr>
                <w:sz w:val="20"/>
                <w:szCs w:val="20"/>
                <w:color w:val="auto"/>
              </w:rPr>
            </w:pPr>
            <w:r>
              <w:rPr>
                <w:rFonts w:ascii="Arial" w:cs="Arial" w:eastAsia="Arial" w:hAnsi="Arial"/>
                <w:sz w:val="18"/>
                <w:szCs w:val="18"/>
                <w:color w:val="auto"/>
              </w:rPr>
              <w:t>Total</w:t>
            </w:r>
          </w:p>
        </w:tc>
        <w:tc>
          <w:tcPr>
            <w:tcW w:w="240" w:type="dxa"/>
            <w:vAlign w:val="bottom"/>
          </w:tcPr>
          <w:p>
            <w:pPr>
              <w:jc w:val="right"/>
              <w:ind w:right="30"/>
              <w:spacing w:after="0"/>
              <w:rPr>
                <w:sz w:val="20"/>
                <w:szCs w:val="20"/>
                <w:color w:val="auto"/>
              </w:rPr>
            </w:pPr>
            <w:r>
              <w:rPr>
                <w:rFonts w:ascii="Arial" w:cs="Arial" w:eastAsia="Arial" w:hAnsi="Arial"/>
                <w:sz w:val="18"/>
                <w:szCs w:val="18"/>
                <w:color w:val="auto"/>
                <w:w w:val="99"/>
              </w:rPr>
              <w:t>$</w:t>
            </w:r>
          </w:p>
        </w:tc>
        <w:tc>
          <w:tcPr>
            <w:tcW w:w="900" w:type="dxa"/>
            <w:vAlign w:val="bottom"/>
          </w:tcPr>
          <w:p>
            <w:pPr>
              <w:jc w:val="right"/>
              <w:spacing w:after="0"/>
              <w:rPr>
                <w:sz w:val="20"/>
                <w:szCs w:val="20"/>
                <w:color w:val="auto"/>
              </w:rPr>
            </w:pPr>
            <w:r>
              <w:rPr>
                <w:rFonts w:ascii="Arial" w:cs="Arial" w:eastAsia="Arial" w:hAnsi="Arial"/>
                <w:sz w:val="18"/>
                <w:szCs w:val="18"/>
                <w:color w:val="auto"/>
              </w:rPr>
              <w:t>5,466,281</w:t>
            </w:r>
          </w:p>
        </w:tc>
        <w:tc>
          <w:tcPr>
            <w:tcW w:w="260" w:type="dxa"/>
            <w:vAlign w:val="bottom"/>
          </w:tcPr>
          <w:p>
            <w:pPr>
              <w:jc w:val="right"/>
              <w:ind w:right="30"/>
              <w:spacing w:after="0"/>
              <w:rPr>
                <w:sz w:val="20"/>
                <w:szCs w:val="20"/>
                <w:color w:val="auto"/>
              </w:rPr>
            </w:pPr>
            <w:r>
              <w:rPr>
                <w:rFonts w:ascii="Arial" w:cs="Arial" w:eastAsia="Arial" w:hAnsi="Arial"/>
                <w:sz w:val="18"/>
                <w:szCs w:val="18"/>
                <w:color w:val="auto"/>
              </w:rPr>
              <w:t>$</w:t>
            </w:r>
          </w:p>
        </w:tc>
        <w:tc>
          <w:tcPr>
            <w:tcW w:w="900" w:type="dxa"/>
            <w:vAlign w:val="bottom"/>
          </w:tcPr>
          <w:p>
            <w:pPr>
              <w:jc w:val="right"/>
              <w:spacing w:after="0"/>
              <w:rPr>
                <w:sz w:val="20"/>
                <w:szCs w:val="20"/>
                <w:color w:val="auto"/>
              </w:rPr>
            </w:pPr>
            <w:r>
              <w:rPr>
                <w:rFonts w:ascii="Arial" w:cs="Arial" w:eastAsia="Arial" w:hAnsi="Arial"/>
                <w:sz w:val="18"/>
                <w:szCs w:val="18"/>
                <w:color w:val="auto"/>
              </w:rPr>
              <w:t>8,306,367</w:t>
            </w:r>
          </w:p>
        </w:tc>
        <w:tc>
          <w:tcPr>
            <w:tcW w:w="220" w:type="dxa"/>
            <w:vAlign w:val="bottom"/>
          </w:tcPr>
          <w:p>
            <w:pPr>
              <w:jc w:val="right"/>
              <w:spacing w:after="0"/>
              <w:rPr>
                <w:sz w:val="20"/>
                <w:szCs w:val="20"/>
                <w:color w:val="auto"/>
              </w:rPr>
            </w:pPr>
            <w:r>
              <w:rPr>
                <w:rFonts w:ascii="Arial" w:cs="Arial" w:eastAsia="Arial" w:hAnsi="Arial"/>
                <w:sz w:val="18"/>
                <w:szCs w:val="18"/>
                <w:color w:val="auto"/>
              </w:rPr>
              <w:t>$</w:t>
            </w:r>
          </w:p>
        </w:tc>
        <w:tc>
          <w:tcPr>
            <w:tcW w:w="980" w:type="dxa"/>
            <w:vAlign w:val="bottom"/>
          </w:tcPr>
          <w:p>
            <w:pPr>
              <w:jc w:val="right"/>
              <w:ind w:right="10"/>
              <w:spacing w:after="0"/>
              <w:rPr>
                <w:sz w:val="20"/>
                <w:szCs w:val="20"/>
                <w:color w:val="auto"/>
              </w:rPr>
            </w:pPr>
            <w:r>
              <w:rPr>
                <w:rFonts w:ascii="Arial" w:cs="Arial" w:eastAsia="Arial" w:hAnsi="Arial"/>
                <w:sz w:val="18"/>
                <w:szCs w:val="18"/>
                <w:color w:val="auto"/>
                <w:w w:val="95"/>
              </w:rPr>
              <w:t>13,772,648</w:t>
            </w:r>
          </w:p>
        </w:tc>
      </w:tr>
      <w:tr>
        <w:trPr>
          <w:trHeight w:val="27"/>
        </w:trPr>
        <w:tc>
          <w:tcPr>
            <w:tcW w:w="3020" w:type="dxa"/>
            <w:vAlign w:val="bottom"/>
            <w:tcBorders>
              <w:bottom w:val="single" w:sz="8" w:color="auto"/>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r>
      <w:tr>
        <w:trPr>
          <w:trHeight w:val="20"/>
        </w:trPr>
        <w:tc>
          <w:tcPr>
            <w:tcW w:w="3020" w:type="dxa"/>
            <w:vAlign w:val="bottom"/>
            <w:tcBorders>
              <w:bottom w:val="single" w:sz="8" w:color="auto"/>
            </w:tcBorders>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r>
      <w:tr>
        <w:trPr>
          <w:trHeight w:val="764"/>
        </w:trPr>
        <w:tc>
          <w:tcPr>
            <w:tcW w:w="3020" w:type="dxa"/>
            <w:vAlign w:val="bottom"/>
          </w:tcPr>
          <w:p>
            <w:pPr>
              <w:ind w:left="20"/>
              <w:spacing w:after="0"/>
              <w:rPr>
                <w:sz w:val="20"/>
                <w:szCs w:val="20"/>
                <w:color w:val="auto"/>
              </w:rPr>
            </w:pPr>
            <w:r>
              <w:rPr>
                <w:rFonts w:ascii="Arial" w:cs="Arial" w:eastAsia="Arial" w:hAnsi="Arial"/>
                <w:sz w:val="18"/>
                <w:szCs w:val="18"/>
                <w:color w:val="auto"/>
              </w:rPr>
              <w:t>Total Revenue by Contract Type</w:t>
            </w:r>
          </w:p>
        </w:tc>
        <w:tc>
          <w:tcPr>
            <w:tcW w:w="24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980" w:type="dxa"/>
            <w:vAlign w:val="bottom"/>
          </w:tcPr>
          <w:p>
            <w:pPr>
              <w:spacing w:after="0"/>
              <w:rPr>
                <w:sz w:val="24"/>
                <w:szCs w:val="24"/>
                <w:color w:val="auto"/>
              </w:rPr>
            </w:pPr>
          </w:p>
        </w:tc>
      </w:tr>
      <w:tr>
        <w:trPr>
          <w:trHeight w:val="270"/>
        </w:trPr>
        <w:tc>
          <w:tcPr>
            <w:tcW w:w="3020" w:type="dxa"/>
            <w:vAlign w:val="bottom"/>
          </w:tcPr>
          <w:p>
            <w:pPr>
              <w:ind w:left="220"/>
              <w:spacing w:after="0"/>
              <w:rPr>
                <w:sz w:val="20"/>
                <w:szCs w:val="20"/>
                <w:color w:val="auto"/>
              </w:rPr>
            </w:pPr>
            <w:r>
              <w:rPr>
                <w:rFonts w:ascii="Arial" w:cs="Arial" w:eastAsia="Arial" w:hAnsi="Arial"/>
                <w:sz w:val="18"/>
                <w:szCs w:val="18"/>
                <w:color w:val="auto"/>
              </w:rPr>
              <w:t>Fixed-price contracts</w:t>
            </w:r>
          </w:p>
        </w:tc>
        <w:tc>
          <w:tcPr>
            <w:tcW w:w="240" w:type="dxa"/>
            <w:vAlign w:val="bottom"/>
          </w:tcPr>
          <w:p>
            <w:pPr>
              <w:jc w:val="right"/>
              <w:ind w:right="30"/>
              <w:spacing w:after="0"/>
              <w:rPr>
                <w:sz w:val="20"/>
                <w:szCs w:val="20"/>
                <w:color w:val="auto"/>
              </w:rPr>
            </w:pPr>
            <w:r>
              <w:rPr>
                <w:rFonts w:ascii="Arial" w:cs="Arial" w:eastAsia="Arial" w:hAnsi="Arial"/>
                <w:sz w:val="18"/>
                <w:szCs w:val="18"/>
                <w:color w:val="auto"/>
                <w:w w:val="99"/>
              </w:rPr>
              <w:t>$</w:t>
            </w:r>
          </w:p>
        </w:tc>
        <w:tc>
          <w:tcPr>
            <w:tcW w:w="900" w:type="dxa"/>
            <w:vAlign w:val="bottom"/>
          </w:tcPr>
          <w:p>
            <w:pPr>
              <w:jc w:val="right"/>
              <w:spacing w:after="0"/>
              <w:rPr>
                <w:sz w:val="20"/>
                <w:szCs w:val="20"/>
                <w:color w:val="auto"/>
              </w:rPr>
            </w:pPr>
            <w:r>
              <w:rPr>
                <w:rFonts w:ascii="Arial" w:cs="Arial" w:eastAsia="Arial" w:hAnsi="Arial"/>
                <w:sz w:val="18"/>
                <w:szCs w:val="18"/>
                <w:color w:val="auto"/>
              </w:rPr>
              <w:t>2,375,939</w:t>
            </w:r>
          </w:p>
        </w:tc>
        <w:tc>
          <w:tcPr>
            <w:tcW w:w="260" w:type="dxa"/>
            <w:vAlign w:val="bottom"/>
          </w:tcPr>
          <w:p>
            <w:pPr>
              <w:jc w:val="right"/>
              <w:ind w:right="30"/>
              <w:spacing w:after="0"/>
              <w:rPr>
                <w:sz w:val="20"/>
                <w:szCs w:val="20"/>
                <w:color w:val="auto"/>
              </w:rPr>
            </w:pPr>
            <w:r>
              <w:rPr>
                <w:rFonts w:ascii="Arial" w:cs="Arial" w:eastAsia="Arial" w:hAnsi="Arial"/>
                <w:sz w:val="18"/>
                <w:szCs w:val="18"/>
                <w:color w:val="auto"/>
              </w:rPr>
              <w:t>$</w:t>
            </w:r>
          </w:p>
        </w:tc>
        <w:tc>
          <w:tcPr>
            <w:tcW w:w="900" w:type="dxa"/>
            <w:vAlign w:val="bottom"/>
          </w:tcPr>
          <w:p>
            <w:pPr>
              <w:jc w:val="right"/>
              <w:spacing w:after="0"/>
              <w:rPr>
                <w:sz w:val="20"/>
                <w:szCs w:val="20"/>
                <w:color w:val="auto"/>
              </w:rPr>
            </w:pPr>
            <w:r>
              <w:rPr>
                <w:rFonts w:ascii="Arial" w:cs="Arial" w:eastAsia="Arial" w:hAnsi="Arial"/>
                <w:sz w:val="18"/>
                <w:szCs w:val="18"/>
                <w:color w:val="auto"/>
              </w:rPr>
              <w:t>8,306,367</w:t>
            </w:r>
          </w:p>
        </w:tc>
        <w:tc>
          <w:tcPr>
            <w:tcW w:w="220" w:type="dxa"/>
            <w:vAlign w:val="bottom"/>
          </w:tcPr>
          <w:p>
            <w:pPr>
              <w:jc w:val="right"/>
              <w:spacing w:after="0"/>
              <w:rPr>
                <w:sz w:val="20"/>
                <w:szCs w:val="20"/>
                <w:color w:val="auto"/>
              </w:rPr>
            </w:pPr>
            <w:r>
              <w:rPr>
                <w:rFonts w:ascii="Arial" w:cs="Arial" w:eastAsia="Arial" w:hAnsi="Arial"/>
                <w:sz w:val="18"/>
                <w:szCs w:val="18"/>
                <w:color w:val="auto"/>
              </w:rPr>
              <w:t>$</w:t>
            </w:r>
          </w:p>
        </w:tc>
        <w:tc>
          <w:tcPr>
            <w:tcW w:w="980" w:type="dxa"/>
            <w:vAlign w:val="bottom"/>
          </w:tcPr>
          <w:p>
            <w:pPr>
              <w:jc w:val="right"/>
              <w:ind w:right="10"/>
              <w:spacing w:after="0"/>
              <w:rPr>
                <w:sz w:val="20"/>
                <w:szCs w:val="20"/>
                <w:color w:val="auto"/>
              </w:rPr>
            </w:pPr>
            <w:r>
              <w:rPr>
                <w:rFonts w:ascii="Arial" w:cs="Arial" w:eastAsia="Arial" w:hAnsi="Arial"/>
                <w:sz w:val="18"/>
                <w:szCs w:val="18"/>
                <w:color w:val="auto"/>
                <w:w w:val="95"/>
              </w:rPr>
              <w:t>10,682,306</w:t>
            </w:r>
          </w:p>
        </w:tc>
      </w:tr>
      <w:tr>
        <w:trPr>
          <w:trHeight w:val="270"/>
        </w:trPr>
        <w:tc>
          <w:tcPr>
            <w:tcW w:w="3020" w:type="dxa"/>
            <w:vAlign w:val="bottom"/>
          </w:tcPr>
          <w:p>
            <w:pPr>
              <w:ind w:left="220"/>
              <w:spacing w:after="0"/>
              <w:rPr>
                <w:sz w:val="20"/>
                <w:szCs w:val="20"/>
                <w:color w:val="auto"/>
              </w:rPr>
            </w:pPr>
            <w:r>
              <w:rPr>
                <w:rFonts w:ascii="Arial" w:cs="Arial" w:eastAsia="Arial" w:hAnsi="Arial"/>
                <w:sz w:val="18"/>
                <w:szCs w:val="18"/>
                <w:color w:val="auto"/>
              </w:rPr>
              <w:t>Cost-type contracts</w:t>
            </w:r>
          </w:p>
        </w:tc>
        <w:tc>
          <w:tcPr>
            <w:tcW w:w="240" w:type="dxa"/>
            <w:vAlign w:val="bottom"/>
          </w:tcPr>
          <w:p>
            <w:pPr>
              <w:spacing w:after="0"/>
              <w:rPr>
                <w:sz w:val="23"/>
                <w:szCs w:val="23"/>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3,090,342</w:t>
            </w:r>
          </w:p>
        </w:tc>
        <w:tc>
          <w:tcPr>
            <w:tcW w:w="260" w:type="dxa"/>
            <w:vAlign w:val="bottom"/>
          </w:tcPr>
          <w:p>
            <w:pPr>
              <w:spacing w:after="0"/>
              <w:rPr>
                <w:sz w:val="23"/>
                <w:szCs w:val="23"/>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23"/>
                <w:szCs w:val="23"/>
                <w:color w:val="auto"/>
              </w:rPr>
            </w:pPr>
          </w:p>
        </w:tc>
        <w:tc>
          <w:tcPr>
            <w:tcW w:w="980" w:type="dxa"/>
            <w:vAlign w:val="bottom"/>
          </w:tcPr>
          <w:p>
            <w:pPr>
              <w:jc w:val="right"/>
              <w:ind w:right="10"/>
              <w:spacing w:after="0"/>
              <w:rPr>
                <w:sz w:val="20"/>
                <w:szCs w:val="20"/>
                <w:color w:val="auto"/>
              </w:rPr>
            </w:pPr>
            <w:r>
              <w:rPr>
                <w:rFonts w:ascii="Arial" w:cs="Arial" w:eastAsia="Arial" w:hAnsi="Arial"/>
                <w:sz w:val="18"/>
                <w:szCs w:val="18"/>
                <w:color w:val="auto"/>
              </w:rPr>
              <w:t>3,090,342</w:t>
            </w:r>
          </w:p>
        </w:tc>
      </w:tr>
      <w:tr>
        <w:trPr>
          <w:trHeight w:val="27"/>
        </w:trPr>
        <w:tc>
          <w:tcPr>
            <w:tcW w:w="3020" w:type="dxa"/>
            <w:vAlign w:val="bottom"/>
            <w:tcBorders>
              <w:bottom w:val="single" w:sz="8" w:color="auto"/>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r>
      <w:tr>
        <w:trPr>
          <w:trHeight w:val="237"/>
        </w:trPr>
        <w:tc>
          <w:tcPr>
            <w:tcW w:w="3020" w:type="dxa"/>
            <w:vAlign w:val="bottom"/>
          </w:tcPr>
          <w:p>
            <w:pPr>
              <w:ind w:left="300"/>
              <w:spacing w:after="0"/>
              <w:rPr>
                <w:sz w:val="20"/>
                <w:szCs w:val="20"/>
                <w:color w:val="auto"/>
              </w:rPr>
            </w:pPr>
            <w:r>
              <w:rPr>
                <w:rFonts w:ascii="Arial" w:cs="Arial" w:eastAsia="Arial" w:hAnsi="Arial"/>
                <w:sz w:val="18"/>
                <w:szCs w:val="18"/>
                <w:color w:val="auto"/>
              </w:rPr>
              <w:t>Total</w:t>
            </w:r>
          </w:p>
        </w:tc>
        <w:tc>
          <w:tcPr>
            <w:tcW w:w="240" w:type="dxa"/>
            <w:vAlign w:val="bottom"/>
          </w:tcPr>
          <w:p>
            <w:pPr>
              <w:jc w:val="right"/>
              <w:ind w:right="30"/>
              <w:spacing w:after="0"/>
              <w:rPr>
                <w:sz w:val="20"/>
                <w:szCs w:val="20"/>
                <w:color w:val="auto"/>
              </w:rPr>
            </w:pPr>
            <w:r>
              <w:rPr>
                <w:rFonts w:ascii="Arial" w:cs="Arial" w:eastAsia="Arial" w:hAnsi="Arial"/>
                <w:sz w:val="18"/>
                <w:szCs w:val="18"/>
                <w:color w:val="auto"/>
                <w:w w:val="99"/>
              </w:rPr>
              <w:t>$</w:t>
            </w:r>
          </w:p>
        </w:tc>
        <w:tc>
          <w:tcPr>
            <w:tcW w:w="900" w:type="dxa"/>
            <w:vAlign w:val="bottom"/>
          </w:tcPr>
          <w:p>
            <w:pPr>
              <w:jc w:val="right"/>
              <w:spacing w:after="0"/>
              <w:rPr>
                <w:sz w:val="20"/>
                <w:szCs w:val="20"/>
                <w:color w:val="auto"/>
              </w:rPr>
            </w:pPr>
            <w:r>
              <w:rPr>
                <w:rFonts w:ascii="Arial" w:cs="Arial" w:eastAsia="Arial" w:hAnsi="Arial"/>
                <w:sz w:val="18"/>
                <w:szCs w:val="18"/>
                <w:color w:val="auto"/>
              </w:rPr>
              <w:t>5,466,281</w:t>
            </w:r>
          </w:p>
        </w:tc>
        <w:tc>
          <w:tcPr>
            <w:tcW w:w="260" w:type="dxa"/>
            <w:vAlign w:val="bottom"/>
          </w:tcPr>
          <w:p>
            <w:pPr>
              <w:jc w:val="right"/>
              <w:ind w:right="30"/>
              <w:spacing w:after="0"/>
              <w:rPr>
                <w:sz w:val="20"/>
                <w:szCs w:val="20"/>
                <w:color w:val="auto"/>
              </w:rPr>
            </w:pPr>
            <w:r>
              <w:rPr>
                <w:rFonts w:ascii="Arial" w:cs="Arial" w:eastAsia="Arial" w:hAnsi="Arial"/>
                <w:sz w:val="18"/>
                <w:szCs w:val="18"/>
                <w:color w:val="auto"/>
              </w:rPr>
              <w:t>$</w:t>
            </w:r>
          </w:p>
        </w:tc>
        <w:tc>
          <w:tcPr>
            <w:tcW w:w="900" w:type="dxa"/>
            <w:vAlign w:val="bottom"/>
          </w:tcPr>
          <w:p>
            <w:pPr>
              <w:jc w:val="right"/>
              <w:spacing w:after="0"/>
              <w:rPr>
                <w:sz w:val="20"/>
                <w:szCs w:val="20"/>
                <w:color w:val="auto"/>
              </w:rPr>
            </w:pPr>
            <w:r>
              <w:rPr>
                <w:rFonts w:ascii="Arial" w:cs="Arial" w:eastAsia="Arial" w:hAnsi="Arial"/>
                <w:sz w:val="18"/>
                <w:szCs w:val="18"/>
                <w:color w:val="auto"/>
              </w:rPr>
              <w:t>8,306,367</w:t>
            </w:r>
          </w:p>
        </w:tc>
        <w:tc>
          <w:tcPr>
            <w:tcW w:w="220" w:type="dxa"/>
            <w:vAlign w:val="bottom"/>
          </w:tcPr>
          <w:p>
            <w:pPr>
              <w:jc w:val="right"/>
              <w:spacing w:after="0"/>
              <w:rPr>
                <w:sz w:val="20"/>
                <w:szCs w:val="20"/>
                <w:color w:val="auto"/>
              </w:rPr>
            </w:pPr>
            <w:r>
              <w:rPr>
                <w:rFonts w:ascii="Arial" w:cs="Arial" w:eastAsia="Arial" w:hAnsi="Arial"/>
                <w:sz w:val="18"/>
                <w:szCs w:val="18"/>
                <w:color w:val="auto"/>
              </w:rPr>
              <w:t>$</w:t>
            </w:r>
          </w:p>
        </w:tc>
        <w:tc>
          <w:tcPr>
            <w:tcW w:w="980" w:type="dxa"/>
            <w:vAlign w:val="bottom"/>
          </w:tcPr>
          <w:p>
            <w:pPr>
              <w:jc w:val="right"/>
              <w:ind w:right="10"/>
              <w:spacing w:after="0"/>
              <w:rPr>
                <w:sz w:val="20"/>
                <w:szCs w:val="20"/>
                <w:color w:val="auto"/>
              </w:rPr>
            </w:pPr>
            <w:r>
              <w:rPr>
                <w:rFonts w:ascii="Arial" w:cs="Arial" w:eastAsia="Arial" w:hAnsi="Arial"/>
                <w:sz w:val="18"/>
                <w:szCs w:val="18"/>
                <w:color w:val="auto"/>
                <w:w w:val="95"/>
              </w:rPr>
              <w:t>13,772,648</w:t>
            </w:r>
          </w:p>
        </w:tc>
      </w:tr>
      <w:tr>
        <w:trPr>
          <w:trHeight w:val="27"/>
        </w:trPr>
        <w:tc>
          <w:tcPr>
            <w:tcW w:w="3020" w:type="dxa"/>
            <w:vAlign w:val="bottom"/>
            <w:tcBorders>
              <w:bottom w:val="single" w:sz="8" w:color="auto"/>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r>
      <w:tr>
        <w:trPr>
          <w:trHeight w:val="20"/>
        </w:trPr>
        <w:tc>
          <w:tcPr>
            <w:tcW w:w="3020" w:type="dxa"/>
            <w:vAlign w:val="bottom"/>
            <w:tcBorders>
              <w:bottom w:val="single" w:sz="8" w:color="auto"/>
            </w:tcBorders>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r>
      <w:tr>
        <w:trPr>
          <w:trHeight w:val="764"/>
        </w:trPr>
        <w:tc>
          <w:tcPr>
            <w:tcW w:w="3020" w:type="dxa"/>
            <w:vAlign w:val="bottom"/>
          </w:tcPr>
          <w:p>
            <w:pPr>
              <w:ind w:left="20"/>
              <w:spacing w:after="0"/>
              <w:rPr>
                <w:sz w:val="20"/>
                <w:szCs w:val="20"/>
                <w:color w:val="auto"/>
              </w:rPr>
            </w:pPr>
            <w:r>
              <w:rPr>
                <w:rFonts w:ascii="Arial" w:cs="Arial" w:eastAsia="Arial" w:hAnsi="Arial"/>
                <w:sz w:val="18"/>
                <w:szCs w:val="18"/>
                <w:color w:val="auto"/>
                <w:w w:val="93"/>
              </w:rPr>
              <w:t>Total Revenue by Timing of Recognition</w:t>
            </w:r>
          </w:p>
        </w:tc>
        <w:tc>
          <w:tcPr>
            <w:tcW w:w="24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980" w:type="dxa"/>
            <w:vAlign w:val="bottom"/>
          </w:tcPr>
          <w:p>
            <w:pPr>
              <w:spacing w:after="0"/>
              <w:rPr>
                <w:sz w:val="24"/>
                <w:szCs w:val="24"/>
                <w:color w:val="auto"/>
              </w:rPr>
            </w:pPr>
          </w:p>
        </w:tc>
      </w:tr>
      <w:tr>
        <w:trPr>
          <w:trHeight w:val="270"/>
        </w:trPr>
        <w:tc>
          <w:tcPr>
            <w:tcW w:w="3020" w:type="dxa"/>
            <w:vAlign w:val="bottom"/>
          </w:tcPr>
          <w:p>
            <w:pPr>
              <w:ind w:left="220"/>
              <w:spacing w:after="0"/>
              <w:rPr>
                <w:sz w:val="20"/>
                <w:szCs w:val="20"/>
                <w:color w:val="auto"/>
              </w:rPr>
            </w:pPr>
            <w:r>
              <w:rPr>
                <w:rFonts w:ascii="Arial" w:cs="Arial" w:eastAsia="Arial" w:hAnsi="Arial"/>
                <w:sz w:val="18"/>
                <w:szCs w:val="18"/>
                <w:color w:val="auto"/>
                <w:w w:val="98"/>
              </w:rPr>
              <w:t>Goods transferred at a point in time</w:t>
            </w:r>
          </w:p>
        </w:tc>
        <w:tc>
          <w:tcPr>
            <w:tcW w:w="240" w:type="dxa"/>
            <w:vAlign w:val="bottom"/>
          </w:tcPr>
          <w:p>
            <w:pPr>
              <w:jc w:val="right"/>
              <w:ind w:right="30"/>
              <w:spacing w:after="0"/>
              <w:rPr>
                <w:sz w:val="20"/>
                <w:szCs w:val="20"/>
                <w:color w:val="auto"/>
              </w:rPr>
            </w:pPr>
            <w:r>
              <w:rPr>
                <w:rFonts w:ascii="Arial" w:cs="Arial" w:eastAsia="Arial" w:hAnsi="Arial"/>
                <w:sz w:val="18"/>
                <w:szCs w:val="18"/>
                <w:color w:val="auto"/>
                <w:w w:val="99"/>
              </w:rPr>
              <w:t>$</w:t>
            </w:r>
          </w:p>
        </w:tc>
        <w:tc>
          <w:tcPr>
            <w:tcW w:w="900" w:type="dxa"/>
            <w:vAlign w:val="bottom"/>
          </w:tcPr>
          <w:p>
            <w:pPr>
              <w:jc w:val="right"/>
              <w:spacing w:after="0"/>
              <w:rPr>
                <w:sz w:val="20"/>
                <w:szCs w:val="20"/>
                <w:color w:val="auto"/>
              </w:rPr>
            </w:pPr>
            <w:r>
              <w:rPr>
                <w:rFonts w:ascii="Arial" w:cs="Arial" w:eastAsia="Arial" w:hAnsi="Arial"/>
                <w:sz w:val="18"/>
                <w:szCs w:val="18"/>
                <w:color w:val="auto"/>
              </w:rPr>
              <w:t>—</w:t>
            </w:r>
          </w:p>
        </w:tc>
        <w:tc>
          <w:tcPr>
            <w:tcW w:w="260" w:type="dxa"/>
            <w:vAlign w:val="bottom"/>
          </w:tcPr>
          <w:p>
            <w:pPr>
              <w:jc w:val="right"/>
              <w:ind w:right="30"/>
              <w:spacing w:after="0"/>
              <w:rPr>
                <w:sz w:val="20"/>
                <w:szCs w:val="20"/>
                <w:color w:val="auto"/>
              </w:rPr>
            </w:pPr>
            <w:r>
              <w:rPr>
                <w:rFonts w:ascii="Arial" w:cs="Arial" w:eastAsia="Arial" w:hAnsi="Arial"/>
                <w:sz w:val="18"/>
                <w:szCs w:val="18"/>
                <w:color w:val="auto"/>
              </w:rPr>
              <w:t>$</w:t>
            </w:r>
          </w:p>
        </w:tc>
        <w:tc>
          <w:tcPr>
            <w:tcW w:w="900" w:type="dxa"/>
            <w:vAlign w:val="bottom"/>
          </w:tcPr>
          <w:p>
            <w:pPr>
              <w:jc w:val="right"/>
              <w:spacing w:after="0"/>
              <w:rPr>
                <w:sz w:val="20"/>
                <w:szCs w:val="20"/>
                <w:color w:val="auto"/>
              </w:rPr>
            </w:pPr>
            <w:r>
              <w:rPr>
                <w:rFonts w:ascii="Arial" w:cs="Arial" w:eastAsia="Arial" w:hAnsi="Arial"/>
                <w:sz w:val="18"/>
                <w:szCs w:val="18"/>
                <w:color w:val="auto"/>
              </w:rPr>
              <w:t>5,938,992</w:t>
            </w:r>
          </w:p>
        </w:tc>
        <w:tc>
          <w:tcPr>
            <w:tcW w:w="220" w:type="dxa"/>
            <w:vAlign w:val="bottom"/>
          </w:tcPr>
          <w:p>
            <w:pPr>
              <w:jc w:val="right"/>
              <w:spacing w:after="0"/>
              <w:rPr>
                <w:sz w:val="20"/>
                <w:szCs w:val="20"/>
                <w:color w:val="auto"/>
              </w:rPr>
            </w:pPr>
            <w:r>
              <w:rPr>
                <w:rFonts w:ascii="Arial" w:cs="Arial" w:eastAsia="Arial" w:hAnsi="Arial"/>
                <w:sz w:val="18"/>
                <w:szCs w:val="18"/>
                <w:color w:val="auto"/>
              </w:rPr>
              <w:t>$</w:t>
            </w:r>
          </w:p>
        </w:tc>
        <w:tc>
          <w:tcPr>
            <w:tcW w:w="980" w:type="dxa"/>
            <w:vAlign w:val="bottom"/>
          </w:tcPr>
          <w:p>
            <w:pPr>
              <w:jc w:val="right"/>
              <w:ind w:right="10"/>
              <w:spacing w:after="0"/>
              <w:rPr>
                <w:sz w:val="20"/>
                <w:szCs w:val="20"/>
                <w:color w:val="auto"/>
              </w:rPr>
            </w:pPr>
            <w:r>
              <w:rPr>
                <w:rFonts w:ascii="Arial" w:cs="Arial" w:eastAsia="Arial" w:hAnsi="Arial"/>
                <w:sz w:val="18"/>
                <w:szCs w:val="18"/>
                <w:color w:val="auto"/>
              </w:rPr>
              <w:t>5,938,992</w:t>
            </w:r>
          </w:p>
        </w:tc>
      </w:tr>
      <w:tr>
        <w:trPr>
          <w:trHeight w:val="270"/>
        </w:trPr>
        <w:tc>
          <w:tcPr>
            <w:tcW w:w="3020" w:type="dxa"/>
            <w:vAlign w:val="bottom"/>
          </w:tcPr>
          <w:p>
            <w:pPr>
              <w:ind w:left="220"/>
              <w:spacing w:after="0"/>
              <w:rPr>
                <w:sz w:val="20"/>
                <w:szCs w:val="20"/>
                <w:color w:val="auto"/>
              </w:rPr>
            </w:pPr>
            <w:r>
              <w:rPr>
                <w:rFonts w:ascii="Arial" w:cs="Arial" w:eastAsia="Arial" w:hAnsi="Arial"/>
                <w:sz w:val="18"/>
                <w:szCs w:val="18"/>
                <w:color w:val="auto"/>
                <w:w w:val="94"/>
              </w:rPr>
              <w:t>Goods/services transferred over time</w:t>
            </w:r>
          </w:p>
        </w:tc>
        <w:tc>
          <w:tcPr>
            <w:tcW w:w="240" w:type="dxa"/>
            <w:vAlign w:val="bottom"/>
          </w:tcPr>
          <w:p>
            <w:pPr>
              <w:spacing w:after="0"/>
              <w:rPr>
                <w:sz w:val="23"/>
                <w:szCs w:val="23"/>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5,466,281</w:t>
            </w:r>
          </w:p>
        </w:tc>
        <w:tc>
          <w:tcPr>
            <w:tcW w:w="260" w:type="dxa"/>
            <w:vAlign w:val="bottom"/>
          </w:tcPr>
          <w:p>
            <w:pPr>
              <w:spacing w:after="0"/>
              <w:rPr>
                <w:sz w:val="23"/>
                <w:szCs w:val="23"/>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2,367,375</w:t>
            </w:r>
          </w:p>
        </w:tc>
        <w:tc>
          <w:tcPr>
            <w:tcW w:w="220" w:type="dxa"/>
            <w:vAlign w:val="bottom"/>
          </w:tcPr>
          <w:p>
            <w:pPr>
              <w:spacing w:after="0"/>
              <w:rPr>
                <w:sz w:val="23"/>
                <w:szCs w:val="23"/>
                <w:color w:val="auto"/>
              </w:rPr>
            </w:pPr>
          </w:p>
        </w:tc>
        <w:tc>
          <w:tcPr>
            <w:tcW w:w="980" w:type="dxa"/>
            <w:vAlign w:val="bottom"/>
          </w:tcPr>
          <w:p>
            <w:pPr>
              <w:jc w:val="right"/>
              <w:ind w:right="10"/>
              <w:spacing w:after="0"/>
              <w:rPr>
                <w:sz w:val="20"/>
                <w:szCs w:val="20"/>
                <w:color w:val="auto"/>
              </w:rPr>
            </w:pPr>
            <w:r>
              <w:rPr>
                <w:rFonts w:ascii="Arial" w:cs="Arial" w:eastAsia="Arial" w:hAnsi="Arial"/>
                <w:sz w:val="18"/>
                <w:szCs w:val="18"/>
                <w:color w:val="auto"/>
              </w:rPr>
              <w:t>7,833,656</w:t>
            </w:r>
          </w:p>
        </w:tc>
      </w:tr>
      <w:tr>
        <w:trPr>
          <w:trHeight w:val="27"/>
        </w:trPr>
        <w:tc>
          <w:tcPr>
            <w:tcW w:w="3020" w:type="dxa"/>
            <w:vAlign w:val="bottom"/>
            <w:tcBorders>
              <w:bottom w:val="single" w:sz="8" w:color="auto"/>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r>
      <w:tr>
        <w:trPr>
          <w:trHeight w:val="237"/>
        </w:trPr>
        <w:tc>
          <w:tcPr>
            <w:tcW w:w="3020" w:type="dxa"/>
            <w:vAlign w:val="bottom"/>
          </w:tcPr>
          <w:p>
            <w:pPr>
              <w:ind w:left="360"/>
              <w:spacing w:after="0"/>
              <w:rPr>
                <w:sz w:val="20"/>
                <w:szCs w:val="20"/>
                <w:color w:val="auto"/>
              </w:rPr>
            </w:pPr>
            <w:r>
              <w:rPr>
                <w:rFonts w:ascii="Arial" w:cs="Arial" w:eastAsia="Arial" w:hAnsi="Arial"/>
                <w:sz w:val="18"/>
                <w:szCs w:val="18"/>
                <w:color w:val="auto"/>
              </w:rPr>
              <w:t>Total</w:t>
            </w:r>
          </w:p>
        </w:tc>
        <w:tc>
          <w:tcPr>
            <w:tcW w:w="240" w:type="dxa"/>
            <w:vAlign w:val="bottom"/>
          </w:tcPr>
          <w:p>
            <w:pPr>
              <w:jc w:val="right"/>
              <w:ind w:right="30"/>
              <w:spacing w:after="0"/>
              <w:rPr>
                <w:sz w:val="20"/>
                <w:szCs w:val="20"/>
                <w:color w:val="auto"/>
              </w:rPr>
            </w:pPr>
            <w:r>
              <w:rPr>
                <w:rFonts w:ascii="Arial" w:cs="Arial" w:eastAsia="Arial" w:hAnsi="Arial"/>
                <w:sz w:val="18"/>
                <w:szCs w:val="18"/>
                <w:color w:val="auto"/>
                <w:w w:val="99"/>
              </w:rPr>
              <w:t>$</w:t>
            </w:r>
          </w:p>
        </w:tc>
        <w:tc>
          <w:tcPr>
            <w:tcW w:w="900" w:type="dxa"/>
            <w:vAlign w:val="bottom"/>
          </w:tcPr>
          <w:p>
            <w:pPr>
              <w:jc w:val="right"/>
              <w:spacing w:after="0"/>
              <w:rPr>
                <w:sz w:val="20"/>
                <w:szCs w:val="20"/>
                <w:color w:val="auto"/>
              </w:rPr>
            </w:pPr>
            <w:r>
              <w:rPr>
                <w:rFonts w:ascii="Arial" w:cs="Arial" w:eastAsia="Arial" w:hAnsi="Arial"/>
                <w:sz w:val="18"/>
                <w:szCs w:val="18"/>
                <w:color w:val="auto"/>
              </w:rPr>
              <w:t>5,466,281</w:t>
            </w:r>
          </w:p>
        </w:tc>
        <w:tc>
          <w:tcPr>
            <w:tcW w:w="260" w:type="dxa"/>
            <w:vAlign w:val="bottom"/>
          </w:tcPr>
          <w:p>
            <w:pPr>
              <w:jc w:val="right"/>
              <w:ind w:right="30"/>
              <w:spacing w:after="0"/>
              <w:rPr>
                <w:sz w:val="20"/>
                <w:szCs w:val="20"/>
                <w:color w:val="auto"/>
              </w:rPr>
            </w:pPr>
            <w:r>
              <w:rPr>
                <w:rFonts w:ascii="Arial" w:cs="Arial" w:eastAsia="Arial" w:hAnsi="Arial"/>
                <w:sz w:val="18"/>
                <w:szCs w:val="18"/>
                <w:color w:val="auto"/>
              </w:rPr>
              <w:t>$</w:t>
            </w:r>
          </w:p>
        </w:tc>
        <w:tc>
          <w:tcPr>
            <w:tcW w:w="900" w:type="dxa"/>
            <w:vAlign w:val="bottom"/>
          </w:tcPr>
          <w:p>
            <w:pPr>
              <w:jc w:val="right"/>
              <w:spacing w:after="0"/>
              <w:rPr>
                <w:sz w:val="20"/>
                <w:szCs w:val="20"/>
                <w:color w:val="auto"/>
              </w:rPr>
            </w:pPr>
            <w:r>
              <w:rPr>
                <w:rFonts w:ascii="Arial" w:cs="Arial" w:eastAsia="Arial" w:hAnsi="Arial"/>
                <w:sz w:val="18"/>
                <w:szCs w:val="18"/>
                <w:color w:val="auto"/>
              </w:rPr>
              <w:t>8,306,367</w:t>
            </w:r>
          </w:p>
        </w:tc>
        <w:tc>
          <w:tcPr>
            <w:tcW w:w="220" w:type="dxa"/>
            <w:vAlign w:val="bottom"/>
          </w:tcPr>
          <w:p>
            <w:pPr>
              <w:jc w:val="right"/>
              <w:spacing w:after="0"/>
              <w:rPr>
                <w:sz w:val="20"/>
                <w:szCs w:val="20"/>
                <w:color w:val="auto"/>
              </w:rPr>
            </w:pPr>
            <w:r>
              <w:rPr>
                <w:rFonts w:ascii="Arial" w:cs="Arial" w:eastAsia="Arial" w:hAnsi="Arial"/>
                <w:sz w:val="18"/>
                <w:szCs w:val="18"/>
                <w:color w:val="auto"/>
              </w:rPr>
              <w:t>$</w:t>
            </w:r>
          </w:p>
        </w:tc>
        <w:tc>
          <w:tcPr>
            <w:tcW w:w="980" w:type="dxa"/>
            <w:vAlign w:val="bottom"/>
          </w:tcPr>
          <w:p>
            <w:pPr>
              <w:jc w:val="right"/>
              <w:ind w:right="10"/>
              <w:spacing w:after="0"/>
              <w:rPr>
                <w:sz w:val="20"/>
                <w:szCs w:val="20"/>
                <w:color w:val="auto"/>
              </w:rPr>
            </w:pPr>
            <w:r>
              <w:rPr>
                <w:rFonts w:ascii="Arial" w:cs="Arial" w:eastAsia="Arial" w:hAnsi="Arial"/>
                <w:sz w:val="18"/>
                <w:szCs w:val="18"/>
                <w:color w:val="auto"/>
                <w:w w:val="95"/>
              </w:rPr>
              <w:t>13,772,648</w:t>
            </w:r>
          </w:p>
        </w:tc>
      </w:tr>
      <w:tr>
        <w:trPr>
          <w:trHeight w:val="27"/>
        </w:trPr>
        <w:tc>
          <w:tcPr>
            <w:tcW w:w="3260" w:type="dxa"/>
            <w:vAlign w:val="bottom"/>
            <w:tcBorders>
              <w:bottom w:val="single" w:sz="8" w:color="auto"/>
            </w:tcBorders>
            <w:gridSpan w:val="2"/>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r>
      <w:tr>
        <w:trPr>
          <w:trHeight w:val="20"/>
        </w:trPr>
        <w:tc>
          <w:tcPr>
            <w:tcW w:w="3260" w:type="dxa"/>
            <w:vAlign w:val="bottom"/>
            <w:tcBorders>
              <w:bottom w:val="single" w:sz="8" w:color="auto"/>
            </w:tcBorders>
            <w:gridSpan w:val="2"/>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r>
      <w:tr>
        <w:trPr>
          <w:trHeight w:val="872"/>
        </w:trPr>
        <w:tc>
          <w:tcPr>
            <w:tcW w:w="3260" w:type="dxa"/>
            <w:vAlign w:val="bottom"/>
            <w:gridSpan w:val="2"/>
          </w:tcPr>
          <w:p>
            <w:pPr>
              <w:ind w:left="20"/>
              <w:spacing w:after="0"/>
              <w:rPr>
                <w:sz w:val="20"/>
                <w:szCs w:val="20"/>
                <w:color w:val="auto"/>
              </w:rPr>
            </w:pPr>
            <w:r>
              <w:rPr>
                <w:rFonts w:ascii="Arial" w:cs="Arial" w:eastAsia="Arial" w:hAnsi="Arial"/>
                <w:sz w:val="18"/>
                <w:szCs w:val="18"/>
                <w:color w:val="auto"/>
                <w:w w:val="94"/>
              </w:rPr>
              <w:t>Total Revenue by Major Products/Services</w:t>
            </w:r>
          </w:p>
        </w:tc>
        <w:tc>
          <w:tcPr>
            <w:tcW w:w="9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980" w:type="dxa"/>
            <w:vAlign w:val="bottom"/>
          </w:tcPr>
          <w:p>
            <w:pPr>
              <w:spacing w:after="0"/>
              <w:rPr>
                <w:sz w:val="24"/>
                <w:szCs w:val="24"/>
                <w:color w:val="auto"/>
              </w:rPr>
            </w:pPr>
          </w:p>
        </w:tc>
      </w:tr>
      <w:tr>
        <w:trPr>
          <w:trHeight w:val="270"/>
        </w:trPr>
        <w:tc>
          <w:tcPr>
            <w:tcW w:w="3020" w:type="dxa"/>
            <w:vAlign w:val="bottom"/>
          </w:tcPr>
          <w:p>
            <w:pPr>
              <w:ind w:left="220"/>
              <w:spacing w:after="0"/>
              <w:rPr>
                <w:sz w:val="20"/>
                <w:szCs w:val="20"/>
                <w:color w:val="auto"/>
              </w:rPr>
            </w:pPr>
            <w:r>
              <w:rPr>
                <w:rFonts w:ascii="Arial" w:cs="Arial" w:eastAsia="Arial" w:hAnsi="Arial"/>
                <w:sz w:val="18"/>
                <w:szCs w:val="18"/>
                <w:color w:val="auto"/>
              </w:rPr>
              <w:t>Technology development</w:t>
            </w:r>
          </w:p>
        </w:tc>
        <w:tc>
          <w:tcPr>
            <w:tcW w:w="240" w:type="dxa"/>
            <w:vAlign w:val="bottom"/>
          </w:tcPr>
          <w:p>
            <w:pPr>
              <w:jc w:val="right"/>
              <w:ind w:right="30"/>
              <w:spacing w:after="0"/>
              <w:rPr>
                <w:sz w:val="20"/>
                <w:szCs w:val="20"/>
                <w:color w:val="auto"/>
              </w:rPr>
            </w:pPr>
            <w:r>
              <w:rPr>
                <w:rFonts w:ascii="Arial" w:cs="Arial" w:eastAsia="Arial" w:hAnsi="Arial"/>
                <w:sz w:val="18"/>
                <w:szCs w:val="18"/>
                <w:color w:val="auto"/>
                <w:w w:val="99"/>
              </w:rPr>
              <w:t>$</w:t>
            </w:r>
          </w:p>
        </w:tc>
        <w:tc>
          <w:tcPr>
            <w:tcW w:w="900" w:type="dxa"/>
            <w:vAlign w:val="bottom"/>
          </w:tcPr>
          <w:p>
            <w:pPr>
              <w:jc w:val="right"/>
              <w:spacing w:after="0"/>
              <w:rPr>
                <w:sz w:val="20"/>
                <w:szCs w:val="20"/>
                <w:color w:val="auto"/>
              </w:rPr>
            </w:pPr>
            <w:r>
              <w:rPr>
                <w:rFonts w:ascii="Arial" w:cs="Arial" w:eastAsia="Arial" w:hAnsi="Arial"/>
                <w:sz w:val="18"/>
                <w:szCs w:val="18"/>
                <w:color w:val="auto"/>
              </w:rPr>
              <w:t>5,466,281</w:t>
            </w:r>
          </w:p>
        </w:tc>
        <w:tc>
          <w:tcPr>
            <w:tcW w:w="260" w:type="dxa"/>
            <w:vAlign w:val="bottom"/>
          </w:tcPr>
          <w:p>
            <w:pPr>
              <w:jc w:val="right"/>
              <w:ind w:right="30"/>
              <w:spacing w:after="0"/>
              <w:rPr>
                <w:sz w:val="20"/>
                <w:szCs w:val="20"/>
                <w:color w:val="auto"/>
              </w:rPr>
            </w:pPr>
            <w:r>
              <w:rPr>
                <w:rFonts w:ascii="Arial" w:cs="Arial" w:eastAsia="Arial" w:hAnsi="Arial"/>
                <w:sz w:val="18"/>
                <w:szCs w:val="18"/>
                <w:color w:val="auto"/>
              </w:rPr>
              <w:t>$</w:t>
            </w:r>
          </w:p>
        </w:tc>
        <w:tc>
          <w:tcPr>
            <w:tcW w:w="900" w:type="dxa"/>
            <w:vAlign w:val="bottom"/>
          </w:tcPr>
          <w:p>
            <w:pPr>
              <w:jc w:val="right"/>
              <w:spacing w:after="0"/>
              <w:rPr>
                <w:sz w:val="20"/>
                <w:szCs w:val="20"/>
                <w:color w:val="auto"/>
              </w:rPr>
            </w:pPr>
            <w:r>
              <w:rPr>
                <w:rFonts w:ascii="Arial" w:cs="Arial" w:eastAsia="Arial" w:hAnsi="Arial"/>
                <w:sz w:val="18"/>
                <w:szCs w:val="18"/>
                <w:color w:val="auto"/>
              </w:rPr>
              <w:t>—</w:t>
            </w:r>
          </w:p>
        </w:tc>
        <w:tc>
          <w:tcPr>
            <w:tcW w:w="220" w:type="dxa"/>
            <w:vAlign w:val="bottom"/>
          </w:tcPr>
          <w:p>
            <w:pPr>
              <w:jc w:val="right"/>
              <w:spacing w:after="0"/>
              <w:rPr>
                <w:sz w:val="20"/>
                <w:szCs w:val="20"/>
                <w:color w:val="auto"/>
              </w:rPr>
            </w:pPr>
            <w:r>
              <w:rPr>
                <w:rFonts w:ascii="Arial" w:cs="Arial" w:eastAsia="Arial" w:hAnsi="Arial"/>
                <w:sz w:val="18"/>
                <w:szCs w:val="18"/>
                <w:color w:val="auto"/>
              </w:rPr>
              <w:t>$</w:t>
            </w:r>
          </w:p>
        </w:tc>
        <w:tc>
          <w:tcPr>
            <w:tcW w:w="980" w:type="dxa"/>
            <w:vAlign w:val="bottom"/>
          </w:tcPr>
          <w:p>
            <w:pPr>
              <w:jc w:val="right"/>
              <w:ind w:right="10"/>
              <w:spacing w:after="0"/>
              <w:rPr>
                <w:sz w:val="20"/>
                <w:szCs w:val="20"/>
                <w:color w:val="auto"/>
              </w:rPr>
            </w:pPr>
            <w:r>
              <w:rPr>
                <w:rFonts w:ascii="Arial" w:cs="Arial" w:eastAsia="Arial" w:hAnsi="Arial"/>
                <w:sz w:val="18"/>
                <w:szCs w:val="18"/>
                <w:color w:val="auto"/>
              </w:rPr>
              <w:t>5,466,281</w:t>
            </w:r>
          </w:p>
        </w:tc>
      </w:tr>
      <w:tr>
        <w:trPr>
          <w:trHeight w:val="270"/>
        </w:trPr>
        <w:tc>
          <w:tcPr>
            <w:tcW w:w="3020" w:type="dxa"/>
            <w:vAlign w:val="bottom"/>
          </w:tcPr>
          <w:p>
            <w:pPr>
              <w:ind w:left="220"/>
              <w:spacing w:after="0"/>
              <w:rPr>
                <w:sz w:val="20"/>
                <w:szCs w:val="20"/>
                <w:color w:val="auto"/>
              </w:rPr>
            </w:pPr>
            <w:r>
              <w:rPr>
                <w:rFonts w:ascii="Arial" w:cs="Arial" w:eastAsia="Arial" w:hAnsi="Arial"/>
                <w:sz w:val="18"/>
                <w:szCs w:val="18"/>
                <w:color w:val="auto"/>
                <w:w w:val="89"/>
              </w:rPr>
              <w:t>Optical test and measurement systems</w:t>
            </w:r>
          </w:p>
        </w:tc>
        <w:tc>
          <w:tcPr>
            <w:tcW w:w="240" w:type="dxa"/>
            <w:vAlign w:val="bottom"/>
          </w:tcPr>
          <w:p>
            <w:pPr>
              <w:spacing w:after="0"/>
              <w:rPr>
                <w:sz w:val="23"/>
                <w:szCs w:val="23"/>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w:t>
            </w:r>
          </w:p>
        </w:tc>
        <w:tc>
          <w:tcPr>
            <w:tcW w:w="260" w:type="dxa"/>
            <w:vAlign w:val="bottom"/>
          </w:tcPr>
          <w:p>
            <w:pPr>
              <w:spacing w:after="0"/>
              <w:rPr>
                <w:sz w:val="23"/>
                <w:szCs w:val="23"/>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3,971,510</w:t>
            </w:r>
          </w:p>
        </w:tc>
        <w:tc>
          <w:tcPr>
            <w:tcW w:w="220" w:type="dxa"/>
            <w:vAlign w:val="bottom"/>
          </w:tcPr>
          <w:p>
            <w:pPr>
              <w:spacing w:after="0"/>
              <w:rPr>
                <w:sz w:val="23"/>
                <w:szCs w:val="23"/>
                <w:color w:val="auto"/>
              </w:rPr>
            </w:pPr>
          </w:p>
        </w:tc>
        <w:tc>
          <w:tcPr>
            <w:tcW w:w="980" w:type="dxa"/>
            <w:vAlign w:val="bottom"/>
          </w:tcPr>
          <w:p>
            <w:pPr>
              <w:jc w:val="right"/>
              <w:ind w:right="10"/>
              <w:spacing w:after="0"/>
              <w:rPr>
                <w:sz w:val="20"/>
                <w:szCs w:val="20"/>
                <w:color w:val="auto"/>
              </w:rPr>
            </w:pPr>
            <w:r>
              <w:rPr>
                <w:rFonts w:ascii="Arial" w:cs="Arial" w:eastAsia="Arial" w:hAnsi="Arial"/>
                <w:sz w:val="18"/>
                <w:szCs w:val="18"/>
                <w:color w:val="auto"/>
              </w:rPr>
              <w:t>3,971,510</w:t>
            </w:r>
          </w:p>
        </w:tc>
      </w:tr>
      <w:tr>
        <w:trPr>
          <w:trHeight w:val="256"/>
        </w:trPr>
        <w:tc>
          <w:tcPr>
            <w:tcW w:w="3020" w:type="dxa"/>
            <w:vAlign w:val="bottom"/>
          </w:tcPr>
          <w:p>
            <w:pPr>
              <w:ind w:left="220"/>
              <w:spacing w:after="0"/>
              <w:rPr>
                <w:sz w:val="20"/>
                <w:szCs w:val="20"/>
                <w:color w:val="auto"/>
              </w:rPr>
            </w:pPr>
            <w:r>
              <w:rPr>
                <w:rFonts w:ascii="Arial" w:cs="Arial" w:eastAsia="Arial" w:hAnsi="Arial"/>
                <w:sz w:val="18"/>
                <w:szCs w:val="18"/>
                <w:color w:val="auto"/>
              </w:rPr>
              <w:t>Optical components and sub-</w:t>
            </w:r>
          </w:p>
        </w:tc>
        <w:tc>
          <w:tcPr>
            <w:tcW w:w="240" w:type="dxa"/>
            <w:vAlign w:val="bottom"/>
          </w:tcPr>
          <w:p>
            <w:pPr>
              <w:spacing w:after="0"/>
              <w:rPr>
                <w:sz w:val="22"/>
                <w:szCs w:val="22"/>
                <w:color w:val="auto"/>
              </w:rPr>
            </w:pPr>
          </w:p>
        </w:tc>
        <w:tc>
          <w:tcPr>
            <w:tcW w:w="900" w:type="dxa"/>
            <w:vAlign w:val="bottom"/>
          </w:tcPr>
          <w:p>
            <w:pPr>
              <w:spacing w:after="0"/>
              <w:rPr>
                <w:sz w:val="22"/>
                <w:szCs w:val="22"/>
                <w:color w:val="auto"/>
              </w:rPr>
            </w:pPr>
          </w:p>
        </w:tc>
        <w:tc>
          <w:tcPr>
            <w:tcW w:w="260" w:type="dxa"/>
            <w:vAlign w:val="bottom"/>
          </w:tcPr>
          <w:p>
            <w:pPr>
              <w:spacing w:after="0"/>
              <w:rPr>
                <w:sz w:val="22"/>
                <w:szCs w:val="22"/>
                <w:color w:val="auto"/>
              </w:rPr>
            </w:pPr>
          </w:p>
        </w:tc>
        <w:tc>
          <w:tcPr>
            <w:tcW w:w="90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980" w:type="dxa"/>
            <w:vAlign w:val="bottom"/>
          </w:tcPr>
          <w:p>
            <w:pPr>
              <w:spacing w:after="0"/>
              <w:rPr>
                <w:sz w:val="22"/>
                <w:szCs w:val="22"/>
                <w:color w:val="auto"/>
              </w:rPr>
            </w:pPr>
          </w:p>
        </w:tc>
      </w:tr>
      <w:tr>
        <w:trPr>
          <w:trHeight w:val="230"/>
        </w:trPr>
        <w:tc>
          <w:tcPr>
            <w:tcW w:w="3020" w:type="dxa"/>
            <w:vAlign w:val="bottom"/>
          </w:tcPr>
          <w:p>
            <w:pPr>
              <w:ind w:left="220"/>
              <w:spacing w:after="0"/>
              <w:rPr>
                <w:sz w:val="20"/>
                <w:szCs w:val="20"/>
                <w:color w:val="auto"/>
              </w:rPr>
            </w:pPr>
            <w:r>
              <w:rPr>
                <w:rFonts w:ascii="Arial" w:cs="Arial" w:eastAsia="Arial" w:hAnsi="Arial"/>
                <w:sz w:val="18"/>
                <w:szCs w:val="18"/>
                <w:color w:val="auto"/>
              </w:rPr>
              <w:t>assemblies</w:t>
            </w:r>
          </w:p>
        </w:tc>
        <w:tc>
          <w:tcPr>
            <w:tcW w:w="240" w:type="dxa"/>
            <w:vAlign w:val="bottom"/>
          </w:tcPr>
          <w:p>
            <w:pPr>
              <w:spacing w:after="0"/>
              <w:rPr>
                <w:sz w:val="20"/>
                <w:szCs w:val="20"/>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w:t>
            </w:r>
          </w:p>
        </w:tc>
        <w:tc>
          <w:tcPr>
            <w:tcW w:w="260" w:type="dxa"/>
            <w:vAlign w:val="bottom"/>
          </w:tcPr>
          <w:p>
            <w:pPr>
              <w:spacing w:after="0"/>
              <w:rPr>
                <w:sz w:val="20"/>
                <w:szCs w:val="20"/>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3,849,283</w:t>
            </w:r>
          </w:p>
        </w:tc>
        <w:tc>
          <w:tcPr>
            <w:tcW w:w="220" w:type="dxa"/>
            <w:vAlign w:val="bottom"/>
          </w:tcPr>
          <w:p>
            <w:pPr>
              <w:spacing w:after="0"/>
              <w:rPr>
                <w:sz w:val="20"/>
                <w:szCs w:val="20"/>
                <w:color w:val="auto"/>
              </w:rPr>
            </w:pPr>
          </w:p>
        </w:tc>
        <w:tc>
          <w:tcPr>
            <w:tcW w:w="980" w:type="dxa"/>
            <w:vAlign w:val="bottom"/>
          </w:tcPr>
          <w:p>
            <w:pPr>
              <w:jc w:val="right"/>
              <w:ind w:right="10"/>
              <w:spacing w:after="0"/>
              <w:rPr>
                <w:sz w:val="20"/>
                <w:szCs w:val="20"/>
                <w:color w:val="auto"/>
              </w:rPr>
            </w:pPr>
            <w:r>
              <w:rPr>
                <w:rFonts w:ascii="Arial" w:cs="Arial" w:eastAsia="Arial" w:hAnsi="Arial"/>
                <w:sz w:val="18"/>
                <w:szCs w:val="18"/>
                <w:color w:val="auto"/>
              </w:rPr>
              <w:t>3,849,283</w:t>
            </w:r>
          </w:p>
        </w:tc>
      </w:tr>
      <w:tr>
        <w:trPr>
          <w:trHeight w:val="270"/>
        </w:trPr>
        <w:tc>
          <w:tcPr>
            <w:tcW w:w="3020" w:type="dxa"/>
            <w:vAlign w:val="bottom"/>
          </w:tcPr>
          <w:p>
            <w:pPr>
              <w:ind w:left="220"/>
              <w:spacing w:after="0"/>
              <w:rPr>
                <w:sz w:val="20"/>
                <w:szCs w:val="20"/>
                <w:color w:val="auto"/>
              </w:rPr>
            </w:pPr>
            <w:r>
              <w:rPr>
                <w:rFonts w:ascii="Arial" w:cs="Arial" w:eastAsia="Arial" w:hAnsi="Arial"/>
                <w:sz w:val="18"/>
                <w:szCs w:val="18"/>
                <w:color w:val="auto"/>
              </w:rPr>
              <w:t>Other</w:t>
            </w:r>
          </w:p>
        </w:tc>
        <w:tc>
          <w:tcPr>
            <w:tcW w:w="240" w:type="dxa"/>
            <w:vAlign w:val="bottom"/>
          </w:tcPr>
          <w:p>
            <w:pPr>
              <w:spacing w:after="0"/>
              <w:rPr>
                <w:sz w:val="23"/>
                <w:szCs w:val="23"/>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w:t>
            </w:r>
          </w:p>
        </w:tc>
        <w:tc>
          <w:tcPr>
            <w:tcW w:w="260" w:type="dxa"/>
            <w:vAlign w:val="bottom"/>
          </w:tcPr>
          <w:p>
            <w:pPr>
              <w:spacing w:after="0"/>
              <w:rPr>
                <w:sz w:val="23"/>
                <w:szCs w:val="23"/>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485,574</w:t>
            </w:r>
          </w:p>
        </w:tc>
        <w:tc>
          <w:tcPr>
            <w:tcW w:w="220" w:type="dxa"/>
            <w:vAlign w:val="bottom"/>
          </w:tcPr>
          <w:p>
            <w:pPr>
              <w:spacing w:after="0"/>
              <w:rPr>
                <w:sz w:val="23"/>
                <w:szCs w:val="23"/>
                <w:color w:val="auto"/>
              </w:rPr>
            </w:pPr>
          </w:p>
        </w:tc>
        <w:tc>
          <w:tcPr>
            <w:tcW w:w="980" w:type="dxa"/>
            <w:vAlign w:val="bottom"/>
          </w:tcPr>
          <w:p>
            <w:pPr>
              <w:jc w:val="right"/>
              <w:ind w:right="10"/>
              <w:spacing w:after="0"/>
              <w:rPr>
                <w:sz w:val="20"/>
                <w:szCs w:val="20"/>
                <w:color w:val="auto"/>
              </w:rPr>
            </w:pPr>
            <w:r>
              <w:rPr>
                <w:rFonts w:ascii="Arial" w:cs="Arial" w:eastAsia="Arial" w:hAnsi="Arial"/>
                <w:sz w:val="18"/>
                <w:szCs w:val="18"/>
                <w:color w:val="auto"/>
              </w:rPr>
              <w:t>485,574</w:t>
            </w:r>
          </w:p>
        </w:tc>
      </w:tr>
      <w:tr>
        <w:trPr>
          <w:trHeight w:val="27"/>
        </w:trPr>
        <w:tc>
          <w:tcPr>
            <w:tcW w:w="3020" w:type="dxa"/>
            <w:vAlign w:val="bottom"/>
            <w:tcBorders>
              <w:bottom w:val="single" w:sz="8" w:color="auto"/>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r>
      <w:tr>
        <w:trPr>
          <w:trHeight w:val="237"/>
        </w:trPr>
        <w:tc>
          <w:tcPr>
            <w:tcW w:w="3020" w:type="dxa"/>
            <w:vAlign w:val="bottom"/>
          </w:tcPr>
          <w:p>
            <w:pPr>
              <w:ind w:left="360"/>
              <w:spacing w:after="0"/>
              <w:rPr>
                <w:sz w:val="20"/>
                <w:szCs w:val="20"/>
                <w:color w:val="auto"/>
              </w:rPr>
            </w:pPr>
            <w:r>
              <w:rPr>
                <w:rFonts w:ascii="Arial" w:cs="Arial" w:eastAsia="Arial" w:hAnsi="Arial"/>
                <w:sz w:val="18"/>
                <w:szCs w:val="18"/>
                <w:color w:val="auto"/>
              </w:rPr>
              <w:t>Total</w:t>
            </w:r>
          </w:p>
        </w:tc>
        <w:tc>
          <w:tcPr>
            <w:tcW w:w="240" w:type="dxa"/>
            <w:vAlign w:val="bottom"/>
          </w:tcPr>
          <w:p>
            <w:pPr>
              <w:jc w:val="right"/>
              <w:ind w:right="30"/>
              <w:spacing w:after="0"/>
              <w:rPr>
                <w:sz w:val="20"/>
                <w:szCs w:val="20"/>
                <w:color w:val="auto"/>
              </w:rPr>
            </w:pPr>
            <w:r>
              <w:rPr>
                <w:rFonts w:ascii="Arial" w:cs="Arial" w:eastAsia="Arial" w:hAnsi="Arial"/>
                <w:sz w:val="18"/>
                <w:szCs w:val="18"/>
                <w:color w:val="auto"/>
                <w:w w:val="99"/>
              </w:rPr>
              <w:t>$</w:t>
            </w:r>
          </w:p>
        </w:tc>
        <w:tc>
          <w:tcPr>
            <w:tcW w:w="900" w:type="dxa"/>
            <w:vAlign w:val="bottom"/>
          </w:tcPr>
          <w:p>
            <w:pPr>
              <w:jc w:val="right"/>
              <w:spacing w:after="0"/>
              <w:rPr>
                <w:sz w:val="20"/>
                <w:szCs w:val="20"/>
                <w:color w:val="auto"/>
              </w:rPr>
            </w:pPr>
            <w:r>
              <w:rPr>
                <w:rFonts w:ascii="Arial" w:cs="Arial" w:eastAsia="Arial" w:hAnsi="Arial"/>
                <w:sz w:val="18"/>
                <w:szCs w:val="18"/>
                <w:color w:val="auto"/>
              </w:rPr>
              <w:t>5,466,281</w:t>
            </w:r>
          </w:p>
        </w:tc>
        <w:tc>
          <w:tcPr>
            <w:tcW w:w="260" w:type="dxa"/>
            <w:vAlign w:val="bottom"/>
          </w:tcPr>
          <w:p>
            <w:pPr>
              <w:jc w:val="right"/>
              <w:ind w:right="30"/>
              <w:spacing w:after="0"/>
              <w:rPr>
                <w:sz w:val="20"/>
                <w:szCs w:val="20"/>
                <w:color w:val="auto"/>
              </w:rPr>
            </w:pPr>
            <w:r>
              <w:rPr>
                <w:rFonts w:ascii="Arial" w:cs="Arial" w:eastAsia="Arial" w:hAnsi="Arial"/>
                <w:sz w:val="18"/>
                <w:szCs w:val="18"/>
                <w:color w:val="auto"/>
              </w:rPr>
              <w:t>$</w:t>
            </w:r>
          </w:p>
        </w:tc>
        <w:tc>
          <w:tcPr>
            <w:tcW w:w="900" w:type="dxa"/>
            <w:vAlign w:val="bottom"/>
          </w:tcPr>
          <w:p>
            <w:pPr>
              <w:jc w:val="right"/>
              <w:spacing w:after="0"/>
              <w:rPr>
                <w:sz w:val="20"/>
                <w:szCs w:val="20"/>
                <w:color w:val="auto"/>
              </w:rPr>
            </w:pPr>
            <w:r>
              <w:rPr>
                <w:rFonts w:ascii="Arial" w:cs="Arial" w:eastAsia="Arial" w:hAnsi="Arial"/>
                <w:sz w:val="18"/>
                <w:szCs w:val="18"/>
                <w:color w:val="auto"/>
              </w:rPr>
              <w:t>8,306,367</w:t>
            </w:r>
          </w:p>
        </w:tc>
        <w:tc>
          <w:tcPr>
            <w:tcW w:w="220" w:type="dxa"/>
            <w:vAlign w:val="bottom"/>
          </w:tcPr>
          <w:p>
            <w:pPr>
              <w:jc w:val="right"/>
              <w:spacing w:after="0"/>
              <w:rPr>
                <w:sz w:val="20"/>
                <w:szCs w:val="20"/>
                <w:color w:val="auto"/>
              </w:rPr>
            </w:pPr>
            <w:r>
              <w:rPr>
                <w:rFonts w:ascii="Arial" w:cs="Arial" w:eastAsia="Arial" w:hAnsi="Arial"/>
                <w:sz w:val="18"/>
                <w:szCs w:val="18"/>
                <w:color w:val="auto"/>
              </w:rPr>
              <w:t>$</w:t>
            </w:r>
          </w:p>
        </w:tc>
        <w:tc>
          <w:tcPr>
            <w:tcW w:w="980" w:type="dxa"/>
            <w:vAlign w:val="bottom"/>
          </w:tcPr>
          <w:p>
            <w:pPr>
              <w:jc w:val="right"/>
              <w:ind w:right="10"/>
              <w:spacing w:after="0"/>
              <w:rPr>
                <w:sz w:val="20"/>
                <w:szCs w:val="20"/>
                <w:color w:val="auto"/>
              </w:rPr>
            </w:pPr>
            <w:r>
              <w:rPr>
                <w:rFonts w:ascii="Arial" w:cs="Arial" w:eastAsia="Arial" w:hAnsi="Arial"/>
                <w:sz w:val="18"/>
                <w:szCs w:val="18"/>
                <w:color w:val="auto"/>
                <w:w w:val="95"/>
              </w:rPr>
              <w:t>13,772,648</w:t>
            </w:r>
          </w:p>
        </w:tc>
      </w:tr>
      <w:tr>
        <w:trPr>
          <w:trHeight w:val="27"/>
        </w:trPr>
        <w:tc>
          <w:tcPr>
            <w:tcW w:w="3020" w:type="dxa"/>
            <w:vAlign w:val="bottom"/>
            <w:tcBorders>
              <w:bottom w:val="single" w:sz="8" w:color="auto"/>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r>
      <w:tr>
        <w:trPr>
          <w:trHeight w:val="20"/>
        </w:trPr>
        <w:tc>
          <w:tcPr>
            <w:tcW w:w="3020" w:type="dxa"/>
            <w:vAlign w:val="bottom"/>
            <w:tcBorders>
              <w:bottom w:val="single" w:sz="8" w:color="auto"/>
            </w:tcBorders>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288290</wp:posOffset>
            </wp:positionH>
            <wp:positionV relativeFrom="paragraph">
              <wp:posOffset>-6002655</wp:posOffset>
            </wp:positionV>
            <wp:extent cx="6689090" cy="1714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6689090" cy="171450"/>
                    </a:xfrm>
                    <a:prstGeom prst="rect">
                      <a:avLst/>
                    </a:prstGeom>
                    <a:noFill/>
                  </pic:spPr>
                </pic:pic>
              </a:graphicData>
            </a:graphic>
          </wp:anchor>
        </w:drawing>
        <w:drawing>
          <wp:anchor simplePos="0" relativeHeight="251657728" behindDoc="1" locked="0" layoutInCell="0" allowOverlap="1">
            <wp:simplePos x="0" y="0"/>
            <wp:positionH relativeFrom="column">
              <wp:posOffset>288290</wp:posOffset>
            </wp:positionH>
            <wp:positionV relativeFrom="paragraph">
              <wp:posOffset>-5659120</wp:posOffset>
            </wp:positionV>
            <wp:extent cx="6689090" cy="17145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6689090" cy="171450"/>
                    </a:xfrm>
                    <a:prstGeom prst="rect">
                      <a:avLst/>
                    </a:prstGeom>
                    <a:noFill/>
                  </pic:spPr>
                </pic:pic>
              </a:graphicData>
            </a:graphic>
          </wp:anchor>
        </w:drawing>
        <w:drawing>
          <wp:anchor simplePos="0" relativeHeight="251657728" behindDoc="1" locked="0" layoutInCell="0" allowOverlap="1">
            <wp:simplePos x="0" y="0"/>
            <wp:positionH relativeFrom="column">
              <wp:posOffset>288290</wp:posOffset>
            </wp:positionH>
            <wp:positionV relativeFrom="paragraph">
              <wp:posOffset>-5316220</wp:posOffset>
            </wp:positionV>
            <wp:extent cx="6689090" cy="18859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6689090" cy="188595"/>
                    </a:xfrm>
                    <a:prstGeom prst="rect">
                      <a:avLst/>
                    </a:prstGeom>
                    <a:noFill/>
                  </pic:spPr>
                </pic:pic>
              </a:graphicData>
            </a:graphic>
          </wp:anchor>
        </w:drawing>
        <w:drawing>
          <wp:anchor simplePos="0" relativeHeight="251657728" behindDoc="1" locked="0" layoutInCell="0" allowOverlap="1">
            <wp:simplePos x="0" y="0"/>
            <wp:positionH relativeFrom="column">
              <wp:posOffset>288290</wp:posOffset>
            </wp:positionH>
            <wp:positionV relativeFrom="paragraph">
              <wp:posOffset>-4939030</wp:posOffset>
            </wp:positionV>
            <wp:extent cx="6689090" cy="17145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6689090" cy="171450"/>
                    </a:xfrm>
                    <a:prstGeom prst="rect">
                      <a:avLst/>
                    </a:prstGeom>
                    <a:noFill/>
                  </pic:spPr>
                </pic:pic>
              </a:graphicData>
            </a:graphic>
          </wp:anchor>
        </w:drawing>
        <w:drawing>
          <wp:anchor simplePos="0" relativeHeight="251657728" behindDoc="1" locked="0" layoutInCell="0" allowOverlap="1">
            <wp:simplePos x="0" y="0"/>
            <wp:positionH relativeFrom="column">
              <wp:posOffset>288290</wp:posOffset>
            </wp:positionH>
            <wp:positionV relativeFrom="paragraph">
              <wp:posOffset>-4596130</wp:posOffset>
            </wp:positionV>
            <wp:extent cx="6689090" cy="17145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6689090" cy="171450"/>
                    </a:xfrm>
                    <a:prstGeom prst="rect">
                      <a:avLst/>
                    </a:prstGeom>
                    <a:noFill/>
                  </pic:spPr>
                </pic:pic>
              </a:graphicData>
            </a:graphic>
          </wp:anchor>
        </w:drawing>
        <w:drawing>
          <wp:anchor simplePos="0" relativeHeight="251657728" behindDoc="1" locked="0" layoutInCell="0" allowOverlap="1">
            <wp:simplePos x="0" y="0"/>
            <wp:positionH relativeFrom="column">
              <wp:posOffset>288290</wp:posOffset>
            </wp:positionH>
            <wp:positionV relativeFrom="paragraph">
              <wp:posOffset>-4116070</wp:posOffset>
            </wp:positionV>
            <wp:extent cx="6689090" cy="17145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6689090" cy="171450"/>
                    </a:xfrm>
                    <a:prstGeom prst="rect">
                      <a:avLst/>
                    </a:prstGeom>
                    <a:noFill/>
                  </pic:spPr>
                </pic:pic>
              </a:graphicData>
            </a:graphic>
          </wp:anchor>
        </w:drawing>
        <w:drawing>
          <wp:anchor simplePos="0" relativeHeight="251657728" behindDoc="1" locked="0" layoutInCell="0" allowOverlap="1">
            <wp:simplePos x="0" y="0"/>
            <wp:positionH relativeFrom="column">
              <wp:posOffset>288290</wp:posOffset>
            </wp:positionH>
            <wp:positionV relativeFrom="paragraph">
              <wp:posOffset>-3755390</wp:posOffset>
            </wp:positionV>
            <wp:extent cx="6689090" cy="18859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6689090" cy="188595"/>
                    </a:xfrm>
                    <a:prstGeom prst="rect">
                      <a:avLst/>
                    </a:prstGeom>
                    <a:noFill/>
                  </pic:spPr>
                </pic:pic>
              </a:graphicData>
            </a:graphic>
          </wp:anchor>
        </w:drawing>
        <w:drawing>
          <wp:anchor simplePos="0" relativeHeight="251657728" behindDoc="1" locked="0" layoutInCell="0" allowOverlap="1">
            <wp:simplePos x="0" y="0"/>
            <wp:positionH relativeFrom="column">
              <wp:posOffset>288290</wp:posOffset>
            </wp:positionH>
            <wp:positionV relativeFrom="paragraph">
              <wp:posOffset>-3395345</wp:posOffset>
            </wp:positionV>
            <wp:extent cx="6689090" cy="17145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6689090" cy="171450"/>
                    </a:xfrm>
                    <a:prstGeom prst="rect">
                      <a:avLst/>
                    </a:prstGeom>
                    <a:noFill/>
                  </pic:spPr>
                </pic:pic>
              </a:graphicData>
            </a:graphic>
          </wp:anchor>
        </w:drawing>
        <w:drawing>
          <wp:anchor simplePos="0" relativeHeight="251657728" behindDoc="1" locked="0" layoutInCell="0" allowOverlap="1">
            <wp:simplePos x="0" y="0"/>
            <wp:positionH relativeFrom="column">
              <wp:posOffset>288290</wp:posOffset>
            </wp:positionH>
            <wp:positionV relativeFrom="paragraph">
              <wp:posOffset>-3052445</wp:posOffset>
            </wp:positionV>
            <wp:extent cx="6689090" cy="17145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6689090" cy="171450"/>
                    </a:xfrm>
                    <a:prstGeom prst="rect">
                      <a:avLst/>
                    </a:prstGeom>
                    <a:noFill/>
                  </pic:spPr>
                </pic:pic>
              </a:graphicData>
            </a:graphic>
          </wp:anchor>
        </w:drawing>
        <w:drawing>
          <wp:anchor simplePos="0" relativeHeight="251657728" behindDoc="1" locked="0" layoutInCell="0" allowOverlap="1">
            <wp:simplePos x="0" y="0"/>
            <wp:positionH relativeFrom="column">
              <wp:posOffset>288290</wp:posOffset>
            </wp:positionH>
            <wp:positionV relativeFrom="paragraph">
              <wp:posOffset>-2692400</wp:posOffset>
            </wp:positionV>
            <wp:extent cx="6689090" cy="18859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6689090" cy="188595"/>
                    </a:xfrm>
                    <a:prstGeom prst="rect">
                      <a:avLst/>
                    </a:prstGeom>
                    <a:noFill/>
                  </pic:spPr>
                </pic:pic>
              </a:graphicData>
            </a:graphic>
          </wp:anchor>
        </w:drawing>
        <w:drawing>
          <wp:anchor simplePos="0" relativeHeight="251657728" behindDoc="1" locked="0" layoutInCell="0" allowOverlap="1">
            <wp:simplePos x="0" y="0"/>
            <wp:positionH relativeFrom="column">
              <wp:posOffset>288290</wp:posOffset>
            </wp:positionH>
            <wp:positionV relativeFrom="paragraph">
              <wp:posOffset>-2331720</wp:posOffset>
            </wp:positionV>
            <wp:extent cx="6689090" cy="17145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6689090" cy="171450"/>
                    </a:xfrm>
                    <a:prstGeom prst="rect">
                      <a:avLst/>
                    </a:prstGeom>
                    <a:noFill/>
                  </pic:spPr>
                </pic:pic>
              </a:graphicData>
            </a:graphic>
          </wp:anchor>
        </w:drawing>
        <w:drawing>
          <wp:anchor simplePos="0" relativeHeight="251657728" behindDoc="1" locked="0" layoutInCell="0" allowOverlap="1">
            <wp:simplePos x="0" y="0"/>
            <wp:positionH relativeFrom="column">
              <wp:posOffset>288290</wp:posOffset>
            </wp:positionH>
            <wp:positionV relativeFrom="paragraph">
              <wp:posOffset>-1988820</wp:posOffset>
            </wp:positionV>
            <wp:extent cx="6689090" cy="17145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6689090" cy="171450"/>
                    </a:xfrm>
                    <a:prstGeom prst="rect">
                      <a:avLst/>
                    </a:prstGeom>
                    <a:noFill/>
                  </pic:spPr>
                </pic:pic>
              </a:graphicData>
            </a:graphic>
          </wp:anchor>
        </w:drawing>
        <w:drawing>
          <wp:anchor simplePos="0" relativeHeight="251657728" behindDoc="1" locked="0" layoutInCell="0" allowOverlap="1">
            <wp:simplePos x="0" y="0"/>
            <wp:positionH relativeFrom="column">
              <wp:posOffset>288290</wp:posOffset>
            </wp:positionH>
            <wp:positionV relativeFrom="paragraph">
              <wp:posOffset>-1628775</wp:posOffset>
            </wp:positionV>
            <wp:extent cx="6689090" cy="2228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6689090" cy="222885"/>
                    </a:xfrm>
                    <a:prstGeom prst="rect">
                      <a:avLst/>
                    </a:prstGeom>
                    <a:noFill/>
                  </pic:spPr>
                </pic:pic>
              </a:graphicData>
            </a:graphic>
          </wp:anchor>
        </w:drawing>
        <w:drawing>
          <wp:anchor simplePos="0" relativeHeight="251657728" behindDoc="1" locked="0" layoutInCell="0" allowOverlap="1">
            <wp:simplePos x="0" y="0"/>
            <wp:positionH relativeFrom="column">
              <wp:posOffset>288290</wp:posOffset>
            </wp:positionH>
            <wp:positionV relativeFrom="paragraph">
              <wp:posOffset>-1200150</wp:posOffset>
            </wp:positionV>
            <wp:extent cx="6689090" cy="17145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6689090" cy="171450"/>
                    </a:xfrm>
                    <a:prstGeom prst="rect">
                      <a:avLst/>
                    </a:prstGeom>
                    <a:noFill/>
                  </pic:spPr>
                </pic:pic>
              </a:graphicData>
            </a:graphic>
          </wp:anchor>
        </w:drawing>
        <w:drawing>
          <wp:anchor simplePos="0" relativeHeight="251657728" behindDoc="1" locked="0" layoutInCell="0" allowOverlap="1">
            <wp:simplePos x="0" y="0"/>
            <wp:positionH relativeFrom="column">
              <wp:posOffset>288290</wp:posOffset>
            </wp:positionH>
            <wp:positionV relativeFrom="paragraph">
              <wp:posOffset>-857250</wp:posOffset>
            </wp:positionV>
            <wp:extent cx="6689090" cy="17145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6689090" cy="171450"/>
                    </a:xfrm>
                    <a:prstGeom prst="rect">
                      <a:avLst/>
                    </a:prstGeom>
                    <a:noFill/>
                  </pic:spPr>
                </pic:pic>
              </a:graphicData>
            </a:graphic>
          </wp:anchor>
        </w:drawing>
        <w:drawing>
          <wp:anchor simplePos="0" relativeHeight="251657728" behindDoc="1" locked="0" layoutInCell="0" allowOverlap="1">
            <wp:simplePos x="0" y="0"/>
            <wp:positionH relativeFrom="column">
              <wp:posOffset>288290</wp:posOffset>
            </wp:positionH>
            <wp:positionV relativeFrom="paragraph">
              <wp:posOffset>-376555</wp:posOffset>
            </wp:positionV>
            <wp:extent cx="6689090" cy="17145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6689090" cy="171450"/>
                    </a:xfrm>
                    <a:prstGeom prst="rect">
                      <a:avLst/>
                    </a:prstGeom>
                    <a:noFill/>
                  </pic:spPr>
                </pic:pic>
              </a:graphicData>
            </a:graphic>
          </wp:anchor>
        </w:drawing>
      </w:r>
    </w:p>
    <w:p>
      <w:pPr>
        <w:spacing w:after="0" w:line="20" w:lineRule="exact"/>
        <w:rPr>
          <w:sz w:val="20"/>
          <w:szCs w:val="20"/>
          <w:color w:val="auto"/>
        </w:rPr>
      </w:pPr>
      <w:r>
        <w:rPr>
          <w:sz w:val="20"/>
          <w:szCs w:val="20"/>
          <w:color w:val="auto"/>
        </w:rPr>
        <w:br w:type="column"/>
      </w:r>
    </w:p>
    <w:p>
      <w:pPr>
        <w:spacing w:after="0" w:line="43"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30"/>
        </w:trPr>
        <w:tc>
          <w:tcPr>
            <w:tcW w:w="18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940" w:type="dxa"/>
            <w:vAlign w:val="bottom"/>
          </w:tcPr>
          <w:p>
            <w:pPr>
              <w:jc w:val="right"/>
              <w:spacing w:after="0"/>
              <w:rPr>
                <w:sz w:val="20"/>
                <w:szCs w:val="20"/>
                <w:color w:val="auto"/>
              </w:rPr>
            </w:pPr>
            <w:r>
              <w:rPr>
                <w:rFonts w:ascii="Arial" w:cs="Arial" w:eastAsia="Arial" w:hAnsi="Arial"/>
                <w:sz w:val="18"/>
                <w:szCs w:val="18"/>
                <w:color w:val="auto"/>
                <w:w w:val="95"/>
              </w:rPr>
              <w:t>10,103,056</w:t>
            </w:r>
          </w:p>
        </w:tc>
        <w:tc>
          <w:tcPr>
            <w:tcW w:w="220" w:type="dxa"/>
            <w:vAlign w:val="bottom"/>
          </w:tcPr>
          <w:p>
            <w:pPr>
              <w:jc w:val="right"/>
              <w:spacing w:after="0"/>
              <w:rPr>
                <w:sz w:val="20"/>
                <w:szCs w:val="20"/>
                <w:color w:val="auto"/>
              </w:rPr>
            </w:pPr>
            <w:r>
              <w:rPr>
                <w:rFonts w:ascii="Arial" w:cs="Arial" w:eastAsia="Arial" w:hAnsi="Arial"/>
                <w:sz w:val="18"/>
                <w:szCs w:val="18"/>
                <w:color w:val="auto"/>
              </w:rPr>
              <w:t>$</w:t>
            </w:r>
          </w:p>
        </w:tc>
        <w:tc>
          <w:tcPr>
            <w:tcW w:w="940" w:type="dxa"/>
            <w:vAlign w:val="bottom"/>
          </w:tcPr>
          <w:p>
            <w:pPr>
              <w:jc w:val="right"/>
              <w:spacing w:after="0"/>
              <w:rPr>
                <w:sz w:val="20"/>
                <w:szCs w:val="20"/>
                <w:color w:val="auto"/>
              </w:rPr>
            </w:pPr>
            <w:r>
              <w:rPr>
                <w:rFonts w:ascii="Arial" w:cs="Arial" w:eastAsia="Arial" w:hAnsi="Arial"/>
                <w:sz w:val="18"/>
                <w:szCs w:val="18"/>
                <w:color w:val="auto"/>
              </w:rPr>
              <w:t>9,837,137</w:t>
            </w:r>
          </w:p>
        </w:tc>
        <w:tc>
          <w:tcPr>
            <w:tcW w:w="280" w:type="dxa"/>
            <w:vAlign w:val="bottom"/>
          </w:tcPr>
          <w:p>
            <w:pPr>
              <w:jc w:val="right"/>
              <w:ind w:right="50"/>
              <w:spacing w:after="0"/>
              <w:rPr>
                <w:sz w:val="20"/>
                <w:szCs w:val="20"/>
                <w:color w:val="auto"/>
              </w:rPr>
            </w:pPr>
            <w:r>
              <w:rPr>
                <w:rFonts w:ascii="Arial" w:cs="Arial" w:eastAsia="Arial" w:hAnsi="Arial"/>
                <w:sz w:val="18"/>
                <w:szCs w:val="18"/>
                <w:color w:val="auto"/>
              </w:rPr>
              <w:t>$</w:t>
            </w:r>
          </w:p>
        </w:tc>
        <w:tc>
          <w:tcPr>
            <w:tcW w:w="1020" w:type="dxa"/>
            <w:vAlign w:val="bottom"/>
          </w:tcPr>
          <w:p>
            <w:pPr>
              <w:jc w:val="right"/>
              <w:ind w:right="10"/>
              <w:spacing w:after="0"/>
              <w:rPr>
                <w:sz w:val="20"/>
                <w:szCs w:val="20"/>
                <w:color w:val="auto"/>
              </w:rPr>
            </w:pPr>
            <w:r>
              <w:rPr>
                <w:rFonts w:ascii="Arial" w:cs="Arial" w:eastAsia="Arial" w:hAnsi="Arial"/>
                <w:sz w:val="18"/>
                <w:szCs w:val="18"/>
                <w:color w:val="auto"/>
                <w:w w:val="99"/>
              </w:rPr>
              <w:t>19,940,193</w:t>
            </w:r>
          </w:p>
        </w:tc>
      </w:tr>
      <w:tr>
        <w:trPr>
          <w:trHeight w:val="270"/>
        </w:trPr>
        <w:tc>
          <w:tcPr>
            <w:tcW w:w="180" w:type="dxa"/>
            <w:vAlign w:val="bottom"/>
          </w:tcPr>
          <w:p>
            <w:pPr>
              <w:spacing w:after="0"/>
              <w:rPr>
                <w:sz w:val="23"/>
                <w:szCs w:val="23"/>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23"/>
                <w:szCs w:val="23"/>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3,188,925</w:t>
            </w:r>
          </w:p>
        </w:tc>
        <w:tc>
          <w:tcPr>
            <w:tcW w:w="280" w:type="dxa"/>
            <w:vAlign w:val="bottom"/>
          </w:tcPr>
          <w:p>
            <w:pPr>
              <w:spacing w:after="0"/>
              <w:rPr>
                <w:sz w:val="23"/>
                <w:szCs w:val="23"/>
                <w:color w:val="auto"/>
              </w:rPr>
            </w:pPr>
          </w:p>
        </w:tc>
        <w:tc>
          <w:tcPr>
            <w:tcW w:w="1020" w:type="dxa"/>
            <w:vAlign w:val="bottom"/>
          </w:tcPr>
          <w:p>
            <w:pPr>
              <w:jc w:val="right"/>
              <w:ind w:right="10"/>
              <w:spacing w:after="0"/>
              <w:rPr>
                <w:sz w:val="20"/>
                <w:szCs w:val="20"/>
                <w:color w:val="auto"/>
              </w:rPr>
            </w:pPr>
            <w:r>
              <w:rPr>
                <w:rFonts w:ascii="Arial" w:cs="Arial" w:eastAsia="Arial" w:hAnsi="Arial"/>
                <w:sz w:val="18"/>
                <w:szCs w:val="18"/>
                <w:color w:val="auto"/>
              </w:rPr>
              <w:t>3,188,925</w:t>
            </w:r>
          </w:p>
        </w:tc>
      </w:tr>
      <w:tr>
        <w:trPr>
          <w:trHeight w:val="270"/>
        </w:trPr>
        <w:tc>
          <w:tcPr>
            <w:tcW w:w="180" w:type="dxa"/>
            <w:vAlign w:val="bottom"/>
          </w:tcPr>
          <w:p>
            <w:pPr>
              <w:spacing w:after="0"/>
              <w:rPr>
                <w:sz w:val="23"/>
                <w:szCs w:val="23"/>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23"/>
                <w:szCs w:val="23"/>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2,607,288</w:t>
            </w:r>
          </w:p>
        </w:tc>
        <w:tc>
          <w:tcPr>
            <w:tcW w:w="280" w:type="dxa"/>
            <w:vAlign w:val="bottom"/>
          </w:tcPr>
          <w:p>
            <w:pPr>
              <w:spacing w:after="0"/>
              <w:rPr>
                <w:sz w:val="23"/>
                <w:szCs w:val="23"/>
                <w:color w:val="auto"/>
              </w:rPr>
            </w:pPr>
          </w:p>
        </w:tc>
        <w:tc>
          <w:tcPr>
            <w:tcW w:w="1020" w:type="dxa"/>
            <w:vAlign w:val="bottom"/>
          </w:tcPr>
          <w:p>
            <w:pPr>
              <w:jc w:val="right"/>
              <w:ind w:right="10"/>
              <w:spacing w:after="0"/>
              <w:rPr>
                <w:sz w:val="20"/>
                <w:szCs w:val="20"/>
                <w:color w:val="auto"/>
              </w:rPr>
            </w:pPr>
            <w:r>
              <w:rPr>
                <w:rFonts w:ascii="Arial" w:cs="Arial" w:eastAsia="Arial" w:hAnsi="Arial"/>
                <w:sz w:val="18"/>
                <w:szCs w:val="18"/>
                <w:color w:val="auto"/>
              </w:rPr>
              <w:t>2,607,288</w:t>
            </w:r>
          </w:p>
        </w:tc>
      </w:tr>
      <w:tr>
        <w:trPr>
          <w:trHeight w:val="270"/>
        </w:trPr>
        <w:tc>
          <w:tcPr>
            <w:tcW w:w="180" w:type="dxa"/>
            <w:vAlign w:val="bottom"/>
          </w:tcPr>
          <w:p>
            <w:pPr>
              <w:spacing w:after="0"/>
              <w:rPr>
                <w:sz w:val="23"/>
                <w:szCs w:val="23"/>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23"/>
                <w:szCs w:val="23"/>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224,353</w:t>
            </w:r>
          </w:p>
        </w:tc>
        <w:tc>
          <w:tcPr>
            <w:tcW w:w="280" w:type="dxa"/>
            <w:vAlign w:val="bottom"/>
          </w:tcPr>
          <w:p>
            <w:pPr>
              <w:spacing w:after="0"/>
              <w:rPr>
                <w:sz w:val="23"/>
                <w:szCs w:val="23"/>
                <w:color w:val="auto"/>
              </w:rPr>
            </w:pPr>
          </w:p>
        </w:tc>
        <w:tc>
          <w:tcPr>
            <w:tcW w:w="1020" w:type="dxa"/>
            <w:vAlign w:val="bottom"/>
          </w:tcPr>
          <w:p>
            <w:pPr>
              <w:jc w:val="right"/>
              <w:ind w:right="10"/>
              <w:spacing w:after="0"/>
              <w:rPr>
                <w:sz w:val="20"/>
                <w:szCs w:val="20"/>
                <w:color w:val="auto"/>
              </w:rPr>
            </w:pPr>
            <w:r>
              <w:rPr>
                <w:rFonts w:ascii="Arial" w:cs="Arial" w:eastAsia="Arial" w:hAnsi="Arial"/>
                <w:sz w:val="18"/>
                <w:szCs w:val="18"/>
                <w:color w:val="auto"/>
              </w:rPr>
              <w:t>224,353</w:t>
            </w:r>
          </w:p>
        </w:tc>
      </w:tr>
      <w:tr>
        <w:trPr>
          <w:trHeight w:val="270"/>
        </w:trPr>
        <w:tc>
          <w:tcPr>
            <w:tcW w:w="180" w:type="dxa"/>
            <w:vAlign w:val="bottom"/>
          </w:tcPr>
          <w:p>
            <w:pPr>
              <w:spacing w:after="0"/>
              <w:rPr>
                <w:sz w:val="23"/>
                <w:szCs w:val="23"/>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23"/>
                <w:szCs w:val="23"/>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5,060</w:t>
            </w:r>
          </w:p>
        </w:tc>
        <w:tc>
          <w:tcPr>
            <w:tcW w:w="280" w:type="dxa"/>
            <w:vAlign w:val="bottom"/>
          </w:tcPr>
          <w:p>
            <w:pPr>
              <w:spacing w:after="0"/>
              <w:rPr>
                <w:sz w:val="23"/>
                <w:szCs w:val="23"/>
                <w:color w:val="auto"/>
              </w:rPr>
            </w:pPr>
          </w:p>
        </w:tc>
        <w:tc>
          <w:tcPr>
            <w:tcW w:w="1020" w:type="dxa"/>
            <w:vAlign w:val="bottom"/>
          </w:tcPr>
          <w:p>
            <w:pPr>
              <w:jc w:val="right"/>
              <w:ind w:right="10"/>
              <w:spacing w:after="0"/>
              <w:rPr>
                <w:sz w:val="20"/>
                <w:szCs w:val="20"/>
                <w:color w:val="auto"/>
              </w:rPr>
            </w:pPr>
            <w:r>
              <w:rPr>
                <w:rFonts w:ascii="Arial" w:cs="Arial" w:eastAsia="Arial" w:hAnsi="Arial"/>
                <w:sz w:val="18"/>
                <w:szCs w:val="18"/>
                <w:color w:val="auto"/>
              </w:rPr>
              <w:t>5,060</w:t>
            </w:r>
          </w:p>
        </w:tc>
      </w:tr>
      <w:tr>
        <w:trPr>
          <w:trHeight w:val="27"/>
        </w:trPr>
        <w:tc>
          <w:tcPr>
            <w:tcW w:w="18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r>
      <w:tr>
        <w:trPr>
          <w:trHeight w:val="237"/>
        </w:trPr>
        <w:tc>
          <w:tcPr>
            <w:tcW w:w="18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940" w:type="dxa"/>
            <w:vAlign w:val="bottom"/>
          </w:tcPr>
          <w:p>
            <w:pPr>
              <w:jc w:val="right"/>
              <w:spacing w:after="0"/>
              <w:rPr>
                <w:sz w:val="20"/>
                <w:szCs w:val="20"/>
                <w:color w:val="auto"/>
              </w:rPr>
            </w:pPr>
            <w:r>
              <w:rPr>
                <w:rFonts w:ascii="Arial" w:cs="Arial" w:eastAsia="Arial" w:hAnsi="Arial"/>
                <w:sz w:val="18"/>
                <w:szCs w:val="18"/>
                <w:color w:val="auto"/>
                <w:w w:val="95"/>
              </w:rPr>
              <w:t>10,103,056</w:t>
            </w:r>
          </w:p>
        </w:tc>
        <w:tc>
          <w:tcPr>
            <w:tcW w:w="220" w:type="dxa"/>
            <w:vAlign w:val="bottom"/>
          </w:tcPr>
          <w:p>
            <w:pPr>
              <w:jc w:val="right"/>
              <w:spacing w:after="0"/>
              <w:rPr>
                <w:sz w:val="20"/>
                <w:szCs w:val="20"/>
                <w:color w:val="auto"/>
              </w:rPr>
            </w:pPr>
            <w:r>
              <w:rPr>
                <w:rFonts w:ascii="Arial" w:cs="Arial" w:eastAsia="Arial" w:hAnsi="Arial"/>
                <w:sz w:val="18"/>
                <w:szCs w:val="18"/>
                <w:color w:val="auto"/>
              </w:rPr>
              <w:t>$</w:t>
            </w:r>
          </w:p>
        </w:tc>
        <w:tc>
          <w:tcPr>
            <w:tcW w:w="940" w:type="dxa"/>
            <w:vAlign w:val="bottom"/>
          </w:tcPr>
          <w:p>
            <w:pPr>
              <w:jc w:val="right"/>
              <w:spacing w:after="0"/>
              <w:rPr>
                <w:sz w:val="20"/>
                <w:szCs w:val="20"/>
                <w:color w:val="auto"/>
              </w:rPr>
            </w:pPr>
            <w:r>
              <w:rPr>
                <w:rFonts w:ascii="Arial" w:cs="Arial" w:eastAsia="Arial" w:hAnsi="Arial"/>
                <w:sz w:val="18"/>
                <w:szCs w:val="18"/>
                <w:color w:val="auto"/>
                <w:w w:val="95"/>
              </w:rPr>
              <w:t>15,862,763</w:t>
            </w:r>
          </w:p>
        </w:tc>
        <w:tc>
          <w:tcPr>
            <w:tcW w:w="280" w:type="dxa"/>
            <w:vAlign w:val="bottom"/>
          </w:tcPr>
          <w:p>
            <w:pPr>
              <w:jc w:val="right"/>
              <w:ind w:right="50"/>
              <w:spacing w:after="0"/>
              <w:rPr>
                <w:sz w:val="20"/>
                <w:szCs w:val="20"/>
                <w:color w:val="auto"/>
              </w:rPr>
            </w:pPr>
            <w:r>
              <w:rPr>
                <w:rFonts w:ascii="Arial" w:cs="Arial" w:eastAsia="Arial" w:hAnsi="Arial"/>
                <w:sz w:val="18"/>
                <w:szCs w:val="18"/>
                <w:color w:val="auto"/>
              </w:rPr>
              <w:t>$</w:t>
            </w:r>
          </w:p>
        </w:tc>
        <w:tc>
          <w:tcPr>
            <w:tcW w:w="1020" w:type="dxa"/>
            <w:vAlign w:val="bottom"/>
          </w:tcPr>
          <w:p>
            <w:pPr>
              <w:jc w:val="right"/>
              <w:ind w:right="10"/>
              <w:spacing w:after="0"/>
              <w:rPr>
                <w:sz w:val="20"/>
                <w:szCs w:val="20"/>
                <w:color w:val="auto"/>
              </w:rPr>
            </w:pPr>
            <w:r>
              <w:rPr>
                <w:rFonts w:ascii="Arial" w:cs="Arial" w:eastAsia="Arial" w:hAnsi="Arial"/>
                <w:sz w:val="18"/>
                <w:szCs w:val="18"/>
                <w:color w:val="auto"/>
                <w:w w:val="99"/>
              </w:rPr>
              <w:t>25,965,819</w:t>
            </w:r>
          </w:p>
        </w:tc>
      </w:tr>
      <w:tr>
        <w:trPr>
          <w:trHeight w:val="27"/>
        </w:trPr>
        <w:tc>
          <w:tcPr>
            <w:tcW w:w="18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r>
      <w:tr>
        <w:trPr>
          <w:trHeight w:val="20"/>
        </w:trPr>
        <w:tc>
          <w:tcPr>
            <w:tcW w:w="18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3"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18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940" w:type="dxa"/>
            <w:vAlign w:val="bottom"/>
          </w:tcPr>
          <w:p>
            <w:pPr>
              <w:jc w:val="right"/>
              <w:spacing w:after="0"/>
              <w:rPr>
                <w:sz w:val="20"/>
                <w:szCs w:val="20"/>
                <w:color w:val="auto"/>
              </w:rPr>
            </w:pPr>
            <w:r>
              <w:rPr>
                <w:rFonts w:ascii="Arial" w:cs="Arial" w:eastAsia="Arial" w:hAnsi="Arial"/>
                <w:sz w:val="18"/>
                <w:szCs w:val="18"/>
                <w:color w:val="auto"/>
                <w:w w:val="95"/>
              </w:rPr>
              <w:t>10,068,270</w:t>
            </w:r>
          </w:p>
        </w:tc>
        <w:tc>
          <w:tcPr>
            <w:tcW w:w="220" w:type="dxa"/>
            <w:vAlign w:val="bottom"/>
          </w:tcPr>
          <w:p>
            <w:pPr>
              <w:jc w:val="right"/>
              <w:spacing w:after="0"/>
              <w:rPr>
                <w:sz w:val="20"/>
                <w:szCs w:val="20"/>
                <w:color w:val="auto"/>
              </w:rPr>
            </w:pPr>
            <w:r>
              <w:rPr>
                <w:rFonts w:ascii="Arial" w:cs="Arial" w:eastAsia="Arial" w:hAnsi="Arial"/>
                <w:sz w:val="18"/>
                <w:szCs w:val="18"/>
                <w:color w:val="auto"/>
              </w:rPr>
              <w:t>$</w:t>
            </w:r>
          </w:p>
        </w:tc>
        <w:tc>
          <w:tcPr>
            <w:tcW w:w="940" w:type="dxa"/>
            <w:vAlign w:val="bottom"/>
          </w:tcPr>
          <w:p>
            <w:pPr>
              <w:jc w:val="right"/>
              <w:spacing w:after="0"/>
              <w:rPr>
                <w:sz w:val="20"/>
                <w:szCs w:val="20"/>
                <w:color w:val="auto"/>
              </w:rPr>
            </w:pPr>
            <w:r>
              <w:rPr>
                <w:rFonts w:ascii="Arial" w:cs="Arial" w:eastAsia="Arial" w:hAnsi="Arial"/>
                <w:sz w:val="18"/>
                <w:szCs w:val="18"/>
                <w:color w:val="auto"/>
              </w:rPr>
              <w:t>1,275,202</w:t>
            </w:r>
          </w:p>
        </w:tc>
        <w:tc>
          <w:tcPr>
            <w:tcW w:w="280" w:type="dxa"/>
            <w:vAlign w:val="bottom"/>
          </w:tcPr>
          <w:p>
            <w:pPr>
              <w:jc w:val="right"/>
              <w:ind w:right="50"/>
              <w:spacing w:after="0"/>
              <w:rPr>
                <w:sz w:val="20"/>
                <w:szCs w:val="20"/>
                <w:color w:val="auto"/>
              </w:rPr>
            </w:pPr>
            <w:r>
              <w:rPr>
                <w:rFonts w:ascii="Arial" w:cs="Arial" w:eastAsia="Arial" w:hAnsi="Arial"/>
                <w:sz w:val="18"/>
                <w:szCs w:val="18"/>
                <w:color w:val="auto"/>
              </w:rPr>
              <w:t>$</w:t>
            </w:r>
          </w:p>
        </w:tc>
        <w:tc>
          <w:tcPr>
            <w:tcW w:w="1020" w:type="dxa"/>
            <w:vAlign w:val="bottom"/>
          </w:tcPr>
          <w:p>
            <w:pPr>
              <w:jc w:val="right"/>
              <w:ind w:right="10"/>
              <w:spacing w:after="0"/>
              <w:rPr>
                <w:sz w:val="20"/>
                <w:szCs w:val="20"/>
                <w:color w:val="auto"/>
              </w:rPr>
            </w:pPr>
            <w:r>
              <w:rPr>
                <w:rFonts w:ascii="Arial" w:cs="Arial" w:eastAsia="Arial" w:hAnsi="Arial"/>
                <w:sz w:val="18"/>
                <w:szCs w:val="18"/>
                <w:color w:val="auto"/>
                <w:w w:val="99"/>
              </w:rPr>
              <w:t>11,343,472</w:t>
            </w:r>
          </w:p>
        </w:tc>
      </w:tr>
      <w:tr>
        <w:trPr>
          <w:trHeight w:val="486"/>
        </w:trPr>
        <w:tc>
          <w:tcPr>
            <w:tcW w:w="180" w:type="dxa"/>
            <w:vAlign w:val="bottom"/>
          </w:tcPr>
          <w:p>
            <w:pPr>
              <w:spacing w:after="0"/>
              <w:rPr>
                <w:sz w:val="24"/>
                <w:szCs w:val="24"/>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34,786</w:t>
            </w:r>
          </w:p>
        </w:tc>
        <w:tc>
          <w:tcPr>
            <w:tcW w:w="220" w:type="dxa"/>
            <w:vAlign w:val="bottom"/>
          </w:tcPr>
          <w:p>
            <w:pPr>
              <w:spacing w:after="0"/>
              <w:rPr>
                <w:sz w:val="24"/>
                <w:szCs w:val="24"/>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8,572,516</w:t>
            </w:r>
          </w:p>
        </w:tc>
        <w:tc>
          <w:tcPr>
            <w:tcW w:w="280" w:type="dxa"/>
            <w:vAlign w:val="bottom"/>
          </w:tcPr>
          <w:p>
            <w:pPr>
              <w:spacing w:after="0"/>
              <w:rPr>
                <w:sz w:val="24"/>
                <w:szCs w:val="24"/>
                <w:color w:val="auto"/>
              </w:rPr>
            </w:pPr>
          </w:p>
        </w:tc>
        <w:tc>
          <w:tcPr>
            <w:tcW w:w="1020" w:type="dxa"/>
            <w:vAlign w:val="bottom"/>
          </w:tcPr>
          <w:p>
            <w:pPr>
              <w:jc w:val="right"/>
              <w:ind w:right="10"/>
              <w:spacing w:after="0"/>
              <w:rPr>
                <w:sz w:val="20"/>
                <w:szCs w:val="20"/>
                <w:color w:val="auto"/>
              </w:rPr>
            </w:pPr>
            <w:r>
              <w:rPr>
                <w:rFonts w:ascii="Arial" w:cs="Arial" w:eastAsia="Arial" w:hAnsi="Arial"/>
                <w:sz w:val="18"/>
                <w:szCs w:val="18"/>
                <w:color w:val="auto"/>
              </w:rPr>
              <w:t>8,607,302</w:t>
            </w:r>
          </w:p>
        </w:tc>
      </w:tr>
      <w:tr>
        <w:trPr>
          <w:trHeight w:val="270"/>
        </w:trPr>
        <w:tc>
          <w:tcPr>
            <w:tcW w:w="180" w:type="dxa"/>
            <w:vAlign w:val="bottom"/>
          </w:tcPr>
          <w:p>
            <w:pPr>
              <w:spacing w:after="0"/>
              <w:rPr>
                <w:sz w:val="23"/>
                <w:szCs w:val="23"/>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23"/>
                <w:szCs w:val="23"/>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6,015,045</w:t>
            </w:r>
          </w:p>
        </w:tc>
        <w:tc>
          <w:tcPr>
            <w:tcW w:w="280" w:type="dxa"/>
            <w:vAlign w:val="bottom"/>
          </w:tcPr>
          <w:p>
            <w:pPr>
              <w:spacing w:after="0"/>
              <w:rPr>
                <w:sz w:val="23"/>
                <w:szCs w:val="23"/>
                <w:color w:val="auto"/>
              </w:rPr>
            </w:pPr>
          </w:p>
        </w:tc>
        <w:tc>
          <w:tcPr>
            <w:tcW w:w="1020" w:type="dxa"/>
            <w:vAlign w:val="bottom"/>
          </w:tcPr>
          <w:p>
            <w:pPr>
              <w:jc w:val="right"/>
              <w:ind w:right="10"/>
              <w:spacing w:after="0"/>
              <w:rPr>
                <w:sz w:val="20"/>
                <w:szCs w:val="20"/>
                <w:color w:val="auto"/>
              </w:rPr>
            </w:pPr>
            <w:r>
              <w:rPr>
                <w:rFonts w:ascii="Arial" w:cs="Arial" w:eastAsia="Arial" w:hAnsi="Arial"/>
                <w:sz w:val="18"/>
                <w:szCs w:val="18"/>
                <w:color w:val="auto"/>
              </w:rPr>
              <w:t>6,015,045</w:t>
            </w:r>
          </w:p>
        </w:tc>
      </w:tr>
      <w:tr>
        <w:trPr>
          <w:trHeight w:val="27"/>
        </w:trPr>
        <w:tc>
          <w:tcPr>
            <w:tcW w:w="18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r>
      <w:tr>
        <w:trPr>
          <w:trHeight w:val="237"/>
        </w:trPr>
        <w:tc>
          <w:tcPr>
            <w:tcW w:w="18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940" w:type="dxa"/>
            <w:vAlign w:val="bottom"/>
          </w:tcPr>
          <w:p>
            <w:pPr>
              <w:jc w:val="right"/>
              <w:spacing w:after="0"/>
              <w:rPr>
                <w:sz w:val="20"/>
                <w:szCs w:val="20"/>
                <w:color w:val="auto"/>
              </w:rPr>
            </w:pPr>
            <w:r>
              <w:rPr>
                <w:rFonts w:ascii="Arial" w:cs="Arial" w:eastAsia="Arial" w:hAnsi="Arial"/>
                <w:sz w:val="18"/>
                <w:szCs w:val="18"/>
                <w:color w:val="auto"/>
                <w:w w:val="95"/>
              </w:rPr>
              <w:t>10,103,056</w:t>
            </w:r>
          </w:p>
        </w:tc>
        <w:tc>
          <w:tcPr>
            <w:tcW w:w="220" w:type="dxa"/>
            <w:vAlign w:val="bottom"/>
          </w:tcPr>
          <w:p>
            <w:pPr>
              <w:jc w:val="right"/>
              <w:spacing w:after="0"/>
              <w:rPr>
                <w:sz w:val="20"/>
                <w:szCs w:val="20"/>
                <w:color w:val="auto"/>
              </w:rPr>
            </w:pPr>
            <w:r>
              <w:rPr>
                <w:rFonts w:ascii="Arial" w:cs="Arial" w:eastAsia="Arial" w:hAnsi="Arial"/>
                <w:sz w:val="18"/>
                <w:szCs w:val="18"/>
                <w:color w:val="auto"/>
              </w:rPr>
              <w:t>$</w:t>
            </w:r>
          </w:p>
        </w:tc>
        <w:tc>
          <w:tcPr>
            <w:tcW w:w="940" w:type="dxa"/>
            <w:vAlign w:val="bottom"/>
          </w:tcPr>
          <w:p>
            <w:pPr>
              <w:jc w:val="right"/>
              <w:spacing w:after="0"/>
              <w:rPr>
                <w:sz w:val="20"/>
                <w:szCs w:val="20"/>
                <w:color w:val="auto"/>
              </w:rPr>
            </w:pPr>
            <w:r>
              <w:rPr>
                <w:rFonts w:ascii="Arial" w:cs="Arial" w:eastAsia="Arial" w:hAnsi="Arial"/>
                <w:sz w:val="18"/>
                <w:szCs w:val="18"/>
                <w:color w:val="auto"/>
                <w:w w:val="95"/>
              </w:rPr>
              <w:t>15,862,763</w:t>
            </w:r>
          </w:p>
        </w:tc>
        <w:tc>
          <w:tcPr>
            <w:tcW w:w="280" w:type="dxa"/>
            <w:vAlign w:val="bottom"/>
          </w:tcPr>
          <w:p>
            <w:pPr>
              <w:jc w:val="right"/>
              <w:ind w:right="50"/>
              <w:spacing w:after="0"/>
              <w:rPr>
                <w:sz w:val="20"/>
                <w:szCs w:val="20"/>
                <w:color w:val="auto"/>
              </w:rPr>
            </w:pPr>
            <w:r>
              <w:rPr>
                <w:rFonts w:ascii="Arial" w:cs="Arial" w:eastAsia="Arial" w:hAnsi="Arial"/>
                <w:sz w:val="18"/>
                <w:szCs w:val="18"/>
                <w:color w:val="auto"/>
              </w:rPr>
              <w:t>$</w:t>
            </w:r>
          </w:p>
        </w:tc>
        <w:tc>
          <w:tcPr>
            <w:tcW w:w="1020" w:type="dxa"/>
            <w:vAlign w:val="bottom"/>
          </w:tcPr>
          <w:p>
            <w:pPr>
              <w:jc w:val="right"/>
              <w:ind w:right="10"/>
              <w:spacing w:after="0"/>
              <w:rPr>
                <w:sz w:val="20"/>
                <w:szCs w:val="20"/>
                <w:color w:val="auto"/>
              </w:rPr>
            </w:pPr>
            <w:r>
              <w:rPr>
                <w:rFonts w:ascii="Arial" w:cs="Arial" w:eastAsia="Arial" w:hAnsi="Arial"/>
                <w:sz w:val="18"/>
                <w:szCs w:val="18"/>
                <w:color w:val="auto"/>
                <w:w w:val="99"/>
              </w:rPr>
              <w:t>25,965,819</w:t>
            </w:r>
          </w:p>
        </w:tc>
      </w:tr>
      <w:tr>
        <w:trPr>
          <w:trHeight w:val="27"/>
        </w:trPr>
        <w:tc>
          <w:tcPr>
            <w:tcW w:w="18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r>
      <w:tr>
        <w:trPr>
          <w:trHeight w:val="20"/>
        </w:trPr>
        <w:tc>
          <w:tcPr>
            <w:tcW w:w="18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3" w:lineRule="exact"/>
        <w:rPr>
          <w:sz w:val="20"/>
          <w:szCs w:val="20"/>
          <w:color w:val="auto"/>
        </w:rPr>
      </w:pPr>
    </w:p>
    <w:p>
      <w:pPr>
        <w:ind w:left="340" w:hanging="324"/>
        <w:spacing w:after="0"/>
        <w:tabs>
          <w:tab w:leader="none" w:pos="340" w:val="left"/>
        </w:tabs>
        <w:numPr>
          <w:ilvl w:val="0"/>
          <w:numId w:val="5"/>
        </w:numPr>
        <w:rPr>
          <w:rFonts w:ascii="Arial" w:cs="Arial" w:eastAsia="Arial" w:hAnsi="Arial"/>
          <w:sz w:val="17"/>
          <w:szCs w:val="17"/>
          <w:color w:val="auto"/>
        </w:rPr>
      </w:pPr>
      <w:r>
        <w:rPr>
          <w:rFonts w:ascii="Arial" w:cs="Arial" w:eastAsia="Arial" w:hAnsi="Arial"/>
          <w:sz w:val="17"/>
          <w:szCs w:val="17"/>
          <w:color w:val="auto"/>
        </w:rPr>
        <w:t>4,607,592  $  15,862,763  $   20,470,355</w:t>
      </w:r>
    </w:p>
    <w:p>
      <w:pPr>
        <w:spacing w:after="0" w:line="75"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1120" w:type="dxa"/>
            <w:vAlign w:val="bottom"/>
          </w:tcPr>
          <w:p>
            <w:pPr>
              <w:jc w:val="right"/>
              <w:spacing w:after="0"/>
              <w:rPr>
                <w:sz w:val="20"/>
                <w:szCs w:val="20"/>
                <w:color w:val="auto"/>
              </w:rPr>
            </w:pPr>
            <w:r>
              <w:rPr>
                <w:rFonts w:ascii="Arial" w:cs="Arial" w:eastAsia="Arial" w:hAnsi="Arial"/>
                <w:sz w:val="18"/>
                <w:szCs w:val="18"/>
                <w:color w:val="auto"/>
              </w:rPr>
              <w:t>5,495,464</w:t>
            </w:r>
          </w:p>
        </w:tc>
        <w:tc>
          <w:tcPr>
            <w:tcW w:w="220" w:type="dxa"/>
            <w:vAlign w:val="bottom"/>
          </w:tcPr>
          <w:p>
            <w:pPr>
              <w:spacing w:after="0"/>
              <w:rPr>
                <w:sz w:val="20"/>
                <w:szCs w:val="20"/>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w:t>
            </w:r>
          </w:p>
        </w:tc>
        <w:tc>
          <w:tcPr>
            <w:tcW w:w="280" w:type="dxa"/>
            <w:vAlign w:val="bottom"/>
          </w:tcPr>
          <w:p>
            <w:pPr>
              <w:spacing w:after="0"/>
              <w:rPr>
                <w:sz w:val="20"/>
                <w:szCs w:val="20"/>
                <w:color w:val="auto"/>
              </w:rPr>
            </w:pPr>
          </w:p>
        </w:tc>
        <w:tc>
          <w:tcPr>
            <w:tcW w:w="1020" w:type="dxa"/>
            <w:vAlign w:val="bottom"/>
          </w:tcPr>
          <w:p>
            <w:pPr>
              <w:jc w:val="right"/>
              <w:ind w:right="10"/>
              <w:spacing w:after="0"/>
              <w:rPr>
                <w:sz w:val="20"/>
                <w:szCs w:val="20"/>
                <w:color w:val="auto"/>
              </w:rPr>
            </w:pPr>
            <w:r>
              <w:rPr>
                <w:rFonts w:ascii="Arial" w:cs="Arial" w:eastAsia="Arial" w:hAnsi="Arial"/>
                <w:sz w:val="18"/>
                <w:szCs w:val="18"/>
                <w:color w:val="auto"/>
              </w:rPr>
              <w:t>5,495,464</w:t>
            </w:r>
          </w:p>
        </w:tc>
      </w:tr>
      <w:tr>
        <w:trPr>
          <w:trHeight w:val="27"/>
        </w:trPr>
        <w:tc>
          <w:tcPr>
            <w:tcW w:w="112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r>
      <w:tr>
        <w:trPr>
          <w:trHeight w:val="237"/>
        </w:trPr>
        <w:tc>
          <w:tcPr>
            <w:tcW w:w="1120" w:type="dxa"/>
            <w:vAlign w:val="bottom"/>
          </w:tcPr>
          <w:p>
            <w:pPr>
              <w:jc w:val="right"/>
              <w:spacing w:after="0"/>
              <w:rPr>
                <w:sz w:val="20"/>
                <w:szCs w:val="20"/>
                <w:color w:val="auto"/>
              </w:rPr>
            </w:pPr>
            <w:r>
              <w:rPr>
                <w:rFonts w:ascii="Arial" w:cs="Arial" w:eastAsia="Arial" w:hAnsi="Arial"/>
                <w:sz w:val="18"/>
                <w:szCs w:val="18"/>
                <w:color w:val="auto"/>
                <w:w w:val="94"/>
              </w:rPr>
              <w:t>$  10,103,056</w:t>
            </w:r>
          </w:p>
        </w:tc>
        <w:tc>
          <w:tcPr>
            <w:tcW w:w="220" w:type="dxa"/>
            <w:vAlign w:val="bottom"/>
          </w:tcPr>
          <w:p>
            <w:pPr>
              <w:jc w:val="right"/>
              <w:spacing w:after="0"/>
              <w:rPr>
                <w:sz w:val="20"/>
                <w:szCs w:val="20"/>
                <w:color w:val="auto"/>
              </w:rPr>
            </w:pPr>
            <w:r>
              <w:rPr>
                <w:rFonts w:ascii="Arial" w:cs="Arial" w:eastAsia="Arial" w:hAnsi="Arial"/>
                <w:sz w:val="18"/>
                <w:szCs w:val="18"/>
                <w:color w:val="auto"/>
              </w:rPr>
              <w:t>$</w:t>
            </w:r>
          </w:p>
        </w:tc>
        <w:tc>
          <w:tcPr>
            <w:tcW w:w="940" w:type="dxa"/>
            <w:vAlign w:val="bottom"/>
          </w:tcPr>
          <w:p>
            <w:pPr>
              <w:jc w:val="right"/>
              <w:spacing w:after="0"/>
              <w:rPr>
                <w:sz w:val="20"/>
                <w:szCs w:val="20"/>
                <w:color w:val="auto"/>
              </w:rPr>
            </w:pPr>
            <w:r>
              <w:rPr>
                <w:rFonts w:ascii="Arial" w:cs="Arial" w:eastAsia="Arial" w:hAnsi="Arial"/>
                <w:sz w:val="18"/>
                <w:szCs w:val="18"/>
                <w:color w:val="auto"/>
                <w:w w:val="95"/>
              </w:rPr>
              <w:t>15,862,763</w:t>
            </w:r>
          </w:p>
        </w:tc>
        <w:tc>
          <w:tcPr>
            <w:tcW w:w="280" w:type="dxa"/>
            <w:vAlign w:val="bottom"/>
          </w:tcPr>
          <w:p>
            <w:pPr>
              <w:jc w:val="right"/>
              <w:ind w:right="50"/>
              <w:spacing w:after="0"/>
              <w:rPr>
                <w:sz w:val="20"/>
                <w:szCs w:val="20"/>
                <w:color w:val="auto"/>
              </w:rPr>
            </w:pPr>
            <w:r>
              <w:rPr>
                <w:rFonts w:ascii="Arial" w:cs="Arial" w:eastAsia="Arial" w:hAnsi="Arial"/>
                <w:sz w:val="18"/>
                <w:szCs w:val="18"/>
                <w:color w:val="auto"/>
              </w:rPr>
              <w:t>$</w:t>
            </w:r>
          </w:p>
        </w:tc>
        <w:tc>
          <w:tcPr>
            <w:tcW w:w="1020" w:type="dxa"/>
            <w:vAlign w:val="bottom"/>
          </w:tcPr>
          <w:p>
            <w:pPr>
              <w:jc w:val="right"/>
              <w:ind w:right="10"/>
              <w:spacing w:after="0"/>
              <w:rPr>
                <w:sz w:val="20"/>
                <w:szCs w:val="20"/>
                <w:color w:val="auto"/>
              </w:rPr>
            </w:pPr>
            <w:r>
              <w:rPr>
                <w:rFonts w:ascii="Arial" w:cs="Arial" w:eastAsia="Arial" w:hAnsi="Arial"/>
                <w:sz w:val="18"/>
                <w:szCs w:val="18"/>
                <w:color w:val="auto"/>
                <w:w w:val="99"/>
              </w:rPr>
              <w:t>25,965,819</w:t>
            </w:r>
          </w:p>
        </w:tc>
      </w:tr>
      <w:tr>
        <w:trPr>
          <w:trHeight w:val="27"/>
        </w:trPr>
        <w:tc>
          <w:tcPr>
            <w:tcW w:w="112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r>
      <w:tr>
        <w:trPr>
          <w:trHeight w:val="20"/>
        </w:trPr>
        <w:tc>
          <w:tcPr>
            <w:tcW w:w="1120" w:type="dxa"/>
            <w:vAlign w:val="bottom"/>
            <w:tcBorders>
              <w:bottom w:val="single" w:sz="8" w:color="auto"/>
            </w:tcBorders>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3" w:lineRule="exact"/>
        <w:rPr>
          <w:sz w:val="20"/>
          <w:szCs w:val="20"/>
          <w:color w:val="auto"/>
        </w:rPr>
      </w:pPr>
    </w:p>
    <w:p>
      <w:pPr>
        <w:ind w:left="880" w:hanging="864"/>
        <w:spacing w:after="0"/>
        <w:tabs>
          <w:tab w:leader="none" w:pos="880" w:val="left"/>
        </w:tabs>
        <w:numPr>
          <w:ilvl w:val="0"/>
          <w:numId w:val="6"/>
        </w:numPr>
        <w:rPr>
          <w:rFonts w:ascii="Arial" w:cs="Arial" w:eastAsia="Arial" w:hAnsi="Arial"/>
          <w:sz w:val="18"/>
          <w:szCs w:val="18"/>
          <w:color w:val="auto"/>
        </w:rPr>
      </w:pPr>
      <w:r>
        <w:rPr>
          <w:rFonts w:ascii="Arial" w:cs="Arial" w:eastAsia="Arial" w:hAnsi="Arial"/>
          <w:sz w:val="18"/>
          <w:szCs w:val="18"/>
          <w:color w:val="auto"/>
        </w:rPr>
        <w:t>—  $  11,813,318  $   11,813,318</w:t>
      </w:r>
    </w:p>
    <w:p>
      <w:pPr>
        <w:spacing w:after="0" w:line="63"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1120" w:type="dxa"/>
            <w:vAlign w:val="bottom"/>
          </w:tcPr>
          <w:p>
            <w:pPr>
              <w:jc w:val="right"/>
              <w:spacing w:after="0"/>
              <w:rPr>
                <w:sz w:val="20"/>
                <w:szCs w:val="20"/>
                <w:color w:val="auto"/>
              </w:rPr>
            </w:pPr>
            <w:r>
              <w:rPr>
                <w:rFonts w:ascii="Arial" w:cs="Arial" w:eastAsia="Arial" w:hAnsi="Arial"/>
                <w:sz w:val="18"/>
                <w:szCs w:val="18"/>
                <w:color w:val="auto"/>
              </w:rPr>
              <w:t>10,103,056</w:t>
            </w:r>
          </w:p>
        </w:tc>
        <w:tc>
          <w:tcPr>
            <w:tcW w:w="220" w:type="dxa"/>
            <w:vAlign w:val="bottom"/>
          </w:tcPr>
          <w:p>
            <w:pPr>
              <w:spacing w:after="0"/>
              <w:rPr>
                <w:sz w:val="20"/>
                <w:szCs w:val="20"/>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4,049,445</w:t>
            </w:r>
          </w:p>
        </w:tc>
        <w:tc>
          <w:tcPr>
            <w:tcW w:w="280" w:type="dxa"/>
            <w:vAlign w:val="bottom"/>
          </w:tcPr>
          <w:p>
            <w:pPr>
              <w:spacing w:after="0"/>
              <w:rPr>
                <w:sz w:val="20"/>
                <w:szCs w:val="20"/>
                <w:color w:val="auto"/>
              </w:rPr>
            </w:pPr>
          </w:p>
        </w:tc>
        <w:tc>
          <w:tcPr>
            <w:tcW w:w="1020" w:type="dxa"/>
            <w:vAlign w:val="bottom"/>
          </w:tcPr>
          <w:p>
            <w:pPr>
              <w:jc w:val="right"/>
              <w:ind w:right="10"/>
              <w:spacing w:after="0"/>
              <w:rPr>
                <w:sz w:val="20"/>
                <w:szCs w:val="20"/>
                <w:color w:val="auto"/>
              </w:rPr>
            </w:pPr>
            <w:r>
              <w:rPr>
                <w:rFonts w:ascii="Arial" w:cs="Arial" w:eastAsia="Arial" w:hAnsi="Arial"/>
                <w:sz w:val="18"/>
                <w:szCs w:val="18"/>
                <w:color w:val="auto"/>
                <w:w w:val="99"/>
              </w:rPr>
              <w:t>14,152,501</w:t>
            </w:r>
          </w:p>
        </w:tc>
      </w:tr>
      <w:tr>
        <w:trPr>
          <w:trHeight w:val="27"/>
        </w:trPr>
        <w:tc>
          <w:tcPr>
            <w:tcW w:w="112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r>
      <w:tr>
        <w:trPr>
          <w:trHeight w:val="237"/>
        </w:trPr>
        <w:tc>
          <w:tcPr>
            <w:tcW w:w="1120" w:type="dxa"/>
            <w:vAlign w:val="bottom"/>
          </w:tcPr>
          <w:p>
            <w:pPr>
              <w:jc w:val="right"/>
              <w:spacing w:after="0"/>
              <w:rPr>
                <w:sz w:val="20"/>
                <w:szCs w:val="20"/>
                <w:color w:val="auto"/>
              </w:rPr>
            </w:pPr>
            <w:r>
              <w:rPr>
                <w:rFonts w:ascii="Arial" w:cs="Arial" w:eastAsia="Arial" w:hAnsi="Arial"/>
                <w:sz w:val="18"/>
                <w:szCs w:val="18"/>
                <w:color w:val="auto"/>
                <w:w w:val="94"/>
              </w:rPr>
              <w:t>$  10,103,056</w:t>
            </w:r>
          </w:p>
        </w:tc>
        <w:tc>
          <w:tcPr>
            <w:tcW w:w="220" w:type="dxa"/>
            <w:vAlign w:val="bottom"/>
          </w:tcPr>
          <w:p>
            <w:pPr>
              <w:jc w:val="right"/>
              <w:spacing w:after="0"/>
              <w:rPr>
                <w:sz w:val="20"/>
                <w:szCs w:val="20"/>
                <w:color w:val="auto"/>
              </w:rPr>
            </w:pPr>
            <w:r>
              <w:rPr>
                <w:rFonts w:ascii="Arial" w:cs="Arial" w:eastAsia="Arial" w:hAnsi="Arial"/>
                <w:sz w:val="18"/>
                <w:szCs w:val="18"/>
                <w:color w:val="auto"/>
              </w:rPr>
              <w:t>$</w:t>
            </w:r>
          </w:p>
        </w:tc>
        <w:tc>
          <w:tcPr>
            <w:tcW w:w="940" w:type="dxa"/>
            <w:vAlign w:val="bottom"/>
          </w:tcPr>
          <w:p>
            <w:pPr>
              <w:jc w:val="right"/>
              <w:spacing w:after="0"/>
              <w:rPr>
                <w:sz w:val="20"/>
                <w:szCs w:val="20"/>
                <w:color w:val="auto"/>
              </w:rPr>
            </w:pPr>
            <w:r>
              <w:rPr>
                <w:rFonts w:ascii="Arial" w:cs="Arial" w:eastAsia="Arial" w:hAnsi="Arial"/>
                <w:sz w:val="18"/>
                <w:szCs w:val="18"/>
                <w:color w:val="auto"/>
                <w:w w:val="95"/>
              </w:rPr>
              <w:t>15,862,763</w:t>
            </w:r>
          </w:p>
        </w:tc>
        <w:tc>
          <w:tcPr>
            <w:tcW w:w="280" w:type="dxa"/>
            <w:vAlign w:val="bottom"/>
          </w:tcPr>
          <w:p>
            <w:pPr>
              <w:jc w:val="right"/>
              <w:ind w:right="50"/>
              <w:spacing w:after="0"/>
              <w:rPr>
                <w:sz w:val="20"/>
                <w:szCs w:val="20"/>
                <w:color w:val="auto"/>
              </w:rPr>
            </w:pPr>
            <w:r>
              <w:rPr>
                <w:rFonts w:ascii="Arial" w:cs="Arial" w:eastAsia="Arial" w:hAnsi="Arial"/>
                <w:sz w:val="18"/>
                <w:szCs w:val="18"/>
                <w:color w:val="auto"/>
              </w:rPr>
              <w:t>$</w:t>
            </w:r>
          </w:p>
        </w:tc>
        <w:tc>
          <w:tcPr>
            <w:tcW w:w="1020" w:type="dxa"/>
            <w:vAlign w:val="bottom"/>
          </w:tcPr>
          <w:p>
            <w:pPr>
              <w:jc w:val="right"/>
              <w:ind w:right="10"/>
              <w:spacing w:after="0"/>
              <w:rPr>
                <w:sz w:val="20"/>
                <w:szCs w:val="20"/>
                <w:color w:val="auto"/>
              </w:rPr>
            </w:pPr>
            <w:r>
              <w:rPr>
                <w:rFonts w:ascii="Arial" w:cs="Arial" w:eastAsia="Arial" w:hAnsi="Arial"/>
                <w:sz w:val="18"/>
                <w:szCs w:val="18"/>
                <w:color w:val="auto"/>
                <w:w w:val="99"/>
              </w:rPr>
              <w:t>25,965,819</w:t>
            </w:r>
          </w:p>
        </w:tc>
      </w:tr>
      <w:tr>
        <w:trPr>
          <w:trHeight w:val="27"/>
        </w:trPr>
        <w:tc>
          <w:tcPr>
            <w:tcW w:w="112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r>
      <w:tr>
        <w:trPr>
          <w:trHeight w:val="20"/>
        </w:trPr>
        <w:tc>
          <w:tcPr>
            <w:tcW w:w="1120" w:type="dxa"/>
            <w:vAlign w:val="bottom"/>
            <w:tcBorders>
              <w:bottom w:val="single" w:sz="8" w:color="auto"/>
            </w:tcBorders>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1"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18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940" w:type="dxa"/>
            <w:vAlign w:val="bottom"/>
          </w:tcPr>
          <w:p>
            <w:pPr>
              <w:jc w:val="right"/>
              <w:spacing w:after="0"/>
              <w:rPr>
                <w:sz w:val="20"/>
                <w:szCs w:val="20"/>
                <w:color w:val="auto"/>
              </w:rPr>
            </w:pPr>
            <w:r>
              <w:rPr>
                <w:rFonts w:ascii="Arial" w:cs="Arial" w:eastAsia="Arial" w:hAnsi="Arial"/>
                <w:sz w:val="18"/>
                <w:szCs w:val="18"/>
                <w:color w:val="auto"/>
                <w:w w:val="95"/>
              </w:rPr>
              <w:t>10,103,056</w:t>
            </w:r>
          </w:p>
        </w:tc>
        <w:tc>
          <w:tcPr>
            <w:tcW w:w="220" w:type="dxa"/>
            <w:vAlign w:val="bottom"/>
          </w:tcPr>
          <w:p>
            <w:pPr>
              <w:jc w:val="right"/>
              <w:spacing w:after="0"/>
              <w:rPr>
                <w:sz w:val="20"/>
                <w:szCs w:val="20"/>
                <w:color w:val="auto"/>
              </w:rPr>
            </w:pPr>
            <w:r>
              <w:rPr>
                <w:rFonts w:ascii="Arial" w:cs="Arial" w:eastAsia="Arial" w:hAnsi="Arial"/>
                <w:sz w:val="18"/>
                <w:szCs w:val="18"/>
                <w:color w:val="auto"/>
              </w:rPr>
              <w:t>$</w:t>
            </w:r>
          </w:p>
        </w:tc>
        <w:tc>
          <w:tcPr>
            <w:tcW w:w="940" w:type="dxa"/>
            <w:vAlign w:val="bottom"/>
          </w:tcPr>
          <w:p>
            <w:pPr>
              <w:jc w:val="right"/>
              <w:spacing w:after="0"/>
              <w:rPr>
                <w:sz w:val="20"/>
                <w:szCs w:val="20"/>
                <w:color w:val="auto"/>
              </w:rPr>
            </w:pPr>
            <w:r>
              <w:rPr>
                <w:rFonts w:ascii="Arial" w:cs="Arial" w:eastAsia="Arial" w:hAnsi="Arial"/>
                <w:sz w:val="18"/>
                <w:szCs w:val="18"/>
                <w:color w:val="auto"/>
              </w:rPr>
              <w:t>—</w:t>
            </w:r>
          </w:p>
        </w:tc>
        <w:tc>
          <w:tcPr>
            <w:tcW w:w="280" w:type="dxa"/>
            <w:vAlign w:val="bottom"/>
          </w:tcPr>
          <w:p>
            <w:pPr>
              <w:jc w:val="right"/>
              <w:ind w:right="50"/>
              <w:spacing w:after="0"/>
              <w:rPr>
                <w:sz w:val="20"/>
                <w:szCs w:val="20"/>
                <w:color w:val="auto"/>
              </w:rPr>
            </w:pPr>
            <w:r>
              <w:rPr>
                <w:rFonts w:ascii="Arial" w:cs="Arial" w:eastAsia="Arial" w:hAnsi="Arial"/>
                <w:sz w:val="18"/>
                <w:szCs w:val="18"/>
                <w:color w:val="auto"/>
              </w:rPr>
              <w:t>$</w:t>
            </w:r>
          </w:p>
        </w:tc>
        <w:tc>
          <w:tcPr>
            <w:tcW w:w="1020" w:type="dxa"/>
            <w:vAlign w:val="bottom"/>
          </w:tcPr>
          <w:p>
            <w:pPr>
              <w:jc w:val="right"/>
              <w:ind w:right="10"/>
              <w:spacing w:after="0"/>
              <w:rPr>
                <w:sz w:val="20"/>
                <w:szCs w:val="20"/>
                <w:color w:val="auto"/>
              </w:rPr>
            </w:pPr>
            <w:r>
              <w:rPr>
                <w:rFonts w:ascii="Arial" w:cs="Arial" w:eastAsia="Arial" w:hAnsi="Arial"/>
                <w:sz w:val="18"/>
                <w:szCs w:val="18"/>
                <w:color w:val="auto"/>
                <w:w w:val="99"/>
              </w:rPr>
              <w:t>10,103,056</w:t>
            </w:r>
          </w:p>
        </w:tc>
      </w:tr>
      <w:tr>
        <w:trPr>
          <w:trHeight w:val="270"/>
        </w:trPr>
        <w:tc>
          <w:tcPr>
            <w:tcW w:w="180" w:type="dxa"/>
            <w:vAlign w:val="bottom"/>
          </w:tcPr>
          <w:p>
            <w:pPr>
              <w:spacing w:after="0"/>
              <w:rPr>
                <w:sz w:val="23"/>
                <w:szCs w:val="23"/>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23"/>
                <w:szCs w:val="23"/>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7,659,519</w:t>
            </w:r>
          </w:p>
        </w:tc>
        <w:tc>
          <w:tcPr>
            <w:tcW w:w="280" w:type="dxa"/>
            <w:vAlign w:val="bottom"/>
          </w:tcPr>
          <w:p>
            <w:pPr>
              <w:spacing w:after="0"/>
              <w:rPr>
                <w:sz w:val="23"/>
                <w:szCs w:val="23"/>
                <w:color w:val="auto"/>
              </w:rPr>
            </w:pPr>
          </w:p>
        </w:tc>
        <w:tc>
          <w:tcPr>
            <w:tcW w:w="1020" w:type="dxa"/>
            <w:vAlign w:val="bottom"/>
          </w:tcPr>
          <w:p>
            <w:pPr>
              <w:jc w:val="right"/>
              <w:ind w:right="10"/>
              <w:spacing w:after="0"/>
              <w:rPr>
                <w:sz w:val="20"/>
                <w:szCs w:val="20"/>
                <w:color w:val="auto"/>
              </w:rPr>
            </w:pPr>
            <w:r>
              <w:rPr>
                <w:rFonts w:ascii="Arial" w:cs="Arial" w:eastAsia="Arial" w:hAnsi="Arial"/>
                <w:sz w:val="18"/>
                <w:szCs w:val="18"/>
                <w:color w:val="auto"/>
              </w:rPr>
              <w:t>7,659,519</w:t>
            </w:r>
          </w:p>
        </w:tc>
      </w:tr>
      <w:tr>
        <w:trPr>
          <w:trHeight w:val="486"/>
        </w:trPr>
        <w:tc>
          <w:tcPr>
            <w:tcW w:w="180" w:type="dxa"/>
            <w:vAlign w:val="bottom"/>
          </w:tcPr>
          <w:p>
            <w:pPr>
              <w:spacing w:after="0"/>
              <w:rPr>
                <w:sz w:val="24"/>
                <w:szCs w:val="24"/>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24"/>
                <w:szCs w:val="24"/>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7,273,925</w:t>
            </w:r>
          </w:p>
        </w:tc>
        <w:tc>
          <w:tcPr>
            <w:tcW w:w="280" w:type="dxa"/>
            <w:vAlign w:val="bottom"/>
          </w:tcPr>
          <w:p>
            <w:pPr>
              <w:spacing w:after="0"/>
              <w:rPr>
                <w:sz w:val="24"/>
                <w:szCs w:val="24"/>
                <w:color w:val="auto"/>
              </w:rPr>
            </w:pPr>
          </w:p>
        </w:tc>
        <w:tc>
          <w:tcPr>
            <w:tcW w:w="1020" w:type="dxa"/>
            <w:vAlign w:val="bottom"/>
          </w:tcPr>
          <w:p>
            <w:pPr>
              <w:jc w:val="right"/>
              <w:ind w:right="10"/>
              <w:spacing w:after="0"/>
              <w:rPr>
                <w:sz w:val="20"/>
                <w:szCs w:val="20"/>
                <w:color w:val="auto"/>
              </w:rPr>
            </w:pPr>
            <w:r>
              <w:rPr>
                <w:rFonts w:ascii="Arial" w:cs="Arial" w:eastAsia="Arial" w:hAnsi="Arial"/>
                <w:sz w:val="18"/>
                <w:szCs w:val="18"/>
                <w:color w:val="auto"/>
              </w:rPr>
              <w:t>7,273,925</w:t>
            </w:r>
          </w:p>
        </w:tc>
      </w:tr>
      <w:tr>
        <w:trPr>
          <w:trHeight w:val="270"/>
        </w:trPr>
        <w:tc>
          <w:tcPr>
            <w:tcW w:w="180" w:type="dxa"/>
            <w:vAlign w:val="bottom"/>
          </w:tcPr>
          <w:p>
            <w:pPr>
              <w:spacing w:after="0"/>
              <w:rPr>
                <w:sz w:val="23"/>
                <w:szCs w:val="23"/>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23"/>
                <w:szCs w:val="23"/>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929,319</w:t>
            </w:r>
          </w:p>
        </w:tc>
        <w:tc>
          <w:tcPr>
            <w:tcW w:w="280" w:type="dxa"/>
            <w:vAlign w:val="bottom"/>
          </w:tcPr>
          <w:p>
            <w:pPr>
              <w:spacing w:after="0"/>
              <w:rPr>
                <w:sz w:val="23"/>
                <w:szCs w:val="23"/>
                <w:color w:val="auto"/>
              </w:rPr>
            </w:pPr>
          </w:p>
        </w:tc>
        <w:tc>
          <w:tcPr>
            <w:tcW w:w="1020" w:type="dxa"/>
            <w:vAlign w:val="bottom"/>
          </w:tcPr>
          <w:p>
            <w:pPr>
              <w:jc w:val="right"/>
              <w:ind w:right="10"/>
              <w:spacing w:after="0"/>
              <w:rPr>
                <w:sz w:val="20"/>
                <w:szCs w:val="20"/>
                <w:color w:val="auto"/>
              </w:rPr>
            </w:pPr>
            <w:r>
              <w:rPr>
                <w:rFonts w:ascii="Arial" w:cs="Arial" w:eastAsia="Arial" w:hAnsi="Arial"/>
                <w:sz w:val="18"/>
                <w:szCs w:val="18"/>
                <w:color w:val="auto"/>
              </w:rPr>
              <w:t>929,319</w:t>
            </w:r>
          </w:p>
        </w:tc>
      </w:tr>
      <w:tr>
        <w:trPr>
          <w:trHeight w:val="27"/>
        </w:trPr>
        <w:tc>
          <w:tcPr>
            <w:tcW w:w="18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r>
      <w:tr>
        <w:trPr>
          <w:trHeight w:val="237"/>
        </w:trPr>
        <w:tc>
          <w:tcPr>
            <w:tcW w:w="18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940" w:type="dxa"/>
            <w:vAlign w:val="bottom"/>
          </w:tcPr>
          <w:p>
            <w:pPr>
              <w:jc w:val="right"/>
              <w:spacing w:after="0"/>
              <w:rPr>
                <w:sz w:val="20"/>
                <w:szCs w:val="20"/>
                <w:color w:val="auto"/>
              </w:rPr>
            </w:pPr>
            <w:r>
              <w:rPr>
                <w:rFonts w:ascii="Arial" w:cs="Arial" w:eastAsia="Arial" w:hAnsi="Arial"/>
                <w:sz w:val="18"/>
                <w:szCs w:val="18"/>
                <w:color w:val="auto"/>
                <w:w w:val="95"/>
              </w:rPr>
              <w:t>10,103,056</w:t>
            </w:r>
          </w:p>
        </w:tc>
        <w:tc>
          <w:tcPr>
            <w:tcW w:w="220" w:type="dxa"/>
            <w:vAlign w:val="bottom"/>
          </w:tcPr>
          <w:p>
            <w:pPr>
              <w:jc w:val="right"/>
              <w:spacing w:after="0"/>
              <w:rPr>
                <w:sz w:val="20"/>
                <w:szCs w:val="20"/>
                <w:color w:val="auto"/>
              </w:rPr>
            </w:pPr>
            <w:r>
              <w:rPr>
                <w:rFonts w:ascii="Arial" w:cs="Arial" w:eastAsia="Arial" w:hAnsi="Arial"/>
                <w:sz w:val="18"/>
                <w:szCs w:val="18"/>
                <w:color w:val="auto"/>
              </w:rPr>
              <w:t>$</w:t>
            </w:r>
          </w:p>
        </w:tc>
        <w:tc>
          <w:tcPr>
            <w:tcW w:w="940" w:type="dxa"/>
            <w:vAlign w:val="bottom"/>
          </w:tcPr>
          <w:p>
            <w:pPr>
              <w:jc w:val="right"/>
              <w:spacing w:after="0"/>
              <w:rPr>
                <w:sz w:val="20"/>
                <w:szCs w:val="20"/>
                <w:color w:val="auto"/>
              </w:rPr>
            </w:pPr>
            <w:r>
              <w:rPr>
                <w:rFonts w:ascii="Arial" w:cs="Arial" w:eastAsia="Arial" w:hAnsi="Arial"/>
                <w:sz w:val="18"/>
                <w:szCs w:val="18"/>
                <w:color w:val="auto"/>
                <w:w w:val="95"/>
              </w:rPr>
              <w:t>15,862,763</w:t>
            </w:r>
          </w:p>
        </w:tc>
        <w:tc>
          <w:tcPr>
            <w:tcW w:w="280" w:type="dxa"/>
            <w:vAlign w:val="bottom"/>
          </w:tcPr>
          <w:p>
            <w:pPr>
              <w:jc w:val="right"/>
              <w:ind w:right="50"/>
              <w:spacing w:after="0"/>
              <w:rPr>
                <w:sz w:val="20"/>
                <w:szCs w:val="20"/>
                <w:color w:val="auto"/>
              </w:rPr>
            </w:pPr>
            <w:r>
              <w:rPr>
                <w:rFonts w:ascii="Arial" w:cs="Arial" w:eastAsia="Arial" w:hAnsi="Arial"/>
                <w:sz w:val="18"/>
                <w:szCs w:val="18"/>
                <w:color w:val="auto"/>
              </w:rPr>
              <w:t>$</w:t>
            </w:r>
          </w:p>
        </w:tc>
        <w:tc>
          <w:tcPr>
            <w:tcW w:w="1020" w:type="dxa"/>
            <w:vAlign w:val="bottom"/>
          </w:tcPr>
          <w:p>
            <w:pPr>
              <w:jc w:val="right"/>
              <w:ind w:right="10"/>
              <w:spacing w:after="0"/>
              <w:rPr>
                <w:sz w:val="20"/>
                <w:szCs w:val="20"/>
                <w:color w:val="auto"/>
              </w:rPr>
            </w:pPr>
            <w:r>
              <w:rPr>
                <w:rFonts w:ascii="Arial" w:cs="Arial" w:eastAsia="Arial" w:hAnsi="Arial"/>
                <w:sz w:val="18"/>
                <w:szCs w:val="18"/>
                <w:color w:val="auto"/>
                <w:w w:val="99"/>
              </w:rPr>
              <w:t>25,965,819</w:t>
            </w:r>
          </w:p>
        </w:tc>
      </w:tr>
      <w:tr>
        <w:trPr>
          <w:trHeight w:val="27"/>
        </w:trPr>
        <w:tc>
          <w:tcPr>
            <w:tcW w:w="18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r>
      <w:tr>
        <w:trPr>
          <w:trHeight w:val="20"/>
        </w:trPr>
        <w:tc>
          <w:tcPr>
            <w:tcW w:w="18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ectPr>
          <w:pgSz w:w="11900" w:h="16838" w:orient="portrait"/>
          <w:cols w:equalWidth="0" w:num="2">
            <w:col w:w="6980" w:space="420"/>
            <w:col w:w="4020"/>
          </w:cols>
          <w:pgMar w:left="240" w:top="118" w:right="239" w:bottom="1440" w:gutter="0" w:footer="0" w:header="0"/>
          <w:type w:val="continuous"/>
        </w:sectPr>
      </w:pPr>
    </w:p>
    <w:p>
      <w:pPr>
        <w:spacing w:after="0" w:line="218" w:lineRule="exact"/>
        <w:rPr>
          <w:sz w:val="20"/>
          <w:szCs w:val="20"/>
          <w:color w:val="auto"/>
        </w:rPr>
      </w:pPr>
    </w:p>
    <w:p>
      <w:pPr>
        <w:ind w:firstLine="405"/>
        <w:spacing w:after="0" w:line="277" w:lineRule="auto"/>
        <w:rPr>
          <w:sz w:val="20"/>
          <w:szCs w:val="20"/>
          <w:color w:val="auto"/>
        </w:rPr>
      </w:pPr>
      <w:r>
        <w:rPr>
          <w:rFonts w:ascii="Arial" w:cs="Arial" w:eastAsia="Arial" w:hAnsi="Arial"/>
          <w:sz w:val="18"/>
          <w:szCs w:val="18"/>
          <w:color w:val="auto"/>
        </w:rPr>
        <w:t>The following tables summarize the impacts of adopting Topic 606 on our consolidated financial statements as of and for the three and six months ended June 30, 2018.</w:t>
      </w:r>
    </w:p>
    <w:p>
      <w:pPr>
        <w:spacing w:after="0" w:line="19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11</w:t>
      </w:r>
    </w:p>
    <w:p>
      <w:pPr>
        <w:sectPr>
          <w:pgSz w:w="11900" w:h="16838" w:orient="portrait"/>
          <w:cols w:equalWidth="0" w:num="1">
            <w:col w:w="11420"/>
          </w:cols>
          <w:pgMar w:left="240" w:top="118" w:right="239" w:bottom="1440" w:gutter="0" w:footer="0" w:header="0"/>
          <w:type w:val="continuous"/>
        </w:sectPr>
      </w:pPr>
    </w:p>
    <w:bookmarkStart w:id="11" w:name="page12"/>
    <w:bookmarkEnd w:id="11"/>
    <w:tbl>
      <w:tblPr>
        <w:tblLayout w:type="fixed"/>
        <w:tblInd w:w="0" w:type="dxa"/>
        <w:tblCellMar>
          <w:top w:w="0" w:type="dxa"/>
          <w:left w:w="0" w:type="dxa"/>
          <w:bottom w:w="0" w:type="dxa"/>
          <w:right w:w="0" w:type="dxa"/>
        </w:tblCellMar>
      </w:tblPr>
      <w:tr>
        <w:trPr>
          <w:trHeight w:val="161"/>
        </w:trPr>
        <w:tc>
          <w:tcPr>
            <w:tcW w:w="6580" w:type="dxa"/>
            <w:vAlign w:val="bottom"/>
            <w:gridSpan w:val="3"/>
          </w:tcPr>
          <w:p>
            <w:pPr>
              <w:spacing w:after="0"/>
              <w:rPr>
                <w:rFonts w:ascii="Arial" w:cs="Arial" w:eastAsia="Arial" w:hAnsi="Arial"/>
                <w:sz w:val="14"/>
                <w:szCs w:val="14"/>
                <w:b w:val="1"/>
                <w:bCs w:val="1"/>
                <w:color w:val="0000EE"/>
              </w:rPr>
            </w:pPr>
            <w:hyperlink w:anchor="page2">
              <w:r>
                <w:rPr>
                  <w:rFonts w:ascii="Arial" w:cs="Arial" w:eastAsia="Arial" w:hAnsi="Arial"/>
                  <w:sz w:val="14"/>
                  <w:szCs w:val="14"/>
                  <w:b w:val="1"/>
                  <w:bCs w:val="1"/>
                  <w:color w:val="0000EE"/>
                </w:rPr>
                <w:t>Table of Contents</w:t>
              </w:r>
            </w:hyperlink>
          </w:p>
        </w:tc>
        <w:tc>
          <w:tcPr>
            <w:tcW w:w="200" w:type="dxa"/>
            <w:vAlign w:val="bottom"/>
          </w:tcPr>
          <w:p>
            <w:pPr>
              <w:spacing w:after="0"/>
              <w:rPr>
                <w:sz w:val="14"/>
                <w:szCs w:val="14"/>
                <w:color w:val="auto"/>
              </w:rPr>
            </w:pPr>
          </w:p>
        </w:tc>
        <w:tc>
          <w:tcPr>
            <w:tcW w:w="11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06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14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819"/>
        </w:trPr>
        <w:tc>
          <w:tcPr>
            <w:tcW w:w="400" w:type="dxa"/>
            <w:vAlign w:val="bottom"/>
            <w:tcBorders>
              <w:top w:val="single" w:sz="8" w:color="0000EE"/>
            </w:tcBorders>
          </w:tcPr>
          <w:p>
            <w:pPr>
              <w:spacing w:after="0"/>
              <w:rPr>
                <w:sz w:val="24"/>
                <w:szCs w:val="24"/>
                <w:color w:val="auto"/>
              </w:rPr>
            </w:pPr>
          </w:p>
        </w:tc>
        <w:tc>
          <w:tcPr>
            <w:tcW w:w="700" w:type="dxa"/>
            <w:vAlign w:val="bottom"/>
            <w:tcBorders>
              <w:top w:val="single" w:sz="8" w:color="0000EE"/>
            </w:tcBorders>
          </w:tcPr>
          <w:p>
            <w:pPr>
              <w:spacing w:after="0"/>
              <w:rPr>
                <w:sz w:val="24"/>
                <w:szCs w:val="24"/>
                <w:color w:val="auto"/>
              </w:rPr>
            </w:pPr>
          </w:p>
        </w:tc>
        <w:tc>
          <w:tcPr>
            <w:tcW w:w="548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4260" w:type="dxa"/>
            <w:vAlign w:val="bottom"/>
            <w:gridSpan w:val="6"/>
          </w:tcPr>
          <w:p>
            <w:pPr>
              <w:jc w:val="right"/>
              <w:ind w:right="891"/>
              <w:spacing w:after="0"/>
              <w:rPr>
                <w:sz w:val="20"/>
                <w:szCs w:val="20"/>
                <w:color w:val="auto"/>
              </w:rPr>
            </w:pPr>
            <w:r>
              <w:rPr>
                <w:rFonts w:ascii="Arial" w:cs="Arial" w:eastAsia="Arial" w:hAnsi="Arial"/>
                <w:sz w:val="14"/>
                <w:szCs w:val="14"/>
                <w:b w:val="1"/>
                <w:bCs w:val="1"/>
                <w:color w:val="auto"/>
              </w:rPr>
              <w:t>Impact of changes in accounting policies</w:t>
            </w:r>
          </w:p>
        </w:tc>
        <w:tc>
          <w:tcPr>
            <w:tcW w:w="0" w:type="dxa"/>
            <w:vAlign w:val="bottom"/>
          </w:tcPr>
          <w:p>
            <w:pPr>
              <w:spacing w:after="0"/>
              <w:rPr>
                <w:sz w:val="1"/>
                <w:szCs w:val="1"/>
                <w:color w:val="auto"/>
              </w:rPr>
            </w:pPr>
          </w:p>
        </w:tc>
      </w:tr>
      <w:tr>
        <w:trPr>
          <w:trHeight w:val="53"/>
        </w:trPr>
        <w:tc>
          <w:tcPr>
            <w:tcW w:w="400" w:type="dxa"/>
            <w:vAlign w:val="bottom"/>
          </w:tcPr>
          <w:p>
            <w:pPr>
              <w:spacing w:after="0"/>
              <w:rPr>
                <w:sz w:val="4"/>
                <w:szCs w:val="4"/>
                <w:color w:val="auto"/>
              </w:rPr>
            </w:pPr>
          </w:p>
        </w:tc>
        <w:tc>
          <w:tcPr>
            <w:tcW w:w="700" w:type="dxa"/>
            <w:vAlign w:val="bottom"/>
          </w:tcPr>
          <w:p>
            <w:pPr>
              <w:spacing w:after="0"/>
              <w:rPr>
                <w:sz w:val="4"/>
                <w:szCs w:val="4"/>
                <w:color w:val="auto"/>
              </w:rPr>
            </w:pPr>
          </w:p>
        </w:tc>
        <w:tc>
          <w:tcPr>
            <w:tcW w:w="5480" w:type="dxa"/>
            <w:vAlign w:val="bottom"/>
          </w:tcPr>
          <w:p>
            <w:pPr>
              <w:spacing w:after="0"/>
              <w:rPr>
                <w:sz w:val="4"/>
                <w:szCs w:val="4"/>
                <w:color w:val="auto"/>
              </w:rPr>
            </w:pPr>
          </w:p>
        </w:tc>
        <w:tc>
          <w:tcPr>
            <w:tcW w:w="200" w:type="dxa"/>
            <w:vAlign w:val="bottom"/>
            <w:tcBorders>
              <w:bottom w:val="single" w:sz="8" w:color="auto"/>
            </w:tcBorders>
          </w:tcPr>
          <w:p>
            <w:pPr>
              <w:spacing w:after="0"/>
              <w:rPr>
                <w:sz w:val="4"/>
                <w:szCs w:val="4"/>
                <w:color w:val="auto"/>
              </w:rPr>
            </w:pPr>
          </w:p>
        </w:tc>
        <w:tc>
          <w:tcPr>
            <w:tcW w:w="1180" w:type="dxa"/>
            <w:vAlign w:val="bottom"/>
            <w:tcBorders>
              <w:bottom w:val="single" w:sz="8" w:color="auto"/>
            </w:tcBorders>
          </w:tcPr>
          <w:p>
            <w:pPr>
              <w:spacing w:after="0"/>
              <w:rPr>
                <w:sz w:val="4"/>
                <w:szCs w:val="4"/>
                <w:color w:val="auto"/>
              </w:rPr>
            </w:pPr>
          </w:p>
        </w:tc>
        <w:tc>
          <w:tcPr>
            <w:tcW w:w="120" w:type="dxa"/>
            <w:vAlign w:val="bottom"/>
            <w:tcBorders>
              <w:bottom w:val="single" w:sz="8" w:color="auto"/>
            </w:tcBorders>
          </w:tcPr>
          <w:p>
            <w:pPr>
              <w:spacing w:after="0"/>
              <w:rPr>
                <w:sz w:val="4"/>
                <w:szCs w:val="4"/>
                <w:color w:val="auto"/>
              </w:rPr>
            </w:pPr>
          </w:p>
        </w:tc>
        <w:tc>
          <w:tcPr>
            <w:tcW w:w="140" w:type="dxa"/>
            <w:vAlign w:val="bottom"/>
            <w:tcBorders>
              <w:bottom w:val="single" w:sz="8" w:color="auto"/>
            </w:tcBorders>
          </w:tcPr>
          <w:p>
            <w:pPr>
              <w:spacing w:after="0"/>
              <w:rPr>
                <w:sz w:val="4"/>
                <w:szCs w:val="4"/>
                <w:color w:val="auto"/>
              </w:rPr>
            </w:pPr>
          </w:p>
        </w:tc>
        <w:tc>
          <w:tcPr>
            <w:tcW w:w="1060" w:type="dxa"/>
            <w:vAlign w:val="bottom"/>
            <w:tcBorders>
              <w:bottom w:val="single" w:sz="8" w:color="auto"/>
            </w:tcBorders>
          </w:tcPr>
          <w:p>
            <w:pPr>
              <w:spacing w:after="0"/>
              <w:rPr>
                <w:sz w:val="4"/>
                <w:szCs w:val="4"/>
                <w:color w:val="auto"/>
              </w:rPr>
            </w:pPr>
          </w:p>
        </w:tc>
        <w:tc>
          <w:tcPr>
            <w:tcW w:w="1760" w:type="dxa"/>
            <w:vAlign w:val="bottom"/>
            <w:tcBorders>
              <w:bottom w:val="single" w:sz="8" w:color="auto"/>
            </w:tcBorders>
            <w:gridSpan w:val="2"/>
          </w:tcPr>
          <w:p>
            <w:pPr>
              <w:spacing w:after="0"/>
              <w:rPr>
                <w:sz w:val="4"/>
                <w:szCs w:val="4"/>
                <w:color w:val="auto"/>
              </w:rPr>
            </w:pPr>
          </w:p>
        </w:tc>
        <w:tc>
          <w:tcPr>
            <w:tcW w:w="0" w:type="dxa"/>
            <w:vAlign w:val="bottom"/>
          </w:tcPr>
          <w:p>
            <w:pPr>
              <w:spacing w:after="0"/>
              <w:rPr>
                <w:sz w:val="1"/>
                <w:szCs w:val="1"/>
                <w:color w:val="auto"/>
              </w:rPr>
            </w:pPr>
          </w:p>
        </w:tc>
      </w:tr>
      <w:tr>
        <w:trPr>
          <w:trHeight w:val="146"/>
        </w:trPr>
        <w:tc>
          <w:tcPr>
            <w:tcW w:w="40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548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180" w:type="dxa"/>
            <w:vAlign w:val="bottom"/>
            <w:vMerge w:val="restart"/>
          </w:tcPr>
          <w:p>
            <w:pPr>
              <w:jc w:val="center"/>
              <w:ind w:right="112"/>
              <w:spacing w:after="0"/>
              <w:rPr>
                <w:sz w:val="20"/>
                <w:szCs w:val="20"/>
                <w:color w:val="auto"/>
              </w:rPr>
            </w:pPr>
            <w:r>
              <w:rPr>
                <w:rFonts w:ascii="Arial" w:cs="Arial" w:eastAsia="Arial" w:hAnsi="Arial"/>
                <w:sz w:val="14"/>
                <w:szCs w:val="14"/>
                <w:b w:val="1"/>
                <w:bCs w:val="1"/>
                <w:color w:val="auto"/>
                <w:w w:val="93"/>
              </w:rPr>
              <w:t>As Reported</w:t>
            </w:r>
          </w:p>
        </w:tc>
        <w:tc>
          <w:tcPr>
            <w:tcW w:w="120" w:type="dxa"/>
            <w:vAlign w:val="bottom"/>
            <w:vMerge w:val="restart"/>
          </w:tcPr>
          <w:p>
            <w:pPr>
              <w:spacing w:after="0"/>
              <w:rPr>
                <w:sz w:val="12"/>
                <w:szCs w:val="12"/>
                <w:color w:val="auto"/>
              </w:rPr>
            </w:pPr>
          </w:p>
        </w:tc>
        <w:tc>
          <w:tcPr>
            <w:tcW w:w="140" w:type="dxa"/>
            <w:vAlign w:val="bottom"/>
          </w:tcPr>
          <w:p>
            <w:pPr>
              <w:spacing w:after="0"/>
              <w:rPr>
                <w:sz w:val="12"/>
                <w:szCs w:val="12"/>
                <w:color w:val="auto"/>
              </w:rPr>
            </w:pPr>
          </w:p>
        </w:tc>
        <w:tc>
          <w:tcPr>
            <w:tcW w:w="1060" w:type="dxa"/>
            <w:vAlign w:val="bottom"/>
            <w:vMerge w:val="restart"/>
          </w:tcPr>
          <w:p>
            <w:pPr>
              <w:jc w:val="right"/>
              <w:ind w:right="151"/>
              <w:spacing w:after="0"/>
              <w:rPr>
                <w:sz w:val="20"/>
                <w:szCs w:val="20"/>
                <w:color w:val="auto"/>
              </w:rPr>
            </w:pPr>
            <w:r>
              <w:rPr>
                <w:rFonts w:ascii="Arial" w:cs="Arial" w:eastAsia="Arial" w:hAnsi="Arial"/>
                <w:sz w:val="14"/>
                <w:szCs w:val="14"/>
                <w:b w:val="1"/>
                <w:bCs w:val="1"/>
                <w:color w:val="auto"/>
                <w:w w:val="94"/>
              </w:rPr>
              <w:t>Adjustments</w:t>
            </w:r>
          </w:p>
        </w:tc>
        <w:tc>
          <w:tcPr>
            <w:tcW w:w="1760" w:type="dxa"/>
            <w:vAlign w:val="bottom"/>
            <w:gridSpan w:val="2"/>
          </w:tcPr>
          <w:p>
            <w:pPr>
              <w:ind w:left="80"/>
              <w:spacing w:after="0" w:line="147" w:lineRule="exact"/>
              <w:rPr>
                <w:sz w:val="20"/>
                <w:szCs w:val="20"/>
                <w:color w:val="auto"/>
              </w:rPr>
            </w:pPr>
            <w:r>
              <w:rPr>
                <w:rFonts w:ascii="Arial" w:cs="Arial" w:eastAsia="Arial" w:hAnsi="Arial"/>
                <w:sz w:val="14"/>
                <w:szCs w:val="14"/>
                <w:b w:val="1"/>
                <w:bCs w:val="1"/>
                <w:color w:val="auto"/>
                <w:w w:val="93"/>
              </w:rPr>
              <w:t>Balances without adoption</w:t>
            </w:r>
          </w:p>
        </w:tc>
        <w:tc>
          <w:tcPr>
            <w:tcW w:w="0" w:type="dxa"/>
            <w:vAlign w:val="bottom"/>
          </w:tcPr>
          <w:p>
            <w:pPr>
              <w:spacing w:after="0"/>
              <w:rPr>
                <w:sz w:val="1"/>
                <w:szCs w:val="1"/>
                <w:color w:val="auto"/>
              </w:rPr>
            </w:pPr>
          </w:p>
        </w:tc>
      </w:tr>
      <w:tr>
        <w:trPr>
          <w:trHeight w:val="192"/>
        </w:trPr>
        <w:tc>
          <w:tcPr>
            <w:tcW w:w="40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5480" w:type="dxa"/>
            <w:vAlign w:val="bottom"/>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1180" w:type="dxa"/>
            <w:vAlign w:val="bottom"/>
            <w:tcBorders>
              <w:bottom w:val="single" w:sz="8" w:color="auto"/>
            </w:tcBorders>
            <w:vMerge w:val="continue"/>
          </w:tcPr>
          <w:p>
            <w:pPr>
              <w:spacing w:after="0"/>
              <w:rPr>
                <w:sz w:val="16"/>
                <w:szCs w:val="16"/>
                <w:color w:val="auto"/>
              </w:rPr>
            </w:pPr>
          </w:p>
        </w:tc>
        <w:tc>
          <w:tcPr>
            <w:tcW w:w="120" w:type="dxa"/>
            <w:vAlign w:val="bottom"/>
            <w:vMerge w:val="continue"/>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1060" w:type="dxa"/>
            <w:vAlign w:val="bottom"/>
            <w:tcBorders>
              <w:bottom w:val="single" w:sz="8" w:color="auto"/>
            </w:tcBorders>
            <w:vMerge w:val="continue"/>
          </w:tcPr>
          <w:p>
            <w:pPr>
              <w:spacing w:after="0"/>
              <w:rPr>
                <w:sz w:val="16"/>
                <w:szCs w:val="16"/>
                <w:color w:val="auto"/>
              </w:rPr>
            </w:pPr>
          </w:p>
        </w:tc>
        <w:tc>
          <w:tcPr>
            <w:tcW w:w="360" w:type="dxa"/>
            <w:vAlign w:val="bottom"/>
            <w:tcBorders>
              <w:bottom w:val="single" w:sz="8" w:color="auto"/>
            </w:tcBorders>
          </w:tcPr>
          <w:p>
            <w:pPr>
              <w:spacing w:after="0"/>
              <w:rPr>
                <w:sz w:val="16"/>
                <w:szCs w:val="16"/>
                <w:color w:val="auto"/>
              </w:rPr>
            </w:pPr>
          </w:p>
        </w:tc>
        <w:tc>
          <w:tcPr>
            <w:tcW w:w="1400" w:type="dxa"/>
            <w:vAlign w:val="bottom"/>
            <w:tcBorders>
              <w:bottom w:val="single" w:sz="8" w:color="auto"/>
            </w:tcBorders>
          </w:tcPr>
          <w:p>
            <w:pPr>
              <w:jc w:val="right"/>
              <w:ind w:right="391"/>
              <w:spacing w:after="0"/>
              <w:rPr>
                <w:sz w:val="20"/>
                <w:szCs w:val="20"/>
                <w:color w:val="auto"/>
              </w:rPr>
            </w:pPr>
            <w:r>
              <w:rPr>
                <w:rFonts w:ascii="Arial" w:cs="Arial" w:eastAsia="Arial" w:hAnsi="Arial"/>
                <w:sz w:val="14"/>
                <w:szCs w:val="14"/>
                <w:b w:val="1"/>
                <w:bCs w:val="1"/>
                <w:color w:val="auto"/>
              </w:rPr>
              <w:t>of Topic 606</w:t>
            </w:r>
          </w:p>
        </w:tc>
        <w:tc>
          <w:tcPr>
            <w:tcW w:w="0" w:type="dxa"/>
            <w:vAlign w:val="bottom"/>
          </w:tcPr>
          <w:p>
            <w:pPr>
              <w:spacing w:after="0"/>
              <w:rPr>
                <w:sz w:val="1"/>
                <w:szCs w:val="1"/>
                <w:color w:val="auto"/>
              </w:rPr>
            </w:pPr>
          </w:p>
        </w:tc>
      </w:tr>
      <w:tr>
        <w:trPr>
          <w:trHeight w:val="258"/>
        </w:trPr>
        <w:tc>
          <w:tcPr>
            <w:tcW w:w="400" w:type="dxa"/>
            <w:vAlign w:val="bottom"/>
          </w:tcPr>
          <w:p>
            <w:pPr>
              <w:spacing w:after="0"/>
              <w:rPr>
                <w:sz w:val="22"/>
                <w:szCs w:val="22"/>
                <w:color w:val="auto"/>
              </w:rPr>
            </w:pPr>
          </w:p>
        </w:tc>
        <w:tc>
          <w:tcPr>
            <w:tcW w:w="700" w:type="dxa"/>
            <w:vAlign w:val="bottom"/>
          </w:tcPr>
          <w:p>
            <w:pPr>
              <w:spacing w:after="0"/>
              <w:rPr>
                <w:sz w:val="22"/>
                <w:szCs w:val="22"/>
                <w:color w:val="auto"/>
              </w:rPr>
            </w:pPr>
          </w:p>
        </w:tc>
        <w:tc>
          <w:tcPr>
            <w:tcW w:w="548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1300" w:type="dxa"/>
            <w:vAlign w:val="bottom"/>
            <w:gridSpan w:val="2"/>
          </w:tcPr>
          <w:p>
            <w:pPr>
              <w:jc w:val="center"/>
              <w:ind w:right="340"/>
              <w:spacing w:after="0"/>
              <w:rPr>
                <w:sz w:val="20"/>
                <w:szCs w:val="20"/>
                <w:color w:val="auto"/>
              </w:rPr>
            </w:pPr>
            <w:r>
              <w:rPr>
                <w:rFonts w:ascii="Arial" w:cs="Arial" w:eastAsia="Arial" w:hAnsi="Arial"/>
                <w:sz w:val="14"/>
                <w:szCs w:val="14"/>
                <w:b w:val="1"/>
                <w:bCs w:val="1"/>
                <w:color w:val="auto"/>
                <w:w w:val="94"/>
              </w:rPr>
              <w:t>(unaudited)</w:t>
            </w:r>
          </w:p>
        </w:tc>
        <w:tc>
          <w:tcPr>
            <w:tcW w:w="140" w:type="dxa"/>
            <w:vAlign w:val="bottom"/>
          </w:tcPr>
          <w:p>
            <w:pPr>
              <w:spacing w:after="0"/>
              <w:rPr>
                <w:sz w:val="22"/>
                <w:szCs w:val="22"/>
                <w:color w:val="auto"/>
              </w:rPr>
            </w:pPr>
          </w:p>
        </w:tc>
        <w:tc>
          <w:tcPr>
            <w:tcW w:w="1060" w:type="dxa"/>
            <w:vAlign w:val="bottom"/>
          </w:tcPr>
          <w:p>
            <w:pPr>
              <w:jc w:val="right"/>
              <w:ind w:right="191"/>
              <w:spacing w:after="0"/>
              <w:rPr>
                <w:sz w:val="20"/>
                <w:szCs w:val="20"/>
                <w:color w:val="auto"/>
              </w:rPr>
            </w:pPr>
            <w:r>
              <w:rPr>
                <w:rFonts w:ascii="Arial" w:cs="Arial" w:eastAsia="Arial" w:hAnsi="Arial"/>
                <w:sz w:val="14"/>
                <w:szCs w:val="14"/>
                <w:b w:val="1"/>
                <w:bCs w:val="1"/>
                <w:color w:val="auto"/>
                <w:w w:val="99"/>
              </w:rPr>
              <w:t>(unaudited)</w:t>
            </w:r>
          </w:p>
        </w:tc>
        <w:tc>
          <w:tcPr>
            <w:tcW w:w="360" w:type="dxa"/>
            <w:vAlign w:val="bottom"/>
          </w:tcPr>
          <w:p>
            <w:pPr>
              <w:spacing w:after="0"/>
              <w:rPr>
                <w:sz w:val="22"/>
                <w:szCs w:val="22"/>
                <w:color w:val="auto"/>
              </w:rPr>
            </w:pPr>
          </w:p>
        </w:tc>
        <w:tc>
          <w:tcPr>
            <w:tcW w:w="1400" w:type="dxa"/>
            <w:vAlign w:val="bottom"/>
          </w:tcPr>
          <w:p>
            <w:pPr>
              <w:jc w:val="right"/>
              <w:ind w:right="411"/>
              <w:spacing w:after="0"/>
              <w:rPr>
                <w:sz w:val="20"/>
                <w:szCs w:val="20"/>
                <w:color w:val="auto"/>
              </w:rPr>
            </w:pPr>
            <w:r>
              <w:rPr>
                <w:rFonts w:ascii="Arial" w:cs="Arial" w:eastAsia="Arial" w:hAnsi="Arial"/>
                <w:sz w:val="14"/>
                <w:szCs w:val="14"/>
                <w:b w:val="1"/>
                <w:bCs w:val="1"/>
                <w:color w:val="auto"/>
              </w:rPr>
              <w:t>(unaudited)</w:t>
            </w:r>
          </w:p>
        </w:tc>
        <w:tc>
          <w:tcPr>
            <w:tcW w:w="0" w:type="dxa"/>
            <w:vAlign w:val="bottom"/>
          </w:tcPr>
          <w:p>
            <w:pPr>
              <w:spacing w:after="0"/>
              <w:rPr>
                <w:sz w:val="1"/>
                <w:szCs w:val="1"/>
                <w:color w:val="auto"/>
              </w:rPr>
            </w:pPr>
          </w:p>
        </w:tc>
      </w:tr>
      <w:tr>
        <w:trPr>
          <w:trHeight w:val="255"/>
        </w:trPr>
        <w:tc>
          <w:tcPr>
            <w:tcW w:w="400" w:type="dxa"/>
            <w:vAlign w:val="bottom"/>
          </w:tcPr>
          <w:p>
            <w:pPr>
              <w:spacing w:after="0"/>
              <w:rPr>
                <w:sz w:val="22"/>
                <w:szCs w:val="22"/>
                <w:color w:val="auto"/>
              </w:rPr>
            </w:pPr>
          </w:p>
        </w:tc>
        <w:tc>
          <w:tcPr>
            <w:tcW w:w="700" w:type="dxa"/>
            <w:vAlign w:val="bottom"/>
          </w:tcPr>
          <w:p>
            <w:pPr>
              <w:spacing w:after="0"/>
              <w:rPr>
                <w:sz w:val="22"/>
                <w:szCs w:val="22"/>
                <w:color w:val="auto"/>
              </w:rPr>
            </w:pPr>
          </w:p>
        </w:tc>
        <w:tc>
          <w:tcPr>
            <w:tcW w:w="5480" w:type="dxa"/>
            <w:vAlign w:val="bottom"/>
          </w:tcPr>
          <w:p>
            <w:pPr>
              <w:jc w:val="center"/>
              <w:ind w:right="630"/>
              <w:spacing w:after="0"/>
              <w:rPr>
                <w:sz w:val="20"/>
                <w:szCs w:val="20"/>
                <w:color w:val="auto"/>
              </w:rPr>
            </w:pPr>
            <w:r>
              <w:rPr>
                <w:rFonts w:ascii="Arial" w:cs="Arial" w:eastAsia="Arial" w:hAnsi="Arial"/>
                <w:sz w:val="18"/>
                <w:szCs w:val="18"/>
                <w:b w:val="1"/>
                <w:bCs w:val="1"/>
                <w:color w:val="auto"/>
                <w:w w:val="81"/>
              </w:rPr>
              <w:t>Assets</w:t>
            </w:r>
          </w:p>
        </w:tc>
        <w:tc>
          <w:tcPr>
            <w:tcW w:w="200" w:type="dxa"/>
            <w:vAlign w:val="bottom"/>
          </w:tcPr>
          <w:p>
            <w:pPr>
              <w:spacing w:after="0"/>
              <w:rPr>
                <w:sz w:val="22"/>
                <w:szCs w:val="22"/>
                <w:color w:val="auto"/>
              </w:rPr>
            </w:pPr>
          </w:p>
        </w:tc>
        <w:tc>
          <w:tcPr>
            <w:tcW w:w="118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1060" w:type="dxa"/>
            <w:vAlign w:val="bottom"/>
          </w:tcPr>
          <w:p>
            <w:pPr>
              <w:spacing w:after="0"/>
              <w:rPr>
                <w:sz w:val="22"/>
                <w:szCs w:val="22"/>
                <w:color w:val="auto"/>
              </w:rPr>
            </w:pPr>
          </w:p>
        </w:tc>
        <w:tc>
          <w:tcPr>
            <w:tcW w:w="360" w:type="dxa"/>
            <w:vAlign w:val="bottom"/>
          </w:tcPr>
          <w:p>
            <w:pPr>
              <w:spacing w:after="0"/>
              <w:rPr>
                <w:sz w:val="22"/>
                <w:szCs w:val="22"/>
                <w:color w:val="auto"/>
              </w:rPr>
            </w:pPr>
          </w:p>
        </w:tc>
        <w:tc>
          <w:tcPr>
            <w:tcW w:w="14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7"/>
        </w:trPr>
        <w:tc>
          <w:tcPr>
            <w:tcW w:w="400" w:type="dxa"/>
            <w:vAlign w:val="bottom"/>
          </w:tcPr>
          <w:p>
            <w:pPr>
              <w:spacing w:after="0"/>
              <w:rPr>
                <w:sz w:val="2"/>
                <w:szCs w:val="2"/>
                <w:color w:val="auto"/>
              </w:rPr>
            </w:pPr>
          </w:p>
        </w:tc>
        <w:tc>
          <w:tcPr>
            <w:tcW w:w="700" w:type="dxa"/>
            <w:vAlign w:val="bottom"/>
          </w:tcPr>
          <w:p>
            <w:pPr>
              <w:spacing w:after="0"/>
              <w:rPr>
                <w:sz w:val="2"/>
                <w:szCs w:val="2"/>
                <w:color w:val="auto"/>
              </w:rPr>
            </w:pPr>
          </w:p>
        </w:tc>
        <w:tc>
          <w:tcPr>
            <w:tcW w:w="5480" w:type="dxa"/>
            <w:vAlign w:val="bottom"/>
          </w:tcPr>
          <w:p>
            <w:pPr>
              <w:spacing w:after="0"/>
              <w:rPr>
                <w:sz w:val="2"/>
                <w:szCs w:val="2"/>
                <w:color w:val="auto"/>
              </w:rPr>
            </w:pPr>
          </w:p>
        </w:tc>
        <w:tc>
          <w:tcPr>
            <w:tcW w:w="20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060" w:type="dxa"/>
            <w:vAlign w:val="bottom"/>
          </w:tcPr>
          <w:p>
            <w:pPr>
              <w:spacing w:after="0"/>
              <w:rPr>
                <w:sz w:val="2"/>
                <w:szCs w:val="2"/>
                <w:color w:val="auto"/>
              </w:rPr>
            </w:pPr>
          </w:p>
        </w:tc>
        <w:tc>
          <w:tcPr>
            <w:tcW w:w="360" w:type="dxa"/>
            <w:vAlign w:val="bottom"/>
          </w:tcPr>
          <w:p>
            <w:pPr>
              <w:spacing w:after="0"/>
              <w:rPr>
                <w:sz w:val="2"/>
                <w:szCs w:val="2"/>
                <w:color w:val="auto"/>
              </w:rPr>
            </w:pPr>
          </w:p>
        </w:tc>
        <w:tc>
          <w:tcPr>
            <w:tcW w:w="14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400" w:type="dxa"/>
            <w:vAlign w:val="bottom"/>
          </w:tcPr>
          <w:p>
            <w:pPr>
              <w:spacing w:after="0"/>
              <w:rPr>
                <w:sz w:val="21"/>
                <w:szCs w:val="21"/>
                <w:color w:val="auto"/>
              </w:rPr>
            </w:pPr>
          </w:p>
        </w:tc>
        <w:tc>
          <w:tcPr>
            <w:tcW w:w="618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8"/>
                <w:szCs w:val="18"/>
                <w:color w:val="auto"/>
              </w:rPr>
              <w:t>Current assets:</w:t>
            </w:r>
          </w:p>
        </w:tc>
        <w:tc>
          <w:tcPr>
            <w:tcW w:w="20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40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400" w:type="dxa"/>
            <w:vAlign w:val="bottom"/>
          </w:tcPr>
          <w:p>
            <w:pPr>
              <w:spacing w:after="0"/>
              <w:rPr>
                <w:sz w:val="21"/>
                <w:szCs w:val="21"/>
                <w:color w:val="auto"/>
              </w:rPr>
            </w:pPr>
          </w:p>
        </w:tc>
        <w:tc>
          <w:tcPr>
            <w:tcW w:w="6180" w:type="dxa"/>
            <w:vAlign w:val="bottom"/>
            <w:gridSpan w:val="2"/>
          </w:tcPr>
          <w:p>
            <w:pPr>
              <w:ind w:left="160"/>
              <w:spacing w:after="0"/>
              <w:rPr>
                <w:sz w:val="20"/>
                <w:szCs w:val="20"/>
                <w:color w:val="auto"/>
              </w:rPr>
            </w:pPr>
            <w:r>
              <w:rPr>
                <w:rFonts w:ascii="Arial" w:cs="Arial" w:eastAsia="Arial" w:hAnsi="Arial"/>
                <w:sz w:val="18"/>
                <w:szCs w:val="18"/>
                <w:color w:val="auto"/>
              </w:rPr>
              <w:t>Cash and cash equivalents</w:t>
            </w:r>
          </w:p>
        </w:tc>
        <w:tc>
          <w:tcPr>
            <w:tcW w:w="20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180" w:type="dxa"/>
            <w:vAlign w:val="bottom"/>
          </w:tcPr>
          <w:p>
            <w:pPr>
              <w:jc w:val="right"/>
              <w:ind w:right="12"/>
              <w:spacing w:after="0"/>
              <w:rPr>
                <w:sz w:val="20"/>
                <w:szCs w:val="20"/>
                <w:color w:val="auto"/>
              </w:rPr>
            </w:pPr>
            <w:r>
              <w:rPr>
                <w:rFonts w:ascii="Arial" w:cs="Arial" w:eastAsia="Arial" w:hAnsi="Arial"/>
                <w:sz w:val="18"/>
                <w:szCs w:val="18"/>
                <w:color w:val="auto"/>
              </w:rPr>
              <w:t>33,292,800</w:t>
            </w:r>
          </w:p>
        </w:tc>
        <w:tc>
          <w:tcPr>
            <w:tcW w:w="120" w:type="dxa"/>
            <w:vAlign w:val="bottom"/>
          </w:tcPr>
          <w:p>
            <w:pPr>
              <w:spacing w:after="0"/>
              <w:rPr>
                <w:sz w:val="21"/>
                <w:szCs w:val="21"/>
                <w:color w:val="auto"/>
              </w:rPr>
            </w:pPr>
          </w:p>
        </w:tc>
        <w:tc>
          <w:tcPr>
            <w:tcW w:w="14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060" w:type="dxa"/>
            <w:vAlign w:val="bottom"/>
          </w:tcPr>
          <w:p>
            <w:pPr>
              <w:jc w:val="right"/>
              <w:ind w:right="51"/>
              <w:spacing w:after="0"/>
              <w:rPr>
                <w:sz w:val="20"/>
                <w:szCs w:val="20"/>
                <w:color w:val="auto"/>
              </w:rPr>
            </w:pPr>
            <w:r>
              <w:rPr>
                <w:rFonts w:ascii="Arial" w:cs="Arial" w:eastAsia="Arial" w:hAnsi="Arial"/>
                <w:sz w:val="18"/>
                <w:szCs w:val="18"/>
                <w:color w:val="auto"/>
              </w:rPr>
              <w:t>—</w:t>
            </w:r>
          </w:p>
        </w:tc>
        <w:tc>
          <w:tcPr>
            <w:tcW w:w="360" w:type="dxa"/>
            <w:vAlign w:val="bottom"/>
          </w:tcPr>
          <w:p>
            <w:pPr>
              <w:ind w:left="80"/>
              <w:spacing w:after="0"/>
              <w:rPr>
                <w:sz w:val="20"/>
                <w:szCs w:val="20"/>
                <w:color w:val="auto"/>
              </w:rPr>
            </w:pPr>
            <w:r>
              <w:rPr>
                <w:rFonts w:ascii="Arial" w:cs="Arial" w:eastAsia="Arial" w:hAnsi="Arial"/>
                <w:sz w:val="18"/>
                <w:szCs w:val="18"/>
                <w:color w:val="auto"/>
              </w:rPr>
              <w:t>$</w:t>
            </w:r>
          </w:p>
        </w:tc>
        <w:tc>
          <w:tcPr>
            <w:tcW w:w="1400" w:type="dxa"/>
            <w:vAlign w:val="bottom"/>
          </w:tcPr>
          <w:p>
            <w:pPr>
              <w:jc w:val="right"/>
              <w:ind w:right="11"/>
              <w:spacing w:after="0"/>
              <w:rPr>
                <w:sz w:val="20"/>
                <w:szCs w:val="20"/>
                <w:color w:val="auto"/>
              </w:rPr>
            </w:pPr>
            <w:r>
              <w:rPr>
                <w:rFonts w:ascii="Arial" w:cs="Arial" w:eastAsia="Arial" w:hAnsi="Arial"/>
                <w:sz w:val="18"/>
                <w:szCs w:val="18"/>
                <w:color w:val="auto"/>
              </w:rPr>
              <w:t>33,292,800</w:t>
            </w:r>
          </w:p>
        </w:tc>
        <w:tc>
          <w:tcPr>
            <w:tcW w:w="0" w:type="dxa"/>
            <w:vAlign w:val="bottom"/>
          </w:tcPr>
          <w:p>
            <w:pPr>
              <w:spacing w:after="0"/>
              <w:rPr>
                <w:sz w:val="1"/>
                <w:szCs w:val="1"/>
                <w:color w:val="auto"/>
              </w:rPr>
            </w:pPr>
          </w:p>
        </w:tc>
      </w:tr>
      <w:tr>
        <w:trPr>
          <w:trHeight w:val="27"/>
        </w:trPr>
        <w:tc>
          <w:tcPr>
            <w:tcW w:w="400" w:type="dxa"/>
            <w:vAlign w:val="bottom"/>
          </w:tcPr>
          <w:p>
            <w:pPr>
              <w:spacing w:after="0"/>
              <w:rPr>
                <w:sz w:val="2"/>
                <w:szCs w:val="2"/>
                <w:color w:val="auto"/>
              </w:rPr>
            </w:pPr>
          </w:p>
        </w:tc>
        <w:tc>
          <w:tcPr>
            <w:tcW w:w="700" w:type="dxa"/>
            <w:vAlign w:val="bottom"/>
          </w:tcPr>
          <w:p>
            <w:pPr>
              <w:spacing w:after="0"/>
              <w:rPr>
                <w:sz w:val="2"/>
                <w:szCs w:val="2"/>
                <w:color w:val="auto"/>
              </w:rPr>
            </w:pPr>
          </w:p>
        </w:tc>
        <w:tc>
          <w:tcPr>
            <w:tcW w:w="5480" w:type="dxa"/>
            <w:vAlign w:val="bottom"/>
          </w:tcPr>
          <w:p>
            <w:pPr>
              <w:spacing w:after="0"/>
              <w:rPr>
                <w:sz w:val="2"/>
                <w:szCs w:val="2"/>
                <w:color w:val="auto"/>
              </w:rPr>
            </w:pPr>
          </w:p>
        </w:tc>
        <w:tc>
          <w:tcPr>
            <w:tcW w:w="20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060" w:type="dxa"/>
            <w:vAlign w:val="bottom"/>
          </w:tcPr>
          <w:p>
            <w:pPr>
              <w:spacing w:after="0"/>
              <w:rPr>
                <w:sz w:val="2"/>
                <w:szCs w:val="2"/>
                <w:color w:val="auto"/>
              </w:rPr>
            </w:pPr>
          </w:p>
        </w:tc>
        <w:tc>
          <w:tcPr>
            <w:tcW w:w="360" w:type="dxa"/>
            <w:vAlign w:val="bottom"/>
          </w:tcPr>
          <w:p>
            <w:pPr>
              <w:spacing w:after="0"/>
              <w:rPr>
                <w:sz w:val="2"/>
                <w:szCs w:val="2"/>
                <w:color w:val="auto"/>
              </w:rPr>
            </w:pPr>
          </w:p>
        </w:tc>
        <w:tc>
          <w:tcPr>
            <w:tcW w:w="14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400" w:type="dxa"/>
            <w:vAlign w:val="bottom"/>
          </w:tcPr>
          <w:p>
            <w:pPr>
              <w:spacing w:after="0"/>
              <w:rPr>
                <w:sz w:val="21"/>
                <w:szCs w:val="21"/>
                <w:color w:val="auto"/>
              </w:rPr>
            </w:pPr>
          </w:p>
        </w:tc>
        <w:tc>
          <w:tcPr>
            <w:tcW w:w="6180" w:type="dxa"/>
            <w:vAlign w:val="bottom"/>
            <w:tcBorders>
              <w:bottom w:val="single" w:sz="8" w:color="CCEEFF"/>
            </w:tcBorders>
            <w:gridSpan w:val="2"/>
            <w:shd w:val="clear" w:color="auto" w:fill="CCEEFF"/>
          </w:tcPr>
          <w:p>
            <w:pPr>
              <w:ind w:left="160"/>
              <w:spacing w:after="0"/>
              <w:rPr>
                <w:sz w:val="20"/>
                <w:szCs w:val="20"/>
                <w:color w:val="auto"/>
              </w:rPr>
            </w:pPr>
            <w:r>
              <w:rPr>
                <w:rFonts w:ascii="Arial" w:cs="Arial" w:eastAsia="Arial" w:hAnsi="Arial"/>
                <w:sz w:val="18"/>
                <w:szCs w:val="18"/>
                <w:color w:val="auto"/>
              </w:rPr>
              <w:t>Accounts receivable, net</w:t>
            </w:r>
          </w:p>
        </w:tc>
        <w:tc>
          <w:tcPr>
            <w:tcW w:w="20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9,385,772</w:t>
            </w: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ind w:right="51"/>
              <w:spacing w:after="0"/>
              <w:rPr>
                <w:sz w:val="20"/>
                <w:szCs w:val="20"/>
                <w:color w:val="auto"/>
              </w:rPr>
            </w:pPr>
            <w:r>
              <w:rPr>
                <w:rFonts w:ascii="Arial" w:cs="Arial" w:eastAsia="Arial" w:hAnsi="Arial"/>
                <w:sz w:val="18"/>
                <w:szCs w:val="18"/>
                <w:color w:val="auto"/>
              </w:rPr>
              <w:t>—</w:t>
            </w:r>
          </w:p>
        </w:tc>
        <w:tc>
          <w:tcPr>
            <w:tcW w:w="360" w:type="dxa"/>
            <w:vAlign w:val="bottom"/>
            <w:tcBorders>
              <w:bottom w:val="single" w:sz="8" w:color="CCEEFF"/>
            </w:tcBorders>
            <w:shd w:val="clear" w:color="auto" w:fill="CCEEFF"/>
          </w:tcPr>
          <w:p>
            <w:pPr>
              <w:spacing w:after="0"/>
              <w:rPr>
                <w:sz w:val="21"/>
                <w:szCs w:val="21"/>
                <w:color w:val="auto"/>
              </w:rPr>
            </w:pPr>
          </w:p>
        </w:tc>
        <w:tc>
          <w:tcPr>
            <w:tcW w:w="14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9,385,772</w:t>
            </w:r>
          </w:p>
        </w:tc>
        <w:tc>
          <w:tcPr>
            <w:tcW w:w="0" w:type="dxa"/>
            <w:vAlign w:val="bottom"/>
          </w:tcPr>
          <w:p>
            <w:pPr>
              <w:spacing w:after="0"/>
              <w:rPr>
                <w:sz w:val="1"/>
                <w:szCs w:val="1"/>
                <w:color w:val="auto"/>
              </w:rPr>
            </w:pPr>
          </w:p>
        </w:tc>
      </w:tr>
      <w:tr>
        <w:trPr>
          <w:trHeight w:val="243"/>
        </w:trPr>
        <w:tc>
          <w:tcPr>
            <w:tcW w:w="400" w:type="dxa"/>
            <w:vAlign w:val="bottom"/>
          </w:tcPr>
          <w:p>
            <w:pPr>
              <w:spacing w:after="0"/>
              <w:rPr>
                <w:sz w:val="21"/>
                <w:szCs w:val="21"/>
                <w:color w:val="auto"/>
              </w:rPr>
            </w:pPr>
          </w:p>
        </w:tc>
        <w:tc>
          <w:tcPr>
            <w:tcW w:w="6180" w:type="dxa"/>
            <w:vAlign w:val="bottom"/>
            <w:gridSpan w:val="2"/>
          </w:tcPr>
          <w:p>
            <w:pPr>
              <w:ind w:left="160"/>
              <w:spacing w:after="0"/>
              <w:rPr>
                <w:sz w:val="20"/>
                <w:szCs w:val="20"/>
                <w:color w:val="auto"/>
              </w:rPr>
            </w:pPr>
            <w:r>
              <w:rPr>
                <w:rFonts w:ascii="Arial" w:cs="Arial" w:eastAsia="Arial" w:hAnsi="Arial"/>
                <w:sz w:val="18"/>
                <w:szCs w:val="18"/>
                <w:color w:val="auto"/>
              </w:rPr>
              <w:t>Receivable from sale of HSOR business</w:t>
            </w:r>
          </w:p>
        </w:tc>
        <w:tc>
          <w:tcPr>
            <w:tcW w:w="200" w:type="dxa"/>
            <w:vAlign w:val="bottom"/>
          </w:tcPr>
          <w:p>
            <w:pPr>
              <w:spacing w:after="0"/>
              <w:rPr>
                <w:sz w:val="21"/>
                <w:szCs w:val="21"/>
                <w:color w:val="auto"/>
              </w:rPr>
            </w:pPr>
          </w:p>
        </w:tc>
        <w:tc>
          <w:tcPr>
            <w:tcW w:w="1180" w:type="dxa"/>
            <w:vAlign w:val="bottom"/>
          </w:tcPr>
          <w:p>
            <w:pPr>
              <w:jc w:val="right"/>
              <w:ind w:right="12"/>
              <w:spacing w:after="0"/>
              <w:rPr>
                <w:sz w:val="20"/>
                <w:szCs w:val="20"/>
                <w:color w:val="auto"/>
              </w:rPr>
            </w:pPr>
            <w:r>
              <w:rPr>
                <w:rFonts w:ascii="Arial" w:cs="Arial" w:eastAsia="Arial" w:hAnsi="Arial"/>
                <w:sz w:val="18"/>
                <w:szCs w:val="18"/>
                <w:color w:val="auto"/>
              </w:rPr>
              <w:t>4,001,833</w:t>
            </w: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060" w:type="dxa"/>
            <w:vAlign w:val="bottom"/>
          </w:tcPr>
          <w:p>
            <w:pPr>
              <w:jc w:val="right"/>
              <w:ind w:right="51"/>
              <w:spacing w:after="0"/>
              <w:rPr>
                <w:sz w:val="20"/>
                <w:szCs w:val="20"/>
                <w:color w:val="auto"/>
              </w:rPr>
            </w:pPr>
            <w:r>
              <w:rPr>
                <w:rFonts w:ascii="Arial" w:cs="Arial" w:eastAsia="Arial" w:hAnsi="Arial"/>
                <w:sz w:val="18"/>
                <w:szCs w:val="18"/>
                <w:color w:val="auto"/>
              </w:rPr>
              <w:t>—</w:t>
            </w:r>
          </w:p>
        </w:tc>
        <w:tc>
          <w:tcPr>
            <w:tcW w:w="360" w:type="dxa"/>
            <w:vAlign w:val="bottom"/>
          </w:tcPr>
          <w:p>
            <w:pPr>
              <w:spacing w:after="0"/>
              <w:rPr>
                <w:sz w:val="21"/>
                <w:szCs w:val="21"/>
                <w:color w:val="auto"/>
              </w:rPr>
            </w:pPr>
          </w:p>
        </w:tc>
        <w:tc>
          <w:tcPr>
            <w:tcW w:w="1400" w:type="dxa"/>
            <w:vAlign w:val="bottom"/>
          </w:tcPr>
          <w:p>
            <w:pPr>
              <w:jc w:val="right"/>
              <w:ind w:right="11"/>
              <w:spacing w:after="0"/>
              <w:rPr>
                <w:sz w:val="20"/>
                <w:szCs w:val="20"/>
                <w:color w:val="auto"/>
              </w:rPr>
            </w:pPr>
            <w:r>
              <w:rPr>
                <w:rFonts w:ascii="Arial" w:cs="Arial" w:eastAsia="Arial" w:hAnsi="Arial"/>
                <w:sz w:val="18"/>
                <w:szCs w:val="18"/>
                <w:color w:val="auto"/>
              </w:rPr>
              <w:t>4,001,833</w:t>
            </w:r>
          </w:p>
        </w:tc>
        <w:tc>
          <w:tcPr>
            <w:tcW w:w="0" w:type="dxa"/>
            <w:vAlign w:val="bottom"/>
          </w:tcPr>
          <w:p>
            <w:pPr>
              <w:spacing w:after="0"/>
              <w:rPr>
                <w:sz w:val="1"/>
                <w:szCs w:val="1"/>
                <w:color w:val="auto"/>
              </w:rPr>
            </w:pPr>
          </w:p>
        </w:tc>
      </w:tr>
      <w:tr>
        <w:trPr>
          <w:trHeight w:val="27"/>
        </w:trPr>
        <w:tc>
          <w:tcPr>
            <w:tcW w:w="400" w:type="dxa"/>
            <w:vAlign w:val="bottom"/>
          </w:tcPr>
          <w:p>
            <w:pPr>
              <w:spacing w:after="0"/>
              <w:rPr>
                <w:sz w:val="2"/>
                <w:szCs w:val="2"/>
                <w:color w:val="auto"/>
              </w:rPr>
            </w:pPr>
          </w:p>
        </w:tc>
        <w:tc>
          <w:tcPr>
            <w:tcW w:w="700" w:type="dxa"/>
            <w:vAlign w:val="bottom"/>
          </w:tcPr>
          <w:p>
            <w:pPr>
              <w:spacing w:after="0"/>
              <w:rPr>
                <w:sz w:val="2"/>
                <w:szCs w:val="2"/>
                <w:color w:val="auto"/>
              </w:rPr>
            </w:pPr>
          </w:p>
        </w:tc>
        <w:tc>
          <w:tcPr>
            <w:tcW w:w="5480" w:type="dxa"/>
            <w:vAlign w:val="bottom"/>
          </w:tcPr>
          <w:p>
            <w:pPr>
              <w:spacing w:after="0"/>
              <w:rPr>
                <w:sz w:val="2"/>
                <w:szCs w:val="2"/>
                <w:color w:val="auto"/>
              </w:rPr>
            </w:pPr>
          </w:p>
        </w:tc>
        <w:tc>
          <w:tcPr>
            <w:tcW w:w="20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060" w:type="dxa"/>
            <w:vAlign w:val="bottom"/>
          </w:tcPr>
          <w:p>
            <w:pPr>
              <w:spacing w:after="0"/>
              <w:rPr>
                <w:sz w:val="2"/>
                <w:szCs w:val="2"/>
                <w:color w:val="auto"/>
              </w:rPr>
            </w:pPr>
          </w:p>
        </w:tc>
        <w:tc>
          <w:tcPr>
            <w:tcW w:w="360" w:type="dxa"/>
            <w:vAlign w:val="bottom"/>
          </w:tcPr>
          <w:p>
            <w:pPr>
              <w:spacing w:after="0"/>
              <w:rPr>
                <w:sz w:val="2"/>
                <w:szCs w:val="2"/>
                <w:color w:val="auto"/>
              </w:rPr>
            </w:pPr>
          </w:p>
        </w:tc>
        <w:tc>
          <w:tcPr>
            <w:tcW w:w="14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400" w:type="dxa"/>
            <w:vAlign w:val="bottom"/>
          </w:tcPr>
          <w:p>
            <w:pPr>
              <w:spacing w:after="0"/>
              <w:rPr>
                <w:sz w:val="21"/>
                <w:szCs w:val="21"/>
                <w:color w:val="auto"/>
              </w:rPr>
            </w:pPr>
          </w:p>
        </w:tc>
        <w:tc>
          <w:tcPr>
            <w:tcW w:w="6180" w:type="dxa"/>
            <w:vAlign w:val="bottom"/>
            <w:tcBorders>
              <w:bottom w:val="single" w:sz="8" w:color="CCEEFF"/>
            </w:tcBorders>
            <w:gridSpan w:val="2"/>
            <w:shd w:val="clear" w:color="auto" w:fill="CCEEFF"/>
          </w:tcPr>
          <w:p>
            <w:pPr>
              <w:ind w:left="160"/>
              <w:spacing w:after="0"/>
              <w:rPr>
                <w:sz w:val="20"/>
                <w:szCs w:val="20"/>
                <w:color w:val="auto"/>
              </w:rPr>
            </w:pPr>
            <w:r>
              <w:rPr>
                <w:rFonts w:ascii="Arial" w:cs="Arial" w:eastAsia="Arial" w:hAnsi="Arial"/>
                <w:sz w:val="18"/>
                <w:szCs w:val="18"/>
                <w:color w:val="auto"/>
              </w:rPr>
              <w:t>Contract assets</w:t>
            </w:r>
          </w:p>
        </w:tc>
        <w:tc>
          <w:tcPr>
            <w:tcW w:w="20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3,231,770</w:t>
            </w: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(1,249,551)</w:t>
            </w:r>
          </w:p>
        </w:tc>
        <w:tc>
          <w:tcPr>
            <w:tcW w:w="360" w:type="dxa"/>
            <w:vAlign w:val="bottom"/>
            <w:tcBorders>
              <w:bottom w:val="single" w:sz="8" w:color="CCEEFF"/>
            </w:tcBorders>
            <w:shd w:val="clear" w:color="auto" w:fill="CCEEFF"/>
          </w:tcPr>
          <w:p>
            <w:pPr>
              <w:spacing w:after="0"/>
              <w:rPr>
                <w:sz w:val="21"/>
                <w:szCs w:val="21"/>
                <w:color w:val="auto"/>
              </w:rPr>
            </w:pPr>
          </w:p>
        </w:tc>
        <w:tc>
          <w:tcPr>
            <w:tcW w:w="14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1,982,219</w:t>
            </w:r>
          </w:p>
        </w:tc>
        <w:tc>
          <w:tcPr>
            <w:tcW w:w="0" w:type="dxa"/>
            <w:vAlign w:val="bottom"/>
          </w:tcPr>
          <w:p>
            <w:pPr>
              <w:spacing w:after="0"/>
              <w:rPr>
                <w:sz w:val="1"/>
                <w:szCs w:val="1"/>
                <w:color w:val="auto"/>
              </w:rPr>
            </w:pPr>
          </w:p>
        </w:tc>
      </w:tr>
      <w:tr>
        <w:trPr>
          <w:trHeight w:val="243"/>
        </w:trPr>
        <w:tc>
          <w:tcPr>
            <w:tcW w:w="400" w:type="dxa"/>
            <w:vAlign w:val="bottom"/>
          </w:tcPr>
          <w:p>
            <w:pPr>
              <w:spacing w:after="0"/>
              <w:rPr>
                <w:sz w:val="21"/>
                <w:szCs w:val="21"/>
                <w:color w:val="auto"/>
              </w:rPr>
            </w:pPr>
          </w:p>
        </w:tc>
        <w:tc>
          <w:tcPr>
            <w:tcW w:w="6180" w:type="dxa"/>
            <w:vAlign w:val="bottom"/>
            <w:gridSpan w:val="2"/>
          </w:tcPr>
          <w:p>
            <w:pPr>
              <w:ind w:left="160"/>
              <w:spacing w:after="0"/>
              <w:rPr>
                <w:sz w:val="20"/>
                <w:szCs w:val="20"/>
                <w:color w:val="auto"/>
              </w:rPr>
            </w:pPr>
            <w:r>
              <w:rPr>
                <w:rFonts w:ascii="Arial" w:cs="Arial" w:eastAsia="Arial" w:hAnsi="Arial"/>
                <w:sz w:val="18"/>
                <w:szCs w:val="18"/>
                <w:color w:val="auto"/>
              </w:rPr>
              <w:t>Inventory</w:t>
            </w:r>
          </w:p>
        </w:tc>
        <w:tc>
          <w:tcPr>
            <w:tcW w:w="200" w:type="dxa"/>
            <w:vAlign w:val="bottom"/>
          </w:tcPr>
          <w:p>
            <w:pPr>
              <w:spacing w:after="0"/>
              <w:rPr>
                <w:sz w:val="21"/>
                <w:szCs w:val="21"/>
                <w:color w:val="auto"/>
              </w:rPr>
            </w:pPr>
          </w:p>
        </w:tc>
        <w:tc>
          <w:tcPr>
            <w:tcW w:w="1180" w:type="dxa"/>
            <w:vAlign w:val="bottom"/>
          </w:tcPr>
          <w:p>
            <w:pPr>
              <w:jc w:val="right"/>
              <w:ind w:right="12"/>
              <w:spacing w:after="0"/>
              <w:rPr>
                <w:sz w:val="20"/>
                <w:szCs w:val="20"/>
                <w:color w:val="auto"/>
              </w:rPr>
            </w:pPr>
            <w:r>
              <w:rPr>
                <w:rFonts w:ascii="Arial" w:cs="Arial" w:eastAsia="Arial" w:hAnsi="Arial"/>
                <w:sz w:val="18"/>
                <w:szCs w:val="18"/>
                <w:color w:val="auto"/>
              </w:rPr>
              <w:t>6,906,998</w:t>
            </w: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060" w:type="dxa"/>
            <w:vAlign w:val="bottom"/>
          </w:tcPr>
          <w:p>
            <w:pPr>
              <w:jc w:val="right"/>
              <w:ind w:right="51"/>
              <w:spacing w:after="0"/>
              <w:rPr>
                <w:sz w:val="20"/>
                <w:szCs w:val="20"/>
                <w:color w:val="auto"/>
              </w:rPr>
            </w:pPr>
            <w:r>
              <w:rPr>
                <w:rFonts w:ascii="Arial" w:cs="Arial" w:eastAsia="Arial" w:hAnsi="Arial"/>
                <w:sz w:val="18"/>
                <w:szCs w:val="18"/>
                <w:color w:val="auto"/>
              </w:rPr>
              <w:t>725,351</w:t>
            </w:r>
          </w:p>
        </w:tc>
        <w:tc>
          <w:tcPr>
            <w:tcW w:w="360" w:type="dxa"/>
            <w:vAlign w:val="bottom"/>
          </w:tcPr>
          <w:p>
            <w:pPr>
              <w:spacing w:after="0"/>
              <w:rPr>
                <w:sz w:val="21"/>
                <w:szCs w:val="21"/>
                <w:color w:val="auto"/>
              </w:rPr>
            </w:pPr>
          </w:p>
        </w:tc>
        <w:tc>
          <w:tcPr>
            <w:tcW w:w="1400" w:type="dxa"/>
            <w:vAlign w:val="bottom"/>
          </w:tcPr>
          <w:p>
            <w:pPr>
              <w:jc w:val="right"/>
              <w:ind w:right="11"/>
              <w:spacing w:after="0"/>
              <w:rPr>
                <w:sz w:val="20"/>
                <w:szCs w:val="20"/>
                <w:color w:val="auto"/>
              </w:rPr>
            </w:pPr>
            <w:r>
              <w:rPr>
                <w:rFonts w:ascii="Arial" w:cs="Arial" w:eastAsia="Arial" w:hAnsi="Arial"/>
                <w:sz w:val="18"/>
                <w:szCs w:val="18"/>
                <w:color w:val="auto"/>
              </w:rPr>
              <w:t>7,632,349</w:t>
            </w:r>
          </w:p>
        </w:tc>
        <w:tc>
          <w:tcPr>
            <w:tcW w:w="0" w:type="dxa"/>
            <w:vAlign w:val="bottom"/>
          </w:tcPr>
          <w:p>
            <w:pPr>
              <w:spacing w:after="0"/>
              <w:rPr>
                <w:sz w:val="1"/>
                <w:szCs w:val="1"/>
                <w:color w:val="auto"/>
              </w:rPr>
            </w:pPr>
          </w:p>
        </w:tc>
      </w:tr>
      <w:tr>
        <w:trPr>
          <w:trHeight w:val="27"/>
        </w:trPr>
        <w:tc>
          <w:tcPr>
            <w:tcW w:w="400" w:type="dxa"/>
            <w:vAlign w:val="bottom"/>
          </w:tcPr>
          <w:p>
            <w:pPr>
              <w:spacing w:after="0"/>
              <w:rPr>
                <w:sz w:val="2"/>
                <w:szCs w:val="2"/>
                <w:color w:val="auto"/>
              </w:rPr>
            </w:pPr>
          </w:p>
        </w:tc>
        <w:tc>
          <w:tcPr>
            <w:tcW w:w="700" w:type="dxa"/>
            <w:vAlign w:val="bottom"/>
          </w:tcPr>
          <w:p>
            <w:pPr>
              <w:spacing w:after="0"/>
              <w:rPr>
                <w:sz w:val="2"/>
                <w:szCs w:val="2"/>
                <w:color w:val="auto"/>
              </w:rPr>
            </w:pPr>
          </w:p>
        </w:tc>
        <w:tc>
          <w:tcPr>
            <w:tcW w:w="5480" w:type="dxa"/>
            <w:vAlign w:val="bottom"/>
          </w:tcPr>
          <w:p>
            <w:pPr>
              <w:spacing w:after="0"/>
              <w:rPr>
                <w:sz w:val="2"/>
                <w:szCs w:val="2"/>
                <w:color w:val="auto"/>
              </w:rPr>
            </w:pPr>
          </w:p>
        </w:tc>
        <w:tc>
          <w:tcPr>
            <w:tcW w:w="20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060" w:type="dxa"/>
            <w:vAlign w:val="bottom"/>
          </w:tcPr>
          <w:p>
            <w:pPr>
              <w:spacing w:after="0"/>
              <w:rPr>
                <w:sz w:val="2"/>
                <w:szCs w:val="2"/>
                <w:color w:val="auto"/>
              </w:rPr>
            </w:pPr>
          </w:p>
        </w:tc>
        <w:tc>
          <w:tcPr>
            <w:tcW w:w="360" w:type="dxa"/>
            <w:vAlign w:val="bottom"/>
          </w:tcPr>
          <w:p>
            <w:pPr>
              <w:spacing w:after="0"/>
              <w:rPr>
                <w:sz w:val="2"/>
                <w:szCs w:val="2"/>
                <w:color w:val="auto"/>
              </w:rPr>
            </w:pPr>
          </w:p>
        </w:tc>
        <w:tc>
          <w:tcPr>
            <w:tcW w:w="14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400" w:type="dxa"/>
            <w:vAlign w:val="bottom"/>
          </w:tcPr>
          <w:p>
            <w:pPr>
              <w:spacing w:after="0"/>
              <w:rPr>
                <w:sz w:val="23"/>
                <w:szCs w:val="23"/>
                <w:color w:val="auto"/>
              </w:rPr>
            </w:pPr>
          </w:p>
        </w:tc>
        <w:tc>
          <w:tcPr>
            <w:tcW w:w="6180" w:type="dxa"/>
            <w:vAlign w:val="bottom"/>
            <w:tcBorders>
              <w:bottom w:val="single" w:sz="8" w:color="CCEEFF"/>
            </w:tcBorders>
            <w:gridSpan w:val="2"/>
            <w:shd w:val="clear" w:color="auto" w:fill="CCEEFF"/>
          </w:tcPr>
          <w:p>
            <w:pPr>
              <w:ind w:left="160"/>
              <w:spacing w:after="0"/>
              <w:rPr>
                <w:sz w:val="20"/>
                <w:szCs w:val="20"/>
                <w:color w:val="auto"/>
              </w:rPr>
            </w:pPr>
            <w:r>
              <w:rPr>
                <w:rFonts w:ascii="Arial" w:cs="Arial" w:eastAsia="Arial" w:hAnsi="Arial"/>
                <w:sz w:val="18"/>
                <w:szCs w:val="18"/>
                <w:color w:val="auto"/>
              </w:rPr>
              <w:t>Prepaid expenses and other current assets</w:t>
            </w:r>
          </w:p>
        </w:tc>
        <w:tc>
          <w:tcPr>
            <w:tcW w:w="200" w:type="dxa"/>
            <w:vAlign w:val="bottom"/>
            <w:tcBorders>
              <w:bottom w:val="single" w:sz="8" w:color="CCEEFF"/>
            </w:tcBorders>
            <w:shd w:val="clear" w:color="auto" w:fill="CCEEFF"/>
          </w:tcPr>
          <w:p>
            <w:pPr>
              <w:spacing w:after="0"/>
              <w:rPr>
                <w:sz w:val="23"/>
                <w:szCs w:val="23"/>
                <w:color w:val="auto"/>
              </w:rPr>
            </w:pPr>
          </w:p>
        </w:tc>
        <w:tc>
          <w:tcPr>
            <w:tcW w:w="118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1,054,984</w:t>
            </w:r>
          </w:p>
        </w:tc>
        <w:tc>
          <w:tcPr>
            <w:tcW w:w="120" w:type="dxa"/>
            <w:vAlign w:val="bottom"/>
            <w:tcBorders>
              <w:bottom w:val="single" w:sz="8" w:color="CCEEFF"/>
            </w:tcBorders>
            <w:shd w:val="clear" w:color="auto" w:fill="CCEEFF"/>
          </w:tcPr>
          <w:p>
            <w:pPr>
              <w:spacing w:after="0"/>
              <w:rPr>
                <w:sz w:val="23"/>
                <w:szCs w:val="23"/>
                <w:color w:val="auto"/>
              </w:rPr>
            </w:pPr>
          </w:p>
        </w:tc>
        <w:tc>
          <w:tcPr>
            <w:tcW w:w="140" w:type="dxa"/>
            <w:vAlign w:val="bottom"/>
            <w:tcBorders>
              <w:bottom w:val="single" w:sz="8" w:color="CCEEFF"/>
            </w:tcBorders>
            <w:shd w:val="clear" w:color="auto" w:fill="CCEEFF"/>
          </w:tcPr>
          <w:p>
            <w:pPr>
              <w:spacing w:after="0"/>
              <w:rPr>
                <w:sz w:val="23"/>
                <w:szCs w:val="23"/>
                <w:color w:val="auto"/>
              </w:rPr>
            </w:pPr>
          </w:p>
        </w:tc>
        <w:tc>
          <w:tcPr>
            <w:tcW w:w="1060" w:type="dxa"/>
            <w:vAlign w:val="bottom"/>
            <w:tcBorders>
              <w:bottom w:val="single" w:sz="8" w:color="CCEEFF"/>
            </w:tcBorders>
            <w:shd w:val="clear" w:color="auto" w:fill="CCEEFF"/>
          </w:tcPr>
          <w:p>
            <w:pPr>
              <w:jc w:val="right"/>
              <w:ind w:right="51"/>
              <w:spacing w:after="0"/>
              <w:rPr>
                <w:sz w:val="20"/>
                <w:szCs w:val="20"/>
                <w:color w:val="auto"/>
              </w:rPr>
            </w:pPr>
            <w:r>
              <w:rPr>
                <w:rFonts w:ascii="Arial" w:cs="Arial" w:eastAsia="Arial" w:hAnsi="Arial"/>
                <w:sz w:val="18"/>
                <w:szCs w:val="18"/>
                <w:color w:val="auto"/>
              </w:rPr>
              <w:t>7,175</w:t>
            </w:r>
          </w:p>
        </w:tc>
        <w:tc>
          <w:tcPr>
            <w:tcW w:w="360" w:type="dxa"/>
            <w:vAlign w:val="bottom"/>
            <w:tcBorders>
              <w:bottom w:val="single" w:sz="8" w:color="CCEEFF"/>
            </w:tcBorders>
            <w:shd w:val="clear" w:color="auto" w:fill="CCEEFF"/>
          </w:tcPr>
          <w:p>
            <w:pPr>
              <w:spacing w:after="0"/>
              <w:rPr>
                <w:sz w:val="23"/>
                <w:szCs w:val="23"/>
                <w:color w:val="auto"/>
              </w:rPr>
            </w:pPr>
          </w:p>
        </w:tc>
        <w:tc>
          <w:tcPr>
            <w:tcW w:w="14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1,062,159</w:t>
            </w:r>
          </w:p>
        </w:tc>
        <w:tc>
          <w:tcPr>
            <w:tcW w:w="0" w:type="dxa"/>
            <w:vAlign w:val="bottom"/>
          </w:tcPr>
          <w:p>
            <w:pPr>
              <w:spacing w:after="0"/>
              <w:rPr>
                <w:sz w:val="1"/>
                <w:szCs w:val="1"/>
                <w:color w:val="auto"/>
              </w:rPr>
            </w:pPr>
          </w:p>
        </w:tc>
      </w:tr>
      <w:tr>
        <w:trPr>
          <w:trHeight w:val="237"/>
        </w:trPr>
        <w:tc>
          <w:tcPr>
            <w:tcW w:w="400" w:type="dxa"/>
            <w:vAlign w:val="bottom"/>
          </w:tcPr>
          <w:p>
            <w:pPr>
              <w:spacing w:after="0"/>
              <w:rPr>
                <w:sz w:val="20"/>
                <w:szCs w:val="20"/>
                <w:color w:val="auto"/>
              </w:rPr>
            </w:pPr>
          </w:p>
        </w:tc>
        <w:tc>
          <w:tcPr>
            <w:tcW w:w="6180" w:type="dxa"/>
            <w:vAlign w:val="bottom"/>
            <w:gridSpan w:val="2"/>
          </w:tcPr>
          <w:p>
            <w:pPr>
              <w:ind w:left="380"/>
              <w:spacing w:after="0"/>
              <w:rPr>
                <w:sz w:val="20"/>
                <w:szCs w:val="20"/>
                <w:color w:val="auto"/>
              </w:rPr>
            </w:pPr>
            <w:r>
              <w:rPr>
                <w:rFonts w:ascii="Arial" w:cs="Arial" w:eastAsia="Arial" w:hAnsi="Arial"/>
                <w:sz w:val="18"/>
                <w:szCs w:val="18"/>
                <w:color w:val="auto"/>
              </w:rPr>
              <w:t>Total current assets</w:t>
            </w:r>
          </w:p>
        </w:tc>
        <w:tc>
          <w:tcPr>
            <w:tcW w:w="200" w:type="dxa"/>
            <w:vAlign w:val="bottom"/>
            <w:tcBorders>
              <w:top w:val="single" w:sz="8" w:color="auto"/>
            </w:tcBorders>
          </w:tcPr>
          <w:p>
            <w:pPr>
              <w:spacing w:after="0"/>
              <w:rPr>
                <w:sz w:val="20"/>
                <w:szCs w:val="20"/>
                <w:color w:val="auto"/>
              </w:rPr>
            </w:pPr>
          </w:p>
        </w:tc>
        <w:tc>
          <w:tcPr>
            <w:tcW w:w="1180" w:type="dxa"/>
            <w:vAlign w:val="bottom"/>
            <w:tcBorders>
              <w:top w:val="single" w:sz="8" w:color="auto"/>
            </w:tcBorders>
          </w:tcPr>
          <w:p>
            <w:pPr>
              <w:jc w:val="right"/>
              <w:ind w:right="12"/>
              <w:spacing w:after="0"/>
              <w:rPr>
                <w:sz w:val="20"/>
                <w:szCs w:val="20"/>
                <w:color w:val="auto"/>
              </w:rPr>
            </w:pPr>
            <w:r>
              <w:rPr>
                <w:rFonts w:ascii="Arial" w:cs="Arial" w:eastAsia="Arial" w:hAnsi="Arial"/>
                <w:sz w:val="18"/>
                <w:szCs w:val="18"/>
                <w:color w:val="auto"/>
              </w:rPr>
              <w:t>57,874,157</w:t>
            </w:r>
          </w:p>
        </w:tc>
        <w:tc>
          <w:tcPr>
            <w:tcW w:w="120" w:type="dxa"/>
            <w:vAlign w:val="bottom"/>
          </w:tcPr>
          <w:p>
            <w:pPr>
              <w:spacing w:after="0"/>
              <w:rPr>
                <w:sz w:val="20"/>
                <w:szCs w:val="20"/>
                <w:color w:val="auto"/>
              </w:rPr>
            </w:pPr>
          </w:p>
        </w:tc>
        <w:tc>
          <w:tcPr>
            <w:tcW w:w="140" w:type="dxa"/>
            <w:vAlign w:val="bottom"/>
            <w:tcBorders>
              <w:top w:val="single" w:sz="8" w:color="auto"/>
            </w:tcBorders>
          </w:tcPr>
          <w:p>
            <w:pPr>
              <w:spacing w:after="0"/>
              <w:rPr>
                <w:sz w:val="20"/>
                <w:szCs w:val="20"/>
                <w:color w:val="auto"/>
              </w:rPr>
            </w:pPr>
          </w:p>
        </w:tc>
        <w:tc>
          <w:tcPr>
            <w:tcW w:w="10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(517,025)</w:t>
            </w:r>
          </w:p>
        </w:tc>
        <w:tc>
          <w:tcPr>
            <w:tcW w:w="360" w:type="dxa"/>
            <w:vAlign w:val="bottom"/>
            <w:tcBorders>
              <w:top w:val="single" w:sz="8" w:color="auto"/>
            </w:tcBorders>
          </w:tcPr>
          <w:p>
            <w:pPr>
              <w:spacing w:after="0"/>
              <w:rPr>
                <w:sz w:val="20"/>
                <w:szCs w:val="20"/>
                <w:color w:val="auto"/>
              </w:rPr>
            </w:pPr>
          </w:p>
        </w:tc>
        <w:tc>
          <w:tcPr>
            <w:tcW w:w="140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57,357,132</w:t>
            </w:r>
          </w:p>
        </w:tc>
        <w:tc>
          <w:tcPr>
            <w:tcW w:w="0" w:type="dxa"/>
            <w:vAlign w:val="bottom"/>
          </w:tcPr>
          <w:p>
            <w:pPr>
              <w:spacing w:after="0"/>
              <w:rPr>
                <w:sz w:val="1"/>
                <w:szCs w:val="1"/>
                <w:color w:val="auto"/>
              </w:rPr>
            </w:pPr>
          </w:p>
        </w:tc>
      </w:tr>
      <w:tr>
        <w:trPr>
          <w:trHeight w:val="27"/>
        </w:trPr>
        <w:tc>
          <w:tcPr>
            <w:tcW w:w="400" w:type="dxa"/>
            <w:vAlign w:val="bottom"/>
          </w:tcPr>
          <w:p>
            <w:pPr>
              <w:spacing w:after="0"/>
              <w:rPr>
                <w:sz w:val="2"/>
                <w:szCs w:val="2"/>
                <w:color w:val="auto"/>
              </w:rPr>
            </w:pPr>
          </w:p>
        </w:tc>
        <w:tc>
          <w:tcPr>
            <w:tcW w:w="700" w:type="dxa"/>
            <w:vAlign w:val="bottom"/>
          </w:tcPr>
          <w:p>
            <w:pPr>
              <w:spacing w:after="0"/>
              <w:rPr>
                <w:sz w:val="2"/>
                <w:szCs w:val="2"/>
                <w:color w:val="auto"/>
              </w:rPr>
            </w:pPr>
          </w:p>
        </w:tc>
        <w:tc>
          <w:tcPr>
            <w:tcW w:w="5480" w:type="dxa"/>
            <w:vAlign w:val="bottom"/>
          </w:tcPr>
          <w:p>
            <w:pPr>
              <w:spacing w:after="0"/>
              <w:rPr>
                <w:sz w:val="2"/>
                <w:szCs w:val="2"/>
                <w:color w:val="auto"/>
              </w:rPr>
            </w:pPr>
          </w:p>
        </w:tc>
        <w:tc>
          <w:tcPr>
            <w:tcW w:w="20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060" w:type="dxa"/>
            <w:vAlign w:val="bottom"/>
          </w:tcPr>
          <w:p>
            <w:pPr>
              <w:spacing w:after="0"/>
              <w:rPr>
                <w:sz w:val="2"/>
                <w:szCs w:val="2"/>
                <w:color w:val="auto"/>
              </w:rPr>
            </w:pPr>
          </w:p>
        </w:tc>
        <w:tc>
          <w:tcPr>
            <w:tcW w:w="360" w:type="dxa"/>
            <w:vAlign w:val="bottom"/>
          </w:tcPr>
          <w:p>
            <w:pPr>
              <w:spacing w:after="0"/>
              <w:rPr>
                <w:sz w:val="2"/>
                <w:szCs w:val="2"/>
                <w:color w:val="auto"/>
              </w:rPr>
            </w:pPr>
          </w:p>
        </w:tc>
        <w:tc>
          <w:tcPr>
            <w:tcW w:w="14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400" w:type="dxa"/>
            <w:vAlign w:val="bottom"/>
          </w:tcPr>
          <w:p>
            <w:pPr>
              <w:spacing w:after="0"/>
              <w:rPr>
                <w:sz w:val="21"/>
                <w:szCs w:val="21"/>
                <w:color w:val="auto"/>
              </w:rPr>
            </w:pPr>
          </w:p>
        </w:tc>
        <w:tc>
          <w:tcPr>
            <w:tcW w:w="618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8"/>
                <w:szCs w:val="18"/>
                <w:color w:val="auto"/>
              </w:rPr>
              <w:t>Long-term contract assets</w:t>
            </w:r>
          </w:p>
        </w:tc>
        <w:tc>
          <w:tcPr>
            <w:tcW w:w="20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308,093</w:t>
            </w: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ind w:right="51"/>
              <w:spacing w:after="0"/>
              <w:rPr>
                <w:sz w:val="20"/>
                <w:szCs w:val="20"/>
                <w:color w:val="auto"/>
              </w:rPr>
            </w:pPr>
            <w:r>
              <w:rPr>
                <w:rFonts w:ascii="Arial" w:cs="Arial" w:eastAsia="Arial" w:hAnsi="Arial"/>
                <w:sz w:val="18"/>
                <w:szCs w:val="18"/>
                <w:color w:val="auto"/>
              </w:rPr>
              <w:t>—</w:t>
            </w:r>
          </w:p>
        </w:tc>
        <w:tc>
          <w:tcPr>
            <w:tcW w:w="360" w:type="dxa"/>
            <w:vAlign w:val="bottom"/>
            <w:tcBorders>
              <w:bottom w:val="single" w:sz="8" w:color="CCEEFF"/>
            </w:tcBorders>
            <w:shd w:val="clear" w:color="auto" w:fill="CCEEFF"/>
          </w:tcPr>
          <w:p>
            <w:pPr>
              <w:spacing w:after="0"/>
              <w:rPr>
                <w:sz w:val="21"/>
                <w:szCs w:val="21"/>
                <w:color w:val="auto"/>
              </w:rPr>
            </w:pPr>
          </w:p>
        </w:tc>
        <w:tc>
          <w:tcPr>
            <w:tcW w:w="14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308,093</w:t>
            </w:r>
          </w:p>
        </w:tc>
        <w:tc>
          <w:tcPr>
            <w:tcW w:w="0" w:type="dxa"/>
            <w:vAlign w:val="bottom"/>
          </w:tcPr>
          <w:p>
            <w:pPr>
              <w:spacing w:after="0"/>
              <w:rPr>
                <w:sz w:val="1"/>
                <w:szCs w:val="1"/>
                <w:color w:val="auto"/>
              </w:rPr>
            </w:pPr>
          </w:p>
        </w:tc>
      </w:tr>
      <w:tr>
        <w:trPr>
          <w:trHeight w:val="243"/>
        </w:trPr>
        <w:tc>
          <w:tcPr>
            <w:tcW w:w="400" w:type="dxa"/>
            <w:vAlign w:val="bottom"/>
          </w:tcPr>
          <w:p>
            <w:pPr>
              <w:spacing w:after="0"/>
              <w:rPr>
                <w:sz w:val="21"/>
                <w:szCs w:val="21"/>
                <w:color w:val="auto"/>
              </w:rPr>
            </w:pPr>
          </w:p>
        </w:tc>
        <w:tc>
          <w:tcPr>
            <w:tcW w:w="6180" w:type="dxa"/>
            <w:vAlign w:val="bottom"/>
            <w:gridSpan w:val="2"/>
          </w:tcPr>
          <w:p>
            <w:pPr>
              <w:ind w:left="20"/>
              <w:spacing w:after="0"/>
              <w:rPr>
                <w:sz w:val="20"/>
                <w:szCs w:val="20"/>
                <w:color w:val="auto"/>
              </w:rPr>
            </w:pPr>
            <w:r>
              <w:rPr>
                <w:rFonts w:ascii="Arial" w:cs="Arial" w:eastAsia="Arial" w:hAnsi="Arial"/>
                <w:sz w:val="18"/>
                <w:szCs w:val="18"/>
                <w:color w:val="auto"/>
              </w:rPr>
              <w:t>Property and equipment, net</w:t>
            </w:r>
          </w:p>
        </w:tc>
        <w:tc>
          <w:tcPr>
            <w:tcW w:w="200" w:type="dxa"/>
            <w:vAlign w:val="bottom"/>
          </w:tcPr>
          <w:p>
            <w:pPr>
              <w:spacing w:after="0"/>
              <w:rPr>
                <w:sz w:val="21"/>
                <w:szCs w:val="21"/>
                <w:color w:val="auto"/>
              </w:rPr>
            </w:pPr>
          </w:p>
        </w:tc>
        <w:tc>
          <w:tcPr>
            <w:tcW w:w="1180" w:type="dxa"/>
            <w:vAlign w:val="bottom"/>
          </w:tcPr>
          <w:p>
            <w:pPr>
              <w:jc w:val="right"/>
              <w:ind w:right="12"/>
              <w:spacing w:after="0"/>
              <w:rPr>
                <w:sz w:val="20"/>
                <w:szCs w:val="20"/>
                <w:color w:val="auto"/>
              </w:rPr>
            </w:pPr>
            <w:r>
              <w:rPr>
                <w:rFonts w:ascii="Arial" w:cs="Arial" w:eastAsia="Arial" w:hAnsi="Arial"/>
                <w:sz w:val="18"/>
                <w:szCs w:val="18"/>
                <w:color w:val="auto"/>
              </w:rPr>
              <w:t>3,323,749</w:t>
            </w: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060" w:type="dxa"/>
            <w:vAlign w:val="bottom"/>
          </w:tcPr>
          <w:p>
            <w:pPr>
              <w:jc w:val="right"/>
              <w:ind w:right="51"/>
              <w:spacing w:after="0"/>
              <w:rPr>
                <w:sz w:val="20"/>
                <w:szCs w:val="20"/>
                <w:color w:val="auto"/>
              </w:rPr>
            </w:pPr>
            <w:r>
              <w:rPr>
                <w:rFonts w:ascii="Arial" w:cs="Arial" w:eastAsia="Arial" w:hAnsi="Arial"/>
                <w:sz w:val="18"/>
                <w:szCs w:val="18"/>
                <w:color w:val="auto"/>
              </w:rPr>
              <w:t>—</w:t>
            </w:r>
          </w:p>
        </w:tc>
        <w:tc>
          <w:tcPr>
            <w:tcW w:w="360" w:type="dxa"/>
            <w:vAlign w:val="bottom"/>
          </w:tcPr>
          <w:p>
            <w:pPr>
              <w:spacing w:after="0"/>
              <w:rPr>
                <w:sz w:val="21"/>
                <w:szCs w:val="21"/>
                <w:color w:val="auto"/>
              </w:rPr>
            </w:pPr>
          </w:p>
        </w:tc>
        <w:tc>
          <w:tcPr>
            <w:tcW w:w="1400" w:type="dxa"/>
            <w:vAlign w:val="bottom"/>
          </w:tcPr>
          <w:p>
            <w:pPr>
              <w:jc w:val="right"/>
              <w:ind w:right="11"/>
              <w:spacing w:after="0"/>
              <w:rPr>
                <w:sz w:val="20"/>
                <w:szCs w:val="20"/>
                <w:color w:val="auto"/>
              </w:rPr>
            </w:pPr>
            <w:r>
              <w:rPr>
                <w:rFonts w:ascii="Arial" w:cs="Arial" w:eastAsia="Arial" w:hAnsi="Arial"/>
                <w:sz w:val="18"/>
                <w:szCs w:val="18"/>
                <w:color w:val="auto"/>
              </w:rPr>
              <w:t>3,323,749</w:t>
            </w:r>
          </w:p>
        </w:tc>
        <w:tc>
          <w:tcPr>
            <w:tcW w:w="0" w:type="dxa"/>
            <w:vAlign w:val="bottom"/>
          </w:tcPr>
          <w:p>
            <w:pPr>
              <w:spacing w:after="0"/>
              <w:rPr>
                <w:sz w:val="1"/>
                <w:szCs w:val="1"/>
                <w:color w:val="auto"/>
              </w:rPr>
            </w:pPr>
          </w:p>
        </w:tc>
      </w:tr>
      <w:tr>
        <w:trPr>
          <w:trHeight w:val="27"/>
        </w:trPr>
        <w:tc>
          <w:tcPr>
            <w:tcW w:w="400" w:type="dxa"/>
            <w:vAlign w:val="bottom"/>
          </w:tcPr>
          <w:p>
            <w:pPr>
              <w:spacing w:after="0"/>
              <w:rPr>
                <w:sz w:val="2"/>
                <w:szCs w:val="2"/>
                <w:color w:val="auto"/>
              </w:rPr>
            </w:pPr>
          </w:p>
        </w:tc>
        <w:tc>
          <w:tcPr>
            <w:tcW w:w="700" w:type="dxa"/>
            <w:vAlign w:val="bottom"/>
          </w:tcPr>
          <w:p>
            <w:pPr>
              <w:spacing w:after="0"/>
              <w:rPr>
                <w:sz w:val="2"/>
                <w:szCs w:val="2"/>
                <w:color w:val="auto"/>
              </w:rPr>
            </w:pPr>
          </w:p>
        </w:tc>
        <w:tc>
          <w:tcPr>
            <w:tcW w:w="5480" w:type="dxa"/>
            <w:vAlign w:val="bottom"/>
          </w:tcPr>
          <w:p>
            <w:pPr>
              <w:spacing w:after="0"/>
              <w:rPr>
                <w:sz w:val="2"/>
                <w:szCs w:val="2"/>
                <w:color w:val="auto"/>
              </w:rPr>
            </w:pPr>
          </w:p>
        </w:tc>
        <w:tc>
          <w:tcPr>
            <w:tcW w:w="20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060" w:type="dxa"/>
            <w:vAlign w:val="bottom"/>
          </w:tcPr>
          <w:p>
            <w:pPr>
              <w:spacing w:after="0"/>
              <w:rPr>
                <w:sz w:val="2"/>
                <w:szCs w:val="2"/>
                <w:color w:val="auto"/>
              </w:rPr>
            </w:pPr>
          </w:p>
        </w:tc>
        <w:tc>
          <w:tcPr>
            <w:tcW w:w="360" w:type="dxa"/>
            <w:vAlign w:val="bottom"/>
          </w:tcPr>
          <w:p>
            <w:pPr>
              <w:spacing w:after="0"/>
              <w:rPr>
                <w:sz w:val="2"/>
                <w:szCs w:val="2"/>
                <w:color w:val="auto"/>
              </w:rPr>
            </w:pPr>
          </w:p>
        </w:tc>
        <w:tc>
          <w:tcPr>
            <w:tcW w:w="14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400" w:type="dxa"/>
            <w:vAlign w:val="bottom"/>
          </w:tcPr>
          <w:p>
            <w:pPr>
              <w:spacing w:after="0"/>
              <w:rPr>
                <w:sz w:val="21"/>
                <w:szCs w:val="21"/>
                <w:color w:val="auto"/>
              </w:rPr>
            </w:pPr>
          </w:p>
        </w:tc>
        <w:tc>
          <w:tcPr>
            <w:tcW w:w="618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8"/>
                <w:szCs w:val="18"/>
                <w:color w:val="auto"/>
              </w:rPr>
              <w:t>Intangible assets, net</w:t>
            </w:r>
          </w:p>
        </w:tc>
        <w:tc>
          <w:tcPr>
            <w:tcW w:w="20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3,137,083</w:t>
            </w: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ind w:right="51"/>
              <w:spacing w:after="0"/>
              <w:rPr>
                <w:sz w:val="20"/>
                <w:szCs w:val="20"/>
                <w:color w:val="auto"/>
              </w:rPr>
            </w:pPr>
            <w:r>
              <w:rPr>
                <w:rFonts w:ascii="Arial" w:cs="Arial" w:eastAsia="Arial" w:hAnsi="Arial"/>
                <w:sz w:val="18"/>
                <w:szCs w:val="18"/>
                <w:color w:val="auto"/>
              </w:rPr>
              <w:t>—</w:t>
            </w:r>
          </w:p>
        </w:tc>
        <w:tc>
          <w:tcPr>
            <w:tcW w:w="360" w:type="dxa"/>
            <w:vAlign w:val="bottom"/>
            <w:tcBorders>
              <w:bottom w:val="single" w:sz="8" w:color="CCEEFF"/>
            </w:tcBorders>
            <w:shd w:val="clear" w:color="auto" w:fill="CCEEFF"/>
          </w:tcPr>
          <w:p>
            <w:pPr>
              <w:spacing w:after="0"/>
              <w:rPr>
                <w:sz w:val="21"/>
                <w:szCs w:val="21"/>
                <w:color w:val="auto"/>
              </w:rPr>
            </w:pPr>
          </w:p>
        </w:tc>
        <w:tc>
          <w:tcPr>
            <w:tcW w:w="14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3,137,083</w:t>
            </w:r>
          </w:p>
        </w:tc>
        <w:tc>
          <w:tcPr>
            <w:tcW w:w="0" w:type="dxa"/>
            <w:vAlign w:val="bottom"/>
          </w:tcPr>
          <w:p>
            <w:pPr>
              <w:spacing w:after="0"/>
              <w:rPr>
                <w:sz w:val="1"/>
                <w:szCs w:val="1"/>
                <w:color w:val="auto"/>
              </w:rPr>
            </w:pPr>
          </w:p>
        </w:tc>
      </w:tr>
      <w:tr>
        <w:trPr>
          <w:trHeight w:val="243"/>
        </w:trPr>
        <w:tc>
          <w:tcPr>
            <w:tcW w:w="400" w:type="dxa"/>
            <w:vAlign w:val="bottom"/>
          </w:tcPr>
          <w:p>
            <w:pPr>
              <w:spacing w:after="0"/>
              <w:rPr>
                <w:sz w:val="21"/>
                <w:szCs w:val="21"/>
                <w:color w:val="auto"/>
              </w:rPr>
            </w:pPr>
          </w:p>
        </w:tc>
        <w:tc>
          <w:tcPr>
            <w:tcW w:w="6180" w:type="dxa"/>
            <w:vAlign w:val="bottom"/>
            <w:gridSpan w:val="2"/>
          </w:tcPr>
          <w:p>
            <w:pPr>
              <w:ind w:left="20"/>
              <w:spacing w:after="0"/>
              <w:rPr>
                <w:sz w:val="20"/>
                <w:szCs w:val="20"/>
                <w:color w:val="auto"/>
              </w:rPr>
            </w:pPr>
            <w:r>
              <w:rPr>
                <w:rFonts w:ascii="Arial" w:cs="Arial" w:eastAsia="Arial" w:hAnsi="Arial"/>
                <w:sz w:val="18"/>
                <w:szCs w:val="18"/>
                <w:color w:val="auto"/>
              </w:rPr>
              <w:t>Goodwill</w:t>
            </w:r>
          </w:p>
        </w:tc>
        <w:tc>
          <w:tcPr>
            <w:tcW w:w="200" w:type="dxa"/>
            <w:vAlign w:val="bottom"/>
          </w:tcPr>
          <w:p>
            <w:pPr>
              <w:spacing w:after="0"/>
              <w:rPr>
                <w:sz w:val="21"/>
                <w:szCs w:val="21"/>
                <w:color w:val="auto"/>
              </w:rPr>
            </w:pPr>
          </w:p>
        </w:tc>
        <w:tc>
          <w:tcPr>
            <w:tcW w:w="1180" w:type="dxa"/>
            <w:vAlign w:val="bottom"/>
          </w:tcPr>
          <w:p>
            <w:pPr>
              <w:jc w:val="right"/>
              <w:ind w:right="12"/>
              <w:spacing w:after="0"/>
              <w:rPr>
                <w:sz w:val="20"/>
                <w:szCs w:val="20"/>
                <w:color w:val="auto"/>
              </w:rPr>
            </w:pPr>
            <w:r>
              <w:rPr>
                <w:rFonts w:ascii="Arial" w:cs="Arial" w:eastAsia="Arial" w:hAnsi="Arial"/>
                <w:sz w:val="18"/>
                <w:szCs w:val="18"/>
                <w:color w:val="auto"/>
              </w:rPr>
              <w:t>502,000</w:t>
            </w: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060" w:type="dxa"/>
            <w:vAlign w:val="bottom"/>
          </w:tcPr>
          <w:p>
            <w:pPr>
              <w:jc w:val="right"/>
              <w:ind w:right="51"/>
              <w:spacing w:after="0"/>
              <w:rPr>
                <w:sz w:val="20"/>
                <w:szCs w:val="20"/>
                <w:color w:val="auto"/>
              </w:rPr>
            </w:pPr>
            <w:r>
              <w:rPr>
                <w:rFonts w:ascii="Arial" w:cs="Arial" w:eastAsia="Arial" w:hAnsi="Arial"/>
                <w:sz w:val="18"/>
                <w:szCs w:val="18"/>
                <w:color w:val="auto"/>
              </w:rPr>
              <w:t>—</w:t>
            </w:r>
          </w:p>
        </w:tc>
        <w:tc>
          <w:tcPr>
            <w:tcW w:w="360" w:type="dxa"/>
            <w:vAlign w:val="bottom"/>
          </w:tcPr>
          <w:p>
            <w:pPr>
              <w:spacing w:after="0"/>
              <w:rPr>
                <w:sz w:val="21"/>
                <w:szCs w:val="21"/>
                <w:color w:val="auto"/>
              </w:rPr>
            </w:pPr>
          </w:p>
        </w:tc>
        <w:tc>
          <w:tcPr>
            <w:tcW w:w="1400" w:type="dxa"/>
            <w:vAlign w:val="bottom"/>
          </w:tcPr>
          <w:p>
            <w:pPr>
              <w:jc w:val="right"/>
              <w:ind w:right="11"/>
              <w:spacing w:after="0"/>
              <w:rPr>
                <w:sz w:val="20"/>
                <w:szCs w:val="20"/>
                <w:color w:val="auto"/>
              </w:rPr>
            </w:pPr>
            <w:r>
              <w:rPr>
                <w:rFonts w:ascii="Arial" w:cs="Arial" w:eastAsia="Arial" w:hAnsi="Arial"/>
                <w:sz w:val="18"/>
                <w:szCs w:val="18"/>
                <w:color w:val="auto"/>
              </w:rPr>
              <w:t>502,000</w:t>
            </w:r>
          </w:p>
        </w:tc>
        <w:tc>
          <w:tcPr>
            <w:tcW w:w="0" w:type="dxa"/>
            <w:vAlign w:val="bottom"/>
          </w:tcPr>
          <w:p>
            <w:pPr>
              <w:spacing w:after="0"/>
              <w:rPr>
                <w:sz w:val="1"/>
                <w:szCs w:val="1"/>
                <w:color w:val="auto"/>
              </w:rPr>
            </w:pPr>
          </w:p>
        </w:tc>
      </w:tr>
      <w:tr>
        <w:trPr>
          <w:trHeight w:val="27"/>
        </w:trPr>
        <w:tc>
          <w:tcPr>
            <w:tcW w:w="400" w:type="dxa"/>
            <w:vAlign w:val="bottom"/>
          </w:tcPr>
          <w:p>
            <w:pPr>
              <w:spacing w:after="0"/>
              <w:rPr>
                <w:sz w:val="2"/>
                <w:szCs w:val="2"/>
                <w:color w:val="auto"/>
              </w:rPr>
            </w:pPr>
          </w:p>
        </w:tc>
        <w:tc>
          <w:tcPr>
            <w:tcW w:w="700" w:type="dxa"/>
            <w:vAlign w:val="bottom"/>
          </w:tcPr>
          <w:p>
            <w:pPr>
              <w:spacing w:after="0"/>
              <w:rPr>
                <w:sz w:val="2"/>
                <w:szCs w:val="2"/>
                <w:color w:val="auto"/>
              </w:rPr>
            </w:pPr>
          </w:p>
        </w:tc>
        <w:tc>
          <w:tcPr>
            <w:tcW w:w="5480" w:type="dxa"/>
            <w:vAlign w:val="bottom"/>
          </w:tcPr>
          <w:p>
            <w:pPr>
              <w:spacing w:after="0"/>
              <w:rPr>
                <w:sz w:val="2"/>
                <w:szCs w:val="2"/>
                <w:color w:val="auto"/>
              </w:rPr>
            </w:pPr>
          </w:p>
        </w:tc>
        <w:tc>
          <w:tcPr>
            <w:tcW w:w="20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060" w:type="dxa"/>
            <w:vAlign w:val="bottom"/>
          </w:tcPr>
          <w:p>
            <w:pPr>
              <w:spacing w:after="0"/>
              <w:rPr>
                <w:sz w:val="2"/>
                <w:szCs w:val="2"/>
                <w:color w:val="auto"/>
              </w:rPr>
            </w:pPr>
          </w:p>
        </w:tc>
        <w:tc>
          <w:tcPr>
            <w:tcW w:w="360" w:type="dxa"/>
            <w:vAlign w:val="bottom"/>
          </w:tcPr>
          <w:p>
            <w:pPr>
              <w:spacing w:after="0"/>
              <w:rPr>
                <w:sz w:val="2"/>
                <w:szCs w:val="2"/>
                <w:color w:val="auto"/>
              </w:rPr>
            </w:pPr>
          </w:p>
        </w:tc>
        <w:tc>
          <w:tcPr>
            <w:tcW w:w="14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400" w:type="dxa"/>
            <w:vAlign w:val="bottom"/>
          </w:tcPr>
          <w:p>
            <w:pPr>
              <w:spacing w:after="0"/>
              <w:rPr>
                <w:sz w:val="23"/>
                <w:szCs w:val="23"/>
                <w:color w:val="auto"/>
              </w:rPr>
            </w:pPr>
          </w:p>
        </w:tc>
        <w:tc>
          <w:tcPr>
            <w:tcW w:w="618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8"/>
                <w:szCs w:val="18"/>
                <w:color w:val="auto"/>
              </w:rPr>
              <w:t>Other assets</w:t>
            </w:r>
          </w:p>
        </w:tc>
        <w:tc>
          <w:tcPr>
            <w:tcW w:w="200" w:type="dxa"/>
            <w:vAlign w:val="bottom"/>
            <w:tcBorders>
              <w:bottom w:val="single" w:sz="8" w:color="CCEEFF"/>
            </w:tcBorders>
            <w:shd w:val="clear" w:color="auto" w:fill="CCEEFF"/>
          </w:tcPr>
          <w:p>
            <w:pPr>
              <w:spacing w:after="0"/>
              <w:rPr>
                <w:sz w:val="23"/>
                <w:szCs w:val="23"/>
                <w:color w:val="auto"/>
              </w:rPr>
            </w:pPr>
          </w:p>
        </w:tc>
        <w:tc>
          <w:tcPr>
            <w:tcW w:w="118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18,024</w:t>
            </w:r>
          </w:p>
        </w:tc>
        <w:tc>
          <w:tcPr>
            <w:tcW w:w="120" w:type="dxa"/>
            <w:vAlign w:val="bottom"/>
            <w:tcBorders>
              <w:bottom w:val="single" w:sz="8" w:color="CCEEFF"/>
            </w:tcBorders>
            <w:shd w:val="clear" w:color="auto" w:fill="CCEEFF"/>
          </w:tcPr>
          <w:p>
            <w:pPr>
              <w:spacing w:after="0"/>
              <w:rPr>
                <w:sz w:val="23"/>
                <w:szCs w:val="23"/>
                <w:color w:val="auto"/>
              </w:rPr>
            </w:pPr>
          </w:p>
        </w:tc>
        <w:tc>
          <w:tcPr>
            <w:tcW w:w="140" w:type="dxa"/>
            <w:vAlign w:val="bottom"/>
            <w:tcBorders>
              <w:bottom w:val="single" w:sz="8" w:color="CCEEFF"/>
            </w:tcBorders>
            <w:shd w:val="clear" w:color="auto" w:fill="CCEEFF"/>
          </w:tcPr>
          <w:p>
            <w:pPr>
              <w:spacing w:after="0"/>
              <w:rPr>
                <w:sz w:val="23"/>
                <w:szCs w:val="23"/>
                <w:color w:val="auto"/>
              </w:rPr>
            </w:pPr>
          </w:p>
        </w:tc>
        <w:tc>
          <w:tcPr>
            <w:tcW w:w="1060" w:type="dxa"/>
            <w:vAlign w:val="bottom"/>
            <w:tcBorders>
              <w:bottom w:val="single" w:sz="8" w:color="CCEEFF"/>
            </w:tcBorders>
            <w:shd w:val="clear" w:color="auto" w:fill="CCEEFF"/>
          </w:tcPr>
          <w:p>
            <w:pPr>
              <w:jc w:val="right"/>
              <w:ind w:right="51"/>
              <w:spacing w:after="0"/>
              <w:rPr>
                <w:sz w:val="20"/>
                <w:szCs w:val="20"/>
                <w:color w:val="auto"/>
              </w:rPr>
            </w:pPr>
            <w:r>
              <w:rPr>
                <w:rFonts w:ascii="Arial" w:cs="Arial" w:eastAsia="Arial" w:hAnsi="Arial"/>
                <w:sz w:val="18"/>
                <w:szCs w:val="18"/>
                <w:color w:val="auto"/>
              </w:rPr>
              <w:t>—</w:t>
            </w:r>
          </w:p>
        </w:tc>
        <w:tc>
          <w:tcPr>
            <w:tcW w:w="360" w:type="dxa"/>
            <w:vAlign w:val="bottom"/>
            <w:tcBorders>
              <w:bottom w:val="single" w:sz="8" w:color="CCEEFF"/>
            </w:tcBorders>
            <w:shd w:val="clear" w:color="auto" w:fill="CCEEFF"/>
          </w:tcPr>
          <w:p>
            <w:pPr>
              <w:spacing w:after="0"/>
              <w:rPr>
                <w:sz w:val="23"/>
                <w:szCs w:val="23"/>
                <w:color w:val="auto"/>
              </w:rPr>
            </w:pPr>
          </w:p>
        </w:tc>
        <w:tc>
          <w:tcPr>
            <w:tcW w:w="14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18,024</w:t>
            </w:r>
          </w:p>
        </w:tc>
        <w:tc>
          <w:tcPr>
            <w:tcW w:w="0" w:type="dxa"/>
            <w:vAlign w:val="bottom"/>
          </w:tcPr>
          <w:p>
            <w:pPr>
              <w:spacing w:after="0"/>
              <w:rPr>
                <w:sz w:val="1"/>
                <w:szCs w:val="1"/>
                <w:color w:val="auto"/>
              </w:rPr>
            </w:pPr>
          </w:p>
        </w:tc>
      </w:tr>
      <w:tr>
        <w:trPr>
          <w:trHeight w:val="237"/>
        </w:trPr>
        <w:tc>
          <w:tcPr>
            <w:tcW w:w="400" w:type="dxa"/>
            <w:vAlign w:val="bottom"/>
          </w:tcPr>
          <w:p>
            <w:pPr>
              <w:spacing w:after="0"/>
              <w:rPr>
                <w:sz w:val="20"/>
                <w:szCs w:val="20"/>
                <w:color w:val="auto"/>
              </w:rPr>
            </w:pPr>
          </w:p>
        </w:tc>
        <w:tc>
          <w:tcPr>
            <w:tcW w:w="6180" w:type="dxa"/>
            <w:vAlign w:val="bottom"/>
            <w:gridSpan w:val="2"/>
          </w:tcPr>
          <w:p>
            <w:pPr>
              <w:ind w:left="580"/>
              <w:spacing w:after="0"/>
              <w:rPr>
                <w:sz w:val="20"/>
                <w:szCs w:val="20"/>
                <w:color w:val="auto"/>
              </w:rPr>
            </w:pPr>
            <w:r>
              <w:rPr>
                <w:rFonts w:ascii="Arial" w:cs="Arial" w:eastAsia="Arial" w:hAnsi="Arial"/>
                <w:sz w:val="18"/>
                <w:szCs w:val="18"/>
                <w:b w:val="1"/>
                <w:bCs w:val="1"/>
                <w:color w:val="auto"/>
              </w:rPr>
              <w:t>Total assets</w:t>
            </w:r>
          </w:p>
        </w:tc>
        <w:tc>
          <w:tcPr>
            <w:tcW w:w="2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180" w:type="dxa"/>
            <w:vAlign w:val="bottom"/>
            <w:tcBorders>
              <w:top w:val="single" w:sz="8" w:color="auto"/>
            </w:tcBorders>
          </w:tcPr>
          <w:p>
            <w:pPr>
              <w:jc w:val="right"/>
              <w:ind w:right="12"/>
              <w:spacing w:after="0"/>
              <w:rPr>
                <w:sz w:val="20"/>
                <w:szCs w:val="20"/>
                <w:color w:val="auto"/>
              </w:rPr>
            </w:pPr>
            <w:r>
              <w:rPr>
                <w:rFonts w:ascii="Arial" w:cs="Arial" w:eastAsia="Arial" w:hAnsi="Arial"/>
                <w:sz w:val="18"/>
                <w:szCs w:val="18"/>
                <w:color w:val="auto"/>
              </w:rPr>
              <w:t>65,163,106</w:t>
            </w:r>
          </w:p>
        </w:tc>
        <w:tc>
          <w:tcPr>
            <w:tcW w:w="120" w:type="dxa"/>
            <w:vAlign w:val="bottom"/>
          </w:tcPr>
          <w:p>
            <w:pPr>
              <w:spacing w:after="0"/>
              <w:rPr>
                <w:sz w:val="20"/>
                <w:szCs w:val="20"/>
                <w:color w:val="auto"/>
              </w:rPr>
            </w:pPr>
          </w:p>
        </w:tc>
        <w:tc>
          <w:tcPr>
            <w:tcW w:w="1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10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(517,025)</w:t>
            </w:r>
          </w:p>
        </w:tc>
        <w:tc>
          <w:tcPr>
            <w:tcW w:w="360" w:type="dxa"/>
            <w:vAlign w:val="bottom"/>
            <w:tcBorders>
              <w:top w:val="single" w:sz="8" w:color="auto"/>
            </w:tcBorders>
          </w:tcPr>
          <w:p>
            <w:pPr>
              <w:ind w:left="80"/>
              <w:spacing w:after="0"/>
              <w:rPr>
                <w:sz w:val="20"/>
                <w:szCs w:val="20"/>
                <w:color w:val="auto"/>
              </w:rPr>
            </w:pPr>
            <w:r>
              <w:rPr>
                <w:rFonts w:ascii="Arial" w:cs="Arial" w:eastAsia="Arial" w:hAnsi="Arial"/>
                <w:sz w:val="18"/>
                <w:szCs w:val="18"/>
                <w:color w:val="auto"/>
              </w:rPr>
              <w:t>$</w:t>
            </w:r>
          </w:p>
        </w:tc>
        <w:tc>
          <w:tcPr>
            <w:tcW w:w="140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64,646,081</w:t>
            </w:r>
          </w:p>
        </w:tc>
        <w:tc>
          <w:tcPr>
            <w:tcW w:w="0" w:type="dxa"/>
            <w:vAlign w:val="bottom"/>
          </w:tcPr>
          <w:p>
            <w:pPr>
              <w:spacing w:after="0"/>
              <w:rPr>
                <w:sz w:val="1"/>
                <w:szCs w:val="1"/>
                <w:color w:val="auto"/>
              </w:rPr>
            </w:pPr>
          </w:p>
        </w:tc>
      </w:tr>
      <w:tr>
        <w:trPr>
          <w:trHeight w:val="67"/>
        </w:trPr>
        <w:tc>
          <w:tcPr>
            <w:tcW w:w="400" w:type="dxa"/>
            <w:vAlign w:val="bottom"/>
          </w:tcPr>
          <w:p>
            <w:pPr>
              <w:spacing w:after="0"/>
              <w:rPr>
                <w:sz w:val="5"/>
                <w:szCs w:val="5"/>
                <w:color w:val="auto"/>
              </w:rPr>
            </w:pPr>
          </w:p>
        </w:tc>
        <w:tc>
          <w:tcPr>
            <w:tcW w:w="700" w:type="dxa"/>
            <w:vAlign w:val="bottom"/>
            <w:tcBorders>
              <w:bottom w:val="single" w:sz="8" w:color="CCEEFF"/>
            </w:tcBorders>
          </w:tcPr>
          <w:p>
            <w:pPr>
              <w:spacing w:after="0"/>
              <w:rPr>
                <w:sz w:val="5"/>
                <w:szCs w:val="5"/>
                <w:color w:val="auto"/>
              </w:rPr>
            </w:pPr>
          </w:p>
        </w:tc>
        <w:tc>
          <w:tcPr>
            <w:tcW w:w="5480" w:type="dxa"/>
            <w:vAlign w:val="bottom"/>
            <w:tcBorders>
              <w:bottom w:val="single" w:sz="8" w:color="CCEEFF"/>
            </w:tcBorders>
          </w:tcPr>
          <w:p>
            <w:pPr>
              <w:spacing w:after="0"/>
              <w:rPr>
                <w:sz w:val="5"/>
                <w:szCs w:val="5"/>
                <w:color w:val="auto"/>
              </w:rPr>
            </w:pPr>
          </w:p>
        </w:tc>
        <w:tc>
          <w:tcPr>
            <w:tcW w:w="200" w:type="dxa"/>
            <w:vAlign w:val="bottom"/>
            <w:tcBorders>
              <w:bottom w:val="single" w:sz="8" w:color="auto"/>
            </w:tcBorders>
          </w:tcPr>
          <w:p>
            <w:pPr>
              <w:spacing w:after="0"/>
              <w:rPr>
                <w:sz w:val="5"/>
                <w:szCs w:val="5"/>
                <w:color w:val="auto"/>
              </w:rPr>
            </w:pPr>
          </w:p>
        </w:tc>
        <w:tc>
          <w:tcPr>
            <w:tcW w:w="1180" w:type="dxa"/>
            <w:vAlign w:val="bottom"/>
            <w:tcBorders>
              <w:bottom w:val="single" w:sz="8" w:color="auto"/>
            </w:tcBorders>
          </w:tcPr>
          <w:p>
            <w:pPr>
              <w:spacing w:after="0"/>
              <w:rPr>
                <w:sz w:val="5"/>
                <w:szCs w:val="5"/>
                <w:color w:val="auto"/>
              </w:rPr>
            </w:pPr>
          </w:p>
        </w:tc>
        <w:tc>
          <w:tcPr>
            <w:tcW w:w="120" w:type="dxa"/>
            <w:vAlign w:val="bottom"/>
            <w:tcBorders>
              <w:bottom w:val="single" w:sz="8" w:color="CCEEFF"/>
            </w:tcBorders>
          </w:tcPr>
          <w:p>
            <w:pPr>
              <w:spacing w:after="0"/>
              <w:rPr>
                <w:sz w:val="5"/>
                <w:szCs w:val="5"/>
                <w:color w:val="auto"/>
              </w:rPr>
            </w:pPr>
          </w:p>
        </w:tc>
        <w:tc>
          <w:tcPr>
            <w:tcW w:w="140" w:type="dxa"/>
            <w:vAlign w:val="bottom"/>
            <w:tcBorders>
              <w:bottom w:val="single" w:sz="8" w:color="auto"/>
            </w:tcBorders>
          </w:tcPr>
          <w:p>
            <w:pPr>
              <w:spacing w:after="0"/>
              <w:rPr>
                <w:sz w:val="5"/>
                <w:szCs w:val="5"/>
                <w:color w:val="auto"/>
              </w:rPr>
            </w:pPr>
          </w:p>
        </w:tc>
        <w:tc>
          <w:tcPr>
            <w:tcW w:w="1060" w:type="dxa"/>
            <w:vAlign w:val="bottom"/>
            <w:tcBorders>
              <w:bottom w:val="single" w:sz="8" w:color="auto"/>
            </w:tcBorders>
          </w:tcPr>
          <w:p>
            <w:pPr>
              <w:spacing w:after="0"/>
              <w:rPr>
                <w:sz w:val="5"/>
                <w:szCs w:val="5"/>
                <w:color w:val="auto"/>
              </w:rPr>
            </w:pPr>
          </w:p>
        </w:tc>
        <w:tc>
          <w:tcPr>
            <w:tcW w:w="360" w:type="dxa"/>
            <w:vAlign w:val="bottom"/>
            <w:tcBorders>
              <w:bottom w:val="single" w:sz="8" w:color="auto"/>
            </w:tcBorders>
          </w:tcPr>
          <w:p>
            <w:pPr>
              <w:spacing w:after="0"/>
              <w:rPr>
                <w:sz w:val="5"/>
                <w:szCs w:val="5"/>
                <w:color w:val="auto"/>
              </w:rPr>
            </w:pPr>
          </w:p>
        </w:tc>
        <w:tc>
          <w:tcPr>
            <w:tcW w:w="1400" w:type="dxa"/>
            <w:vAlign w:val="bottom"/>
            <w:tcBorders>
              <w:bottom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31"/>
        </w:trPr>
        <w:tc>
          <w:tcPr>
            <w:tcW w:w="400" w:type="dxa"/>
            <w:vAlign w:val="bottom"/>
          </w:tcPr>
          <w:p>
            <w:pPr>
              <w:spacing w:after="0"/>
              <w:rPr>
                <w:sz w:val="20"/>
                <w:szCs w:val="20"/>
                <w:color w:val="auto"/>
              </w:rPr>
            </w:pPr>
          </w:p>
        </w:tc>
        <w:tc>
          <w:tcPr>
            <w:tcW w:w="700" w:type="dxa"/>
            <w:vAlign w:val="bottom"/>
            <w:tcBorders>
              <w:bottom w:val="single" w:sz="8" w:color="CCEEFF"/>
            </w:tcBorders>
            <w:shd w:val="clear" w:color="auto" w:fill="CCEEFF"/>
          </w:tcPr>
          <w:p>
            <w:pPr>
              <w:spacing w:after="0"/>
              <w:rPr>
                <w:sz w:val="20"/>
                <w:szCs w:val="20"/>
                <w:color w:val="auto"/>
              </w:rPr>
            </w:pPr>
          </w:p>
        </w:tc>
        <w:tc>
          <w:tcPr>
            <w:tcW w:w="5480" w:type="dxa"/>
            <w:vAlign w:val="bottom"/>
            <w:tcBorders>
              <w:bottom w:val="single" w:sz="8" w:color="CCEEFF"/>
            </w:tcBorders>
            <w:shd w:val="clear" w:color="auto" w:fill="CCEEFF"/>
          </w:tcPr>
          <w:p>
            <w:pPr>
              <w:jc w:val="center"/>
              <w:ind w:right="610"/>
              <w:spacing w:after="0" w:line="196" w:lineRule="exact"/>
              <w:rPr>
                <w:sz w:val="20"/>
                <w:szCs w:val="20"/>
                <w:color w:val="auto"/>
              </w:rPr>
            </w:pPr>
            <w:r>
              <w:rPr>
                <w:rFonts w:ascii="Arial" w:cs="Arial" w:eastAsia="Arial" w:hAnsi="Arial"/>
                <w:sz w:val="18"/>
                <w:szCs w:val="18"/>
                <w:b w:val="1"/>
                <w:bCs w:val="1"/>
                <w:color w:val="auto"/>
                <w:w w:val="89"/>
              </w:rPr>
              <w:t>Liabilities and stockholders’ equity</w:t>
            </w:r>
          </w:p>
        </w:tc>
        <w:tc>
          <w:tcPr>
            <w:tcW w:w="200" w:type="dxa"/>
            <w:vAlign w:val="bottom"/>
            <w:tcBorders>
              <w:bottom w:val="single" w:sz="8" w:color="CCEEFF"/>
            </w:tcBorders>
            <w:shd w:val="clear" w:color="auto" w:fill="CCEEFF"/>
          </w:tcPr>
          <w:p>
            <w:pPr>
              <w:spacing w:after="0"/>
              <w:rPr>
                <w:sz w:val="20"/>
                <w:szCs w:val="20"/>
                <w:color w:val="auto"/>
              </w:rPr>
            </w:pPr>
          </w:p>
        </w:tc>
        <w:tc>
          <w:tcPr>
            <w:tcW w:w="1180" w:type="dxa"/>
            <w:vAlign w:val="bottom"/>
            <w:tcBorders>
              <w:bottom w:val="single" w:sz="8" w:color="CCEEFF"/>
            </w:tcBorders>
            <w:shd w:val="clear" w:color="auto" w:fill="CCEEFF"/>
          </w:tcPr>
          <w:p>
            <w:pPr>
              <w:spacing w:after="0"/>
              <w:rPr>
                <w:sz w:val="20"/>
                <w:szCs w:val="20"/>
                <w:color w:val="auto"/>
              </w:rPr>
            </w:pPr>
          </w:p>
        </w:tc>
        <w:tc>
          <w:tcPr>
            <w:tcW w:w="120" w:type="dxa"/>
            <w:vAlign w:val="bottom"/>
            <w:tcBorders>
              <w:bottom w:val="single" w:sz="8" w:color="CCEEFF"/>
            </w:tcBorders>
            <w:shd w:val="clear" w:color="auto" w:fill="CCEEFF"/>
          </w:tcPr>
          <w:p>
            <w:pPr>
              <w:spacing w:after="0"/>
              <w:rPr>
                <w:sz w:val="20"/>
                <w:szCs w:val="20"/>
                <w:color w:val="auto"/>
              </w:rPr>
            </w:pPr>
          </w:p>
        </w:tc>
        <w:tc>
          <w:tcPr>
            <w:tcW w:w="140" w:type="dxa"/>
            <w:vAlign w:val="bottom"/>
            <w:tcBorders>
              <w:bottom w:val="single" w:sz="8" w:color="CCEEFF"/>
            </w:tcBorders>
            <w:shd w:val="clear" w:color="auto" w:fill="CCEEFF"/>
          </w:tcPr>
          <w:p>
            <w:pPr>
              <w:spacing w:after="0"/>
              <w:rPr>
                <w:sz w:val="20"/>
                <w:szCs w:val="20"/>
                <w:color w:val="auto"/>
              </w:rPr>
            </w:pPr>
          </w:p>
        </w:tc>
        <w:tc>
          <w:tcPr>
            <w:tcW w:w="1060" w:type="dxa"/>
            <w:vAlign w:val="bottom"/>
            <w:tcBorders>
              <w:bottom w:val="single" w:sz="8" w:color="CCEEFF"/>
            </w:tcBorders>
            <w:shd w:val="clear" w:color="auto" w:fill="CCEEFF"/>
          </w:tcPr>
          <w:p>
            <w:pPr>
              <w:spacing w:after="0"/>
              <w:rPr>
                <w:sz w:val="20"/>
                <w:szCs w:val="20"/>
                <w:color w:val="auto"/>
              </w:rPr>
            </w:pPr>
          </w:p>
        </w:tc>
        <w:tc>
          <w:tcPr>
            <w:tcW w:w="360" w:type="dxa"/>
            <w:vAlign w:val="bottom"/>
            <w:tcBorders>
              <w:bottom w:val="single" w:sz="8" w:color="CCEEFF"/>
            </w:tcBorders>
            <w:shd w:val="clear" w:color="auto" w:fill="CCEEFF"/>
          </w:tcPr>
          <w:p>
            <w:pPr>
              <w:spacing w:after="0"/>
              <w:rPr>
                <w:sz w:val="20"/>
                <w:szCs w:val="20"/>
                <w:color w:val="auto"/>
              </w:rPr>
            </w:pPr>
          </w:p>
        </w:tc>
        <w:tc>
          <w:tcPr>
            <w:tcW w:w="1400" w:type="dxa"/>
            <w:vAlign w:val="bottom"/>
            <w:tcBorders>
              <w:bottom w:val="single" w:sz="8" w:color="CCEEFF"/>
            </w:tcBorders>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243"/>
        </w:trPr>
        <w:tc>
          <w:tcPr>
            <w:tcW w:w="400" w:type="dxa"/>
            <w:vAlign w:val="bottom"/>
          </w:tcPr>
          <w:p>
            <w:pPr>
              <w:spacing w:after="0"/>
              <w:rPr>
                <w:sz w:val="21"/>
                <w:szCs w:val="21"/>
                <w:color w:val="auto"/>
              </w:rPr>
            </w:pPr>
          </w:p>
        </w:tc>
        <w:tc>
          <w:tcPr>
            <w:tcW w:w="6180" w:type="dxa"/>
            <w:vAlign w:val="bottom"/>
            <w:gridSpan w:val="2"/>
          </w:tcPr>
          <w:p>
            <w:pPr>
              <w:ind w:left="20"/>
              <w:spacing w:after="0"/>
              <w:rPr>
                <w:sz w:val="20"/>
                <w:szCs w:val="20"/>
                <w:color w:val="auto"/>
              </w:rPr>
            </w:pPr>
            <w:r>
              <w:rPr>
                <w:rFonts w:ascii="Arial" w:cs="Arial" w:eastAsia="Arial" w:hAnsi="Arial"/>
                <w:sz w:val="18"/>
                <w:szCs w:val="18"/>
                <w:color w:val="auto"/>
              </w:rPr>
              <w:t>Liabilities:</w:t>
            </w:r>
          </w:p>
        </w:tc>
        <w:tc>
          <w:tcPr>
            <w:tcW w:w="200" w:type="dxa"/>
            <w:vAlign w:val="bottom"/>
          </w:tcPr>
          <w:p>
            <w:pPr>
              <w:spacing w:after="0"/>
              <w:rPr>
                <w:sz w:val="21"/>
                <w:szCs w:val="21"/>
                <w:color w:val="auto"/>
              </w:rPr>
            </w:pPr>
          </w:p>
        </w:tc>
        <w:tc>
          <w:tcPr>
            <w:tcW w:w="118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06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4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400" w:type="dxa"/>
            <w:vAlign w:val="bottom"/>
          </w:tcPr>
          <w:p>
            <w:pPr>
              <w:spacing w:after="0"/>
              <w:rPr>
                <w:sz w:val="2"/>
                <w:szCs w:val="2"/>
                <w:color w:val="auto"/>
              </w:rPr>
            </w:pPr>
          </w:p>
        </w:tc>
        <w:tc>
          <w:tcPr>
            <w:tcW w:w="700" w:type="dxa"/>
            <w:vAlign w:val="bottom"/>
          </w:tcPr>
          <w:p>
            <w:pPr>
              <w:spacing w:after="0"/>
              <w:rPr>
                <w:sz w:val="2"/>
                <w:szCs w:val="2"/>
                <w:color w:val="auto"/>
              </w:rPr>
            </w:pPr>
          </w:p>
        </w:tc>
        <w:tc>
          <w:tcPr>
            <w:tcW w:w="5480" w:type="dxa"/>
            <w:vAlign w:val="bottom"/>
          </w:tcPr>
          <w:p>
            <w:pPr>
              <w:spacing w:after="0"/>
              <w:rPr>
                <w:sz w:val="2"/>
                <w:szCs w:val="2"/>
                <w:color w:val="auto"/>
              </w:rPr>
            </w:pPr>
          </w:p>
        </w:tc>
        <w:tc>
          <w:tcPr>
            <w:tcW w:w="20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060" w:type="dxa"/>
            <w:vAlign w:val="bottom"/>
          </w:tcPr>
          <w:p>
            <w:pPr>
              <w:spacing w:after="0"/>
              <w:rPr>
                <w:sz w:val="2"/>
                <w:szCs w:val="2"/>
                <w:color w:val="auto"/>
              </w:rPr>
            </w:pPr>
          </w:p>
        </w:tc>
        <w:tc>
          <w:tcPr>
            <w:tcW w:w="360" w:type="dxa"/>
            <w:vAlign w:val="bottom"/>
          </w:tcPr>
          <w:p>
            <w:pPr>
              <w:spacing w:after="0"/>
              <w:rPr>
                <w:sz w:val="2"/>
                <w:szCs w:val="2"/>
                <w:color w:val="auto"/>
              </w:rPr>
            </w:pPr>
          </w:p>
        </w:tc>
        <w:tc>
          <w:tcPr>
            <w:tcW w:w="14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400" w:type="dxa"/>
            <w:vAlign w:val="bottom"/>
          </w:tcPr>
          <w:p>
            <w:pPr>
              <w:spacing w:after="0"/>
              <w:rPr>
                <w:sz w:val="21"/>
                <w:szCs w:val="21"/>
                <w:color w:val="auto"/>
              </w:rPr>
            </w:pPr>
          </w:p>
        </w:tc>
        <w:tc>
          <w:tcPr>
            <w:tcW w:w="618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8"/>
                <w:szCs w:val="18"/>
                <w:color w:val="auto"/>
              </w:rPr>
              <w:t>Current liabilities:</w:t>
            </w:r>
          </w:p>
        </w:tc>
        <w:tc>
          <w:tcPr>
            <w:tcW w:w="20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40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400" w:type="dxa"/>
            <w:vAlign w:val="bottom"/>
          </w:tcPr>
          <w:p>
            <w:pPr>
              <w:spacing w:after="0"/>
              <w:rPr>
                <w:sz w:val="21"/>
                <w:szCs w:val="21"/>
                <w:color w:val="auto"/>
              </w:rPr>
            </w:pPr>
          </w:p>
        </w:tc>
        <w:tc>
          <w:tcPr>
            <w:tcW w:w="6180" w:type="dxa"/>
            <w:vAlign w:val="bottom"/>
            <w:gridSpan w:val="2"/>
          </w:tcPr>
          <w:p>
            <w:pPr>
              <w:ind w:left="160"/>
              <w:spacing w:after="0"/>
              <w:rPr>
                <w:sz w:val="20"/>
                <w:szCs w:val="20"/>
                <w:color w:val="auto"/>
              </w:rPr>
            </w:pPr>
            <w:r>
              <w:rPr>
                <w:rFonts w:ascii="Arial" w:cs="Arial" w:eastAsia="Arial" w:hAnsi="Arial"/>
                <w:sz w:val="18"/>
                <w:szCs w:val="18"/>
                <w:color w:val="auto"/>
              </w:rPr>
              <w:t>Current portion of long-term debt obligations</w:t>
            </w:r>
          </w:p>
        </w:tc>
        <w:tc>
          <w:tcPr>
            <w:tcW w:w="20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180" w:type="dxa"/>
            <w:vAlign w:val="bottom"/>
          </w:tcPr>
          <w:p>
            <w:pPr>
              <w:jc w:val="right"/>
              <w:ind w:right="12"/>
              <w:spacing w:after="0"/>
              <w:rPr>
                <w:sz w:val="20"/>
                <w:szCs w:val="20"/>
                <w:color w:val="auto"/>
              </w:rPr>
            </w:pPr>
            <w:r>
              <w:rPr>
                <w:rFonts w:ascii="Arial" w:cs="Arial" w:eastAsia="Arial" w:hAnsi="Arial"/>
                <w:sz w:val="18"/>
                <w:szCs w:val="18"/>
                <w:color w:val="auto"/>
              </w:rPr>
              <w:t>1,527,828</w:t>
            </w:r>
          </w:p>
        </w:tc>
        <w:tc>
          <w:tcPr>
            <w:tcW w:w="120" w:type="dxa"/>
            <w:vAlign w:val="bottom"/>
          </w:tcPr>
          <w:p>
            <w:pPr>
              <w:spacing w:after="0"/>
              <w:rPr>
                <w:sz w:val="21"/>
                <w:szCs w:val="21"/>
                <w:color w:val="auto"/>
              </w:rPr>
            </w:pPr>
          </w:p>
        </w:tc>
        <w:tc>
          <w:tcPr>
            <w:tcW w:w="14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060" w:type="dxa"/>
            <w:vAlign w:val="bottom"/>
          </w:tcPr>
          <w:p>
            <w:pPr>
              <w:jc w:val="right"/>
              <w:ind w:right="51"/>
              <w:spacing w:after="0"/>
              <w:rPr>
                <w:sz w:val="20"/>
                <w:szCs w:val="20"/>
                <w:color w:val="auto"/>
              </w:rPr>
            </w:pPr>
            <w:r>
              <w:rPr>
                <w:rFonts w:ascii="Arial" w:cs="Arial" w:eastAsia="Arial" w:hAnsi="Arial"/>
                <w:sz w:val="18"/>
                <w:szCs w:val="18"/>
                <w:color w:val="auto"/>
              </w:rPr>
              <w:t>—</w:t>
            </w:r>
          </w:p>
        </w:tc>
        <w:tc>
          <w:tcPr>
            <w:tcW w:w="360" w:type="dxa"/>
            <w:vAlign w:val="bottom"/>
          </w:tcPr>
          <w:p>
            <w:pPr>
              <w:ind w:left="80"/>
              <w:spacing w:after="0"/>
              <w:rPr>
                <w:sz w:val="20"/>
                <w:szCs w:val="20"/>
                <w:color w:val="auto"/>
              </w:rPr>
            </w:pPr>
            <w:r>
              <w:rPr>
                <w:rFonts w:ascii="Arial" w:cs="Arial" w:eastAsia="Arial" w:hAnsi="Arial"/>
                <w:sz w:val="18"/>
                <w:szCs w:val="18"/>
                <w:color w:val="auto"/>
              </w:rPr>
              <w:t>$</w:t>
            </w:r>
          </w:p>
        </w:tc>
        <w:tc>
          <w:tcPr>
            <w:tcW w:w="1400" w:type="dxa"/>
            <w:vAlign w:val="bottom"/>
          </w:tcPr>
          <w:p>
            <w:pPr>
              <w:jc w:val="right"/>
              <w:ind w:right="11"/>
              <w:spacing w:after="0"/>
              <w:rPr>
                <w:sz w:val="20"/>
                <w:szCs w:val="20"/>
                <w:color w:val="auto"/>
              </w:rPr>
            </w:pPr>
            <w:r>
              <w:rPr>
                <w:rFonts w:ascii="Arial" w:cs="Arial" w:eastAsia="Arial" w:hAnsi="Arial"/>
                <w:sz w:val="18"/>
                <w:szCs w:val="18"/>
                <w:color w:val="auto"/>
              </w:rPr>
              <w:t>1,527,828</w:t>
            </w:r>
          </w:p>
        </w:tc>
        <w:tc>
          <w:tcPr>
            <w:tcW w:w="0" w:type="dxa"/>
            <w:vAlign w:val="bottom"/>
          </w:tcPr>
          <w:p>
            <w:pPr>
              <w:spacing w:after="0"/>
              <w:rPr>
                <w:sz w:val="1"/>
                <w:szCs w:val="1"/>
                <w:color w:val="auto"/>
              </w:rPr>
            </w:pPr>
          </w:p>
        </w:tc>
      </w:tr>
      <w:tr>
        <w:trPr>
          <w:trHeight w:val="27"/>
        </w:trPr>
        <w:tc>
          <w:tcPr>
            <w:tcW w:w="400" w:type="dxa"/>
            <w:vAlign w:val="bottom"/>
          </w:tcPr>
          <w:p>
            <w:pPr>
              <w:spacing w:after="0"/>
              <w:rPr>
                <w:sz w:val="2"/>
                <w:szCs w:val="2"/>
                <w:color w:val="auto"/>
              </w:rPr>
            </w:pPr>
          </w:p>
        </w:tc>
        <w:tc>
          <w:tcPr>
            <w:tcW w:w="700" w:type="dxa"/>
            <w:vAlign w:val="bottom"/>
          </w:tcPr>
          <w:p>
            <w:pPr>
              <w:spacing w:after="0"/>
              <w:rPr>
                <w:sz w:val="2"/>
                <w:szCs w:val="2"/>
                <w:color w:val="auto"/>
              </w:rPr>
            </w:pPr>
          </w:p>
        </w:tc>
        <w:tc>
          <w:tcPr>
            <w:tcW w:w="5480" w:type="dxa"/>
            <w:vAlign w:val="bottom"/>
          </w:tcPr>
          <w:p>
            <w:pPr>
              <w:spacing w:after="0"/>
              <w:rPr>
                <w:sz w:val="2"/>
                <w:szCs w:val="2"/>
                <w:color w:val="auto"/>
              </w:rPr>
            </w:pPr>
          </w:p>
        </w:tc>
        <w:tc>
          <w:tcPr>
            <w:tcW w:w="20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060" w:type="dxa"/>
            <w:vAlign w:val="bottom"/>
          </w:tcPr>
          <w:p>
            <w:pPr>
              <w:spacing w:after="0"/>
              <w:rPr>
                <w:sz w:val="2"/>
                <w:szCs w:val="2"/>
                <w:color w:val="auto"/>
              </w:rPr>
            </w:pPr>
          </w:p>
        </w:tc>
        <w:tc>
          <w:tcPr>
            <w:tcW w:w="360" w:type="dxa"/>
            <w:vAlign w:val="bottom"/>
          </w:tcPr>
          <w:p>
            <w:pPr>
              <w:spacing w:after="0"/>
              <w:rPr>
                <w:sz w:val="2"/>
                <w:szCs w:val="2"/>
                <w:color w:val="auto"/>
              </w:rPr>
            </w:pPr>
          </w:p>
        </w:tc>
        <w:tc>
          <w:tcPr>
            <w:tcW w:w="14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400" w:type="dxa"/>
            <w:vAlign w:val="bottom"/>
          </w:tcPr>
          <w:p>
            <w:pPr>
              <w:spacing w:after="0"/>
              <w:rPr>
                <w:sz w:val="21"/>
                <w:szCs w:val="21"/>
                <w:color w:val="auto"/>
              </w:rPr>
            </w:pPr>
          </w:p>
        </w:tc>
        <w:tc>
          <w:tcPr>
            <w:tcW w:w="6180" w:type="dxa"/>
            <w:vAlign w:val="bottom"/>
            <w:tcBorders>
              <w:bottom w:val="single" w:sz="8" w:color="CCEEFF"/>
            </w:tcBorders>
            <w:gridSpan w:val="2"/>
            <w:shd w:val="clear" w:color="auto" w:fill="CCEEFF"/>
          </w:tcPr>
          <w:p>
            <w:pPr>
              <w:ind w:left="160"/>
              <w:spacing w:after="0"/>
              <w:rPr>
                <w:sz w:val="20"/>
                <w:szCs w:val="20"/>
                <w:color w:val="auto"/>
              </w:rPr>
            </w:pPr>
            <w:r>
              <w:rPr>
                <w:rFonts w:ascii="Arial" w:cs="Arial" w:eastAsia="Arial" w:hAnsi="Arial"/>
                <w:sz w:val="18"/>
                <w:szCs w:val="18"/>
                <w:color w:val="auto"/>
              </w:rPr>
              <w:t>Current portion of capital lease obligations</w:t>
            </w:r>
          </w:p>
        </w:tc>
        <w:tc>
          <w:tcPr>
            <w:tcW w:w="20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34,661</w:t>
            </w: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ind w:right="51"/>
              <w:spacing w:after="0"/>
              <w:rPr>
                <w:sz w:val="20"/>
                <w:szCs w:val="20"/>
                <w:color w:val="auto"/>
              </w:rPr>
            </w:pPr>
            <w:r>
              <w:rPr>
                <w:rFonts w:ascii="Arial" w:cs="Arial" w:eastAsia="Arial" w:hAnsi="Arial"/>
                <w:sz w:val="18"/>
                <w:szCs w:val="18"/>
                <w:color w:val="auto"/>
              </w:rPr>
              <w:t>—</w:t>
            </w:r>
          </w:p>
        </w:tc>
        <w:tc>
          <w:tcPr>
            <w:tcW w:w="360" w:type="dxa"/>
            <w:vAlign w:val="bottom"/>
            <w:tcBorders>
              <w:bottom w:val="single" w:sz="8" w:color="CCEEFF"/>
            </w:tcBorders>
            <w:shd w:val="clear" w:color="auto" w:fill="CCEEFF"/>
          </w:tcPr>
          <w:p>
            <w:pPr>
              <w:spacing w:after="0"/>
              <w:rPr>
                <w:sz w:val="21"/>
                <w:szCs w:val="21"/>
                <w:color w:val="auto"/>
              </w:rPr>
            </w:pPr>
          </w:p>
        </w:tc>
        <w:tc>
          <w:tcPr>
            <w:tcW w:w="14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34,661</w:t>
            </w:r>
          </w:p>
        </w:tc>
        <w:tc>
          <w:tcPr>
            <w:tcW w:w="0" w:type="dxa"/>
            <w:vAlign w:val="bottom"/>
          </w:tcPr>
          <w:p>
            <w:pPr>
              <w:spacing w:after="0"/>
              <w:rPr>
                <w:sz w:val="1"/>
                <w:szCs w:val="1"/>
                <w:color w:val="auto"/>
              </w:rPr>
            </w:pPr>
          </w:p>
        </w:tc>
      </w:tr>
      <w:tr>
        <w:trPr>
          <w:trHeight w:val="243"/>
        </w:trPr>
        <w:tc>
          <w:tcPr>
            <w:tcW w:w="400" w:type="dxa"/>
            <w:vAlign w:val="bottom"/>
          </w:tcPr>
          <w:p>
            <w:pPr>
              <w:spacing w:after="0"/>
              <w:rPr>
                <w:sz w:val="21"/>
                <w:szCs w:val="21"/>
                <w:color w:val="auto"/>
              </w:rPr>
            </w:pPr>
          </w:p>
        </w:tc>
        <w:tc>
          <w:tcPr>
            <w:tcW w:w="6180" w:type="dxa"/>
            <w:vAlign w:val="bottom"/>
            <w:gridSpan w:val="2"/>
          </w:tcPr>
          <w:p>
            <w:pPr>
              <w:ind w:left="160"/>
              <w:spacing w:after="0"/>
              <w:rPr>
                <w:sz w:val="20"/>
                <w:szCs w:val="20"/>
                <w:color w:val="auto"/>
              </w:rPr>
            </w:pPr>
            <w:r>
              <w:rPr>
                <w:rFonts w:ascii="Arial" w:cs="Arial" w:eastAsia="Arial" w:hAnsi="Arial"/>
                <w:sz w:val="18"/>
                <w:szCs w:val="18"/>
                <w:color w:val="auto"/>
              </w:rPr>
              <w:t>Accounts payable</w:t>
            </w:r>
          </w:p>
        </w:tc>
        <w:tc>
          <w:tcPr>
            <w:tcW w:w="200" w:type="dxa"/>
            <w:vAlign w:val="bottom"/>
          </w:tcPr>
          <w:p>
            <w:pPr>
              <w:spacing w:after="0"/>
              <w:rPr>
                <w:sz w:val="21"/>
                <w:szCs w:val="21"/>
                <w:color w:val="auto"/>
              </w:rPr>
            </w:pPr>
          </w:p>
        </w:tc>
        <w:tc>
          <w:tcPr>
            <w:tcW w:w="1180" w:type="dxa"/>
            <w:vAlign w:val="bottom"/>
          </w:tcPr>
          <w:p>
            <w:pPr>
              <w:jc w:val="right"/>
              <w:ind w:right="12"/>
              <w:spacing w:after="0"/>
              <w:rPr>
                <w:sz w:val="20"/>
                <w:szCs w:val="20"/>
                <w:color w:val="auto"/>
              </w:rPr>
            </w:pPr>
            <w:r>
              <w:rPr>
                <w:rFonts w:ascii="Arial" w:cs="Arial" w:eastAsia="Arial" w:hAnsi="Arial"/>
                <w:sz w:val="18"/>
                <w:szCs w:val="18"/>
                <w:color w:val="auto"/>
              </w:rPr>
              <w:t>3,787,701</w:t>
            </w: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060" w:type="dxa"/>
            <w:vAlign w:val="bottom"/>
          </w:tcPr>
          <w:p>
            <w:pPr>
              <w:jc w:val="right"/>
              <w:ind w:right="51"/>
              <w:spacing w:after="0"/>
              <w:rPr>
                <w:sz w:val="20"/>
                <w:szCs w:val="20"/>
                <w:color w:val="auto"/>
              </w:rPr>
            </w:pPr>
            <w:r>
              <w:rPr>
                <w:rFonts w:ascii="Arial" w:cs="Arial" w:eastAsia="Arial" w:hAnsi="Arial"/>
                <w:sz w:val="18"/>
                <w:szCs w:val="18"/>
                <w:color w:val="auto"/>
              </w:rPr>
              <w:t>—</w:t>
            </w:r>
          </w:p>
        </w:tc>
        <w:tc>
          <w:tcPr>
            <w:tcW w:w="360" w:type="dxa"/>
            <w:vAlign w:val="bottom"/>
          </w:tcPr>
          <w:p>
            <w:pPr>
              <w:spacing w:after="0"/>
              <w:rPr>
                <w:sz w:val="21"/>
                <w:szCs w:val="21"/>
                <w:color w:val="auto"/>
              </w:rPr>
            </w:pPr>
          </w:p>
        </w:tc>
        <w:tc>
          <w:tcPr>
            <w:tcW w:w="1400" w:type="dxa"/>
            <w:vAlign w:val="bottom"/>
          </w:tcPr>
          <w:p>
            <w:pPr>
              <w:jc w:val="right"/>
              <w:ind w:right="11"/>
              <w:spacing w:after="0"/>
              <w:rPr>
                <w:sz w:val="20"/>
                <w:szCs w:val="20"/>
                <w:color w:val="auto"/>
              </w:rPr>
            </w:pPr>
            <w:r>
              <w:rPr>
                <w:rFonts w:ascii="Arial" w:cs="Arial" w:eastAsia="Arial" w:hAnsi="Arial"/>
                <w:sz w:val="18"/>
                <w:szCs w:val="18"/>
                <w:color w:val="auto"/>
              </w:rPr>
              <w:t>3,787,701</w:t>
            </w:r>
          </w:p>
        </w:tc>
        <w:tc>
          <w:tcPr>
            <w:tcW w:w="0" w:type="dxa"/>
            <w:vAlign w:val="bottom"/>
          </w:tcPr>
          <w:p>
            <w:pPr>
              <w:spacing w:after="0"/>
              <w:rPr>
                <w:sz w:val="1"/>
                <w:szCs w:val="1"/>
                <w:color w:val="auto"/>
              </w:rPr>
            </w:pPr>
          </w:p>
        </w:tc>
      </w:tr>
      <w:tr>
        <w:trPr>
          <w:trHeight w:val="27"/>
        </w:trPr>
        <w:tc>
          <w:tcPr>
            <w:tcW w:w="400" w:type="dxa"/>
            <w:vAlign w:val="bottom"/>
          </w:tcPr>
          <w:p>
            <w:pPr>
              <w:spacing w:after="0"/>
              <w:rPr>
                <w:sz w:val="2"/>
                <w:szCs w:val="2"/>
                <w:color w:val="auto"/>
              </w:rPr>
            </w:pPr>
          </w:p>
        </w:tc>
        <w:tc>
          <w:tcPr>
            <w:tcW w:w="700" w:type="dxa"/>
            <w:vAlign w:val="bottom"/>
          </w:tcPr>
          <w:p>
            <w:pPr>
              <w:spacing w:after="0"/>
              <w:rPr>
                <w:sz w:val="2"/>
                <w:szCs w:val="2"/>
                <w:color w:val="auto"/>
              </w:rPr>
            </w:pPr>
          </w:p>
        </w:tc>
        <w:tc>
          <w:tcPr>
            <w:tcW w:w="5480" w:type="dxa"/>
            <w:vAlign w:val="bottom"/>
          </w:tcPr>
          <w:p>
            <w:pPr>
              <w:spacing w:after="0"/>
              <w:rPr>
                <w:sz w:val="2"/>
                <w:szCs w:val="2"/>
                <w:color w:val="auto"/>
              </w:rPr>
            </w:pPr>
          </w:p>
        </w:tc>
        <w:tc>
          <w:tcPr>
            <w:tcW w:w="20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060" w:type="dxa"/>
            <w:vAlign w:val="bottom"/>
          </w:tcPr>
          <w:p>
            <w:pPr>
              <w:spacing w:after="0"/>
              <w:rPr>
                <w:sz w:val="2"/>
                <w:szCs w:val="2"/>
                <w:color w:val="auto"/>
              </w:rPr>
            </w:pPr>
          </w:p>
        </w:tc>
        <w:tc>
          <w:tcPr>
            <w:tcW w:w="360" w:type="dxa"/>
            <w:vAlign w:val="bottom"/>
          </w:tcPr>
          <w:p>
            <w:pPr>
              <w:spacing w:after="0"/>
              <w:rPr>
                <w:sz w:val="2"/>
                <w:szCs w:val="2"/>
                <w:color w:val="auto"/>
              </w:rPr>
            </w:pPr>
          </w:p>
        </w:tc>
        <w:tc>
          <w:tcPr>
            <w:tcW w:w="14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400" w:type="dxa"/>
            <w:vAlign w:val="bottom"/>
          </w:tcPr>
          <w:p>
            <w:pPr>
              <w:spacing w:after="0"/>
              <w:rPr>
                <w:sz w:val="21"/>
                <w:szCs w:val="21"/>
                <w:color w:val="auto"/>
              </w:rPr>
            </w:pPr>
          </w:p>
        </w:tc>
        <w:tc>
          <w:tcPr>
            <w:tcW w:w="6180" w:type="dxa"/>
            <w:vAlign w:val="bottom"/>
            <w:tcBorders>
              <w:bottom w:val="single" w:sz="8" w:color="CCEEFF"/>
            </w:tcBorders>
            <w:gridSpan w:val="2"/>
            <w:shd w:val="clear" w:color="auto" w:fill="CCEEFF"/>
          </w:tcPr>
          <w:p>
            <w:pPr>
              <w:ind w:left="160"/>
              <w:spacing w:after="0"/>
              <w:rPr>
                <w:sz w:val="20"/>
                <w:szCs w:val="20"/>
                <w:color w:val="auto"/>
              </w:rPr>
            </w:pPr>
            <w:r>
              <w:rPr>
                <w:rFonts w:ascii="Arial" w:cs="Arial" w:eastAsia="Arial" w:hAnsi="Arial"/>
                <w:sz w:val="18"/>
                <w:szCs w:val="18"/>
                <w:color w:val="auto"/>
              </w:rPr>
              <w:t>Accrued liabilities</w:t>
            </w:r>
          </w:p>
        </w:tc>
        <w:tc>
          <w:tcPr>
            <w:tcW w:w="20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5,554,481</w:t>
            </w: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ind w:right="51"/>
              <w:spacing w:after="0"/>
              <w:rPr>
                <w:sz w:val="20"/>
                <w:szCs w:val="20"/>
                <w:color w:val="auto"/>
              </w:rPr>
            </w:pPr>
            <w:r>
              <w:rPr>
                <w:rFonts w:ascii="Arial" w:cs="Arial" w:eastAsia="Arial" w:hAnsi="Arial"/>
                <w:sz w:val="18"/>
                <w:szCs w:val="18"/>
                <w:color w:val="auto"/>
              </w:rPr>
              <w:t>—</w:t>
            </w:r>
          </w:p>
        </w:tc>
        <w:tc>
          <w:tcPr>
            <w:tcW w:w="360" w:type="dxa"/>
            <w:vAlign w:val="bottom"/>
            <w:tcBorders>
              <w:bottom w:val="single" w:sz="8" w:color="CCEEFF"/>
            </w:tcBorders>
            <w:shd w:val="clear" w:color="auto" w:fill="CCEEFF"/>
          </w:tcPr>
          <w:p>
            <w:pPr>
              <w:spacing w:after="0"/>
              <w:rPr>
                <w:sz w:val="21"/>
                <w:szCs w:val="21"/>
                <w:color w:val="auto"/>
              </w:rPr>
            </w:pPr>
          </w:p>
        </w:tc>
        <w:tc>
          <w:tcPr>
            <w:tcW w:w="14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5,554,481</w:t>
            </w:r>
          </w:p>
        </w:tc>
        <w:tc>
          <w:tcPr>
            <w:tcW w:w="0" w:type="dxa"/>
            <w:vAlign w:val="bottom"/>
          </w:tcPr>
          <w:p>
            <w:pPr>
              <w:spacing w:after="0"/>
              <w:rPr>
                <w:sz w:val="1"/>
                <w:szCs w:val="1"/>
                <w:color w:val="auto"/>
              </w:rPr>
            </w:pPr>
          </w:p>
        </w:tc>
      </w:tr>
      <w:tr>
        <w:trPr>
          <w:trHeight w:val="243"/>
        </w:trPr>
        <w:tc>
          <w:tcPr>
            <w:tcW w:w="400" w:type="dxa"/>
            <w:vAlign w:val="bottom"/>
          </w:tcPr>
          <w:p>
            <w:pPr>
              <w:spacing w:after="0"/>
              <w:rPr>
                <w:sz w:val="21"/>
                <w:szCs w:val="21"/>
                <w:color w:val="auto"/>
              </w:rPr>
            </w:pPr>
          </w:p>
        </w:tc>
        <w:tc>
          <w:tcPr>
            <w:tcW w:w="6180" w:type="dxa"/>
            <w:vAlign w:val="bottom"/>
            <w:gridSpan w:val="2"/>
          </w:tcPr>
          <w:p>
            <w:pPr>
              <w:ind w:left="160"/>
              <w:spacing w:after="0"/>
              <w:rPr>
                <w:sz w:val="20"/>
                <w:szCs w:val="20"/>
                <w:color w:val="auto"/>
              </w:rPr>
            </w:pPr>
            <w:r>
              <w:rPr>
                <w:rFonts w:ascii="Arial" w:cs="Arial" w:eastAsia="Arial" w:hAnsi="Arial"/>
                <w:sz w:val="18"/>
                <w:szCs w:val="18"/>
                <w:color w:val="auto"/>
              </w:rPr>
              <w:t>Contract liabilities</w:t>
            </w:r>
          </w:p>
        </w:tc>
        <w:tc>
          <w:tcPr>
            <w:tcW w:w="200" w:type="dxa"/>
            <w:vAlign w:val="bottom"/>
          </w:tcPr>
          <w:p>
            <w:pPr>
              <w:spacing w:after="0"/>
              <w:rPr>
                <w:sz w:val="21"/>
                <w:szCs w:val="21"/>
                <w:color w:val="auto"/>
              </w:rPr>
            </w:pPr>
          </w:p>
        </w:tc>
        <w:tc>
          <w:tcPr>
            <w:tcW w:w="1180" w:type="dxa"/>
            <w:vAlign w:val="bottom"/>
          </w:tcPr>
          <w:p>
            <w:pPr>
              <w:jc w:val="right"/>
              <w:ind w:right="12"/>
              <w:spacing w:after="0"/>
              <w:rPr>
                <w:sz w:val="20"/>
                <w:szCs w:val="20"/>
                <w:color w:val="auto"/>
              </w:rPr>
            </w:pPr>
            <w:r>
              <w:rPr>
                <w:rFonts w:ascii="Arial" w:cs="Arial" w:eastAsia="Arial" w:hAnsi="Arial"/>
                <w:sz w:val="18"/>
                <w:szCs w:val="18"/>
                <w:color w:val="auto"/>
              </w:rPr>
              <w:t>1,400,922</w:t>
            </w: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(18,270)</w:t>
            </w:r>
          </w:p>
        </w:tc>
        <w:tc>
          <w:tcPr>
            <w:tcW w:w="360" w:type="dxa"/>
            <w:vAlign w:val="bottom"/>
          </w:tcPr>
          <w:p>
            <w:pPr>
              <w:spacing w:after="0"/>
              <w:rPr>
                <w:sz w:val="21"/>
                <w:szCs w:val="21"/>
                <w:color w:val="auto"/>
              </w:rPr>
            </w:pPr>
          </w:p>
        </w:tc>
        <w:tc>
          <w:tcPr>
            <w:tcW w:w="1400" w:type="dxa"/>
            <w:vAlign w:val="bottom"/>
          </w:tcPr>
          <w:p>
            <w:pPr>
              <w:jc w:val="right"/>
              <w:ind w:right="11"/>
              <w:spacing w:after="0"/>
              <w:rPr>
                <w:sz w:val="20"/>
                <w:szCs w:val="20"/>
                <w:color w:val="auto"/>
              </w:rPr>
            </w:pPr>
            <w:r>
              <w:rPr>
                <w:rFonts w:ascii="Arial" w:cs="Arial" w:eastAsia="Arial" w:hAnsi="Arial"/>
                <w:sz w:val="18"/>
                <w:szCs w:val="18"/>
                <w:color w:val="auto"/>
              </w:rPr>
              <w:t>1,382,652</w:t>
            </w:r>
          </w:p>
        </w:tc>
        <w:tc>
          <w:tcPr>
            <w:tcW w:w="0" w:type="dxa"/>
            <w:vAlign w:val="bottom"/>
          </w:tcPr>
          <w:p>
            <w:pPr>
              <w:spacing w:after="0"/>
              <w:rPr>
                <w:sz w:val="1"/>
                <w:szCs w:val="1"/>
                <w:color w:val="auto"/>
              </w:rPr>
            </w:pPr>
          </w:p>
        </w:tc>
      </w:tr>
      <w:tr>
        <w:trPr>
          <w:trHeight w:val="27"/>
        </w:trPr>
        <w:tc>
          <w:tcPr>
            <w:tcW w:w="400" w:type="dxa"/>
            <w:vAlign w:val="bottom"/>
          </w:tcPr>
          <w:p>
            <w:pPr>
              <w:spacing w:after="0"/>
              <w:rPr>
                <w:sz w:val="2"/>
                <w:szCs w:val="2"/>
                <w:color w:val="auto"/>
              </w:rPr>
            </w:pPr>
          </w:p>
        </w:tc>
        <w:tc>
          <w:tcPr>
            <w:tcW w:w="700" w:type="dxa"/>
            <w:vAlign w:val="bottom"/>
            <w:tcBorders>
              <w:bottom w:val="single" w:sz="8" w:color="CCEEFF"/>
            </w:tcBorders>
          </w:tcPr>
          <w:p>
            <w:pPr>
              <w:spacing w:after="0"/>
              <w:rPr>
                <w:sz w:val="2"/>
                <w:szCs w:val="2"/>
                <w:color w:val="auto"/>
              </w:rPr>
            </w:pPr>
          </w:p>
        </w:tc>
        <w:tc>
          <w:tcPr>
            <w:tcW w:w="548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4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400" w:type="dxa"/>
            <w:vAlign w:val="bottom"/>
          </w:tcPr>
          <w:p>
            <w:pPr>
              <w:spacing w:after="0"/>
              <w:rPr>
                <w:sz w:val="21"/>
                <w:szCs w:val="21"/>
                <w:color w:val="auto"/>
              </w:rPr>
            </w:pPr>
          </w:p>
        </w:tc>
        <w:tc>
          <w:tcPr>
            <w:tcW w:w="6180" w:type="dxa"/>
            <w:vAlign w:val="bottom"/>
            <w:tcBorders>
              <w:bottom w:val="single" w:sz="8" w:color="CCEEFF"/>
            </w:tcBorders>
            <w:gridSpan w:val="2"/>
            <w:shd w:val="clear" w:color="auto" w:fill="CCEEFF"/>
          </w:tcPr>
          <w:p>
            <w:pPr>
              <w:ind w:left="380"/>
              <w:spacing w:after="0"/>
              <w:rPr>
                <w:sz w:val="20"/>
                <w:szCs w:val="20"/>
                <w:color w:val="auto"/>
              </w:rPr>
            </w:pPr>
            <w:r>
              <w:rPr>
                <w:rFonts w:ascii="Arial" w:cs="Arial" w:eastAsia="Arial" w:hAnsi="Arial"/>
                <w:sz w:val="18"/>
                <w:szCs w:val="18"/>
                <w:color w:val="auto"/>
              </w:rPr>
              <w:t>Total current liabilities</w:t>
            </w:r>
          </w:p>
        </w:tc>
        <w:tc>
          <w:tcPr>
            <w:tcW w:w="20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12,305,593</w:t>
            </w: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(18,270)</w:t>
            </w:r>
          </w:p>
        </w:tc>
        <w:tc>
          <w:tcPr>
            <w:tcW w:w="360" w:type="dxa"/>
            <w:vAlign w:val="bottom"/>
            <w:tcBorders>
              <w:bottom w:val="single" w:sz="8" w:color="CCEEFF"/>
            </w:tcBorders>
            <w:shd w:val="clear" w:color="auto" w:fill="CCEEFF"/>
          </w:tcPr>
          <w:p>
            <w:pPr>
              <w:spacing w:after="0"/>
              <w:rPr>
                <w:sz w:val="21"/>
                <w:szCs w:val="21"/>
                <w:color w:val="auto"/>
              </w:rPr>
            </w:pPr>
          </w:p>
        </w:tc>
        <w:tc>
          <w:tcPr>
            <w:tcW w:w="14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12,287,323</w:t>
            </w:r>
          </w:p>
        </w:tc>
        <w:tc>
          <w:tcPr>
            <w:tcW w:w="0" w:type="dxa"/>
            <w:vAlign w:val="bottom"/>
          </w:tcPr>
          <w:p>
            <w:pPr>
              <w:spacing w:after="0"/>
              <w:rPr>
                <w:sz w:val="1"/>
                <w:szCs w:val="1"/>
                <w:color w:val="auto"/>
              </w:rPr>
            </w:pPr>
          </w:p>
        </w:tc>
      </w:tr>
      <w:tr>
        <w:trPr>
          <w:trHeight w:val="243"/>
        </w:trPr>
        <w:tc>
          <w:tcPr>
            <w:tcW w:w="400" w:type="dxa"/>
            <w:vAlign w:val="bottom"/>
          </w:tcPr>
          <w:p>
            <w:pPr>
              <w:spacing w:after="0"/>
              <w:rPr>
                <w:sz w:val="21"/>
                <w:szCs w:val="21"/>
                <w:color w:val="auto"/>
              </w:rPr>
            </w:pPr>
          </w:p>
        </w:tc>
        <w:tc>
          <w:tcPr>
            <w:tcW w:w="6180" w:type="dxa"/>
            <w:vAlign w:val="bottom"/>
            <w:gridSpan w:val="2"/>
          </w:tcPr>
          <w:p>
            <w:pPr>
              <w:ind w:left="20"/>
              <w:spacing w:after="0"/>
              <w:rPr>
                <w:sz w:val="20"/>
                <w:szCs w:val="20"/>
                <w:color w:val="auto"/>
              </w:rPr>
            </w:pPr>
            <w:r>
              <w:rPr>
                <w:rFonts w:ascii="Arial" w:cs="Arial" w:eastAsia="Arial" w:hAnsi="Arial"/>
                <w:sz w:val="18"/>
                <w:szCs w:val="18"/>
                <w:color w:val="auto"/>
              </w:rPr>
              <w:t>Long-term deferred rent</w:t>
            </w:r>
          </w:p>
        </w:tc>
        <w:tc>
          <w:tcPr>
            <w:tcW w:w="200" w:type="dxa"/>
            <w:vAlign w:val="bottom"/>
          </w:tcPr>
          <w:p>
            <w:pPr>
              <w:spacing w:after="0"/>
              <w:rPr>
                <w:sz w:val="21"/>
                <w:szCs w:val="21"/>
                <w:color w:val="auto"/>
              </w:rPr>
            </w:pPr>
          </w:p>
        </w:tc>
        <w:tc>
          <w:tcPr>
            <w:tcW w:w="1180" w:type="dxa"/>
            <w:vAlign w:val="bottom"/>
          </w:tcPr>
          <w:p>
            <w:pPr>
              <w:jc w:val="right"/>
              <w:ind w:right="12"/>
              <w:spacing w:after="0"/>
              <w:rPr>
                <w:sz w:val="20"/>
                <w:szCs w:val="20"/>
                <w:color w:val="auto"/>
              </w:rPr>
            </w:pPr>
            <w:r>
              <w:rPr>
                <w:rFonts w:ascii="Arial" w:cs="Arial" w:eastAsia="Arial" w:hAnsi="Arial"/>
                <w:sz w:val="18"/>
                <w:szCs w:val="18"/>
                <w:color w:val="auto"/>
              </w:rPr>
              <w:t>1,109,397</w:t>
            </w: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060" w:type="dxa"/>
            <w:vAlign w:val="bottom"/>
          </w:tcPr>
          <w:p>
            <w:pPr>
              <w:jc w:val="right"/>
              <w:ind w:right="51"/>
              <w:spacing w:after="0"/>
              <w:rPr>
                <w:sz w:val="20"/>
                <w:szCs w:val="20"/>
                <w:color w:val="auto"/>
              </w:rPr>
            </w:pPr>
            <w:r>
              <w:rPr>
                <w:rFonts w:ascii="Arial" w:cs="Arial" w:eastAsia="Arial" w:hAnsi="Arial"/>
                <w:sz w:val="18"/>
                <w:szCs w:val="18"/>
                <w:color w:val="auto"/>
              </w:rPr>
              <w:t>—</w:t>
            </w:r>
          </w:p>
        </w:tc>
        <w:tc>
          <w:tcPr>
            <w:tcW w:w="360" w:type="dxa"/>
            <w:vAlign w:val="bottom"/>
          </w:tcPr>
          <w:p>
            <w:pPr>
              <w:spacing w:after="0"/>
              <w:rPr>
                <w:sz w:val="21"/>
                <w:szCs w:val="21"/>
                <w:color w:val="auto"/>
              </w:rPr>
            </w:pPr>
          </w:p>
        </w:tc>
        <w:tc>
          <w:tcPr>
            <w:tcW w:w="1400" w:type="dxa"/>
            <w:vAlign w:val="bottom"/>
          </w:tcPr>
          <w:p>
            <w:pPr>
              <w:jc w:val="right"/>
              <w:ind w:right="11"/>
              <w:spacing w:after="0"/>
              <w:rPr>
                <w:sz w:val="20"/>
                <w:szCs w:val="20"/>
                <w:color w:val="auto"/>
              </w:rPr>
            </w:pPr>
            <w:r>
              <w:rPr>
                <w:rFonts w:ascii="Arial" w:cs="Arial" w:eastAsia="Arial" w:hAnsi="Arial"/>
                <w:sz w:val="18"/>
                <w:szCs w:val="18"/>
                <w:color w:val="auto"/>
              </w:rPr>
              <w:t>1,109,397</w:t>
            </w:r>
          </w:p>
        </w:tc>
        <w:tc>
          <w:tcPr>
            <w:tcW w:w="0" w:type="dxa"/>
            <w:vAlign w:val="bottom"/>
          </w:tcPr>
          <w:p>
            <w:pPr>
              <w:spacing w:after="0"/>
              <w:rPr>
                <w:sz w:val="1"/>
                <w:szCs w:val="1"/>
                <w:color w:val="auto"/>
              </w:rPr>
            </w:pPr>
          </w:p>
        </w:tc>
      </w:tr>
      <w:tr>
        <w:trPr>
          <w:trHeight w:val="27"/>
        </w:trPr>
        <w:tc>
          <w:tcPr>
            <w:tcW w:w="400" w:type="dxa"/>
            <w:vAlign w:val="bottom"/>
          </w:tcPr>
          <w:p>
            <w:pPr>
              <w:spacing w:after="0"/>
              <w:rPr>
                <w:sz w:val="2"/>
                <w:szCs w:val="2"/>
                <w:color w:val="auto"/>
              </w:rPr>
            </w:pPr>
          </w:p>
        </w:tc>
        <w:tc>
          <w:tcPr>
            <w:tcW w:w="700" w:type="dxa"/>
            <w:vAlign w:val="bottom"/>
          </w:tcPr>
          <w:p>
            <w:pPr>
              <w:spacing w:after="0"/>
              <w:rPr>
                <w:sz w:val="2"/>
                <w:szCs w:val="2"/>
                <w:color w:val="auto"/>
              </w:rPr>
            </w:pPr>
          </w:p>
        </w:tc>
        <w:tc>
          <w:tcPr>
            <w:tcW w:w="5480" w:type="dxa"/>
            <w:vAlign w:val="bottom"/>
          </w:tcPr>
          <w:p>
            <w:pPr>
              <w:spacing w:after="0"/>
              <w:rPr>
                <w:sz w:val="2"/>
                <w:szCs w:val="2"/>
                <w:color w:val="auto"/>
              </w:rPr>
            </w:pPr>
          </w:p>
        </w:tc>
        <w:tc>
          <w:tcPr>
            <w:tcW w:w="20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060" w:type="dxa"/>
            <w:vAlign w:val="bottom"/>
          </w:tcPr>
          <w:p>
            <w:pPr>
              <w:spacing w:after="0"/>
              <w:rPr>
                <w:sz w:val="2"/>
                <w:szCs w:val="2"/>
                <w:color w:val="auto"/>
              </w:rPr>
            </w:pPr>
          </w:p>
        </w:tc>
        <w:tc>
          <w:tcPr>
            <w:tcW w:w="360" w:type="dxa"/>
            <w:vAlign w:val="bottom"/>
          </w:tcPr>
          <w:p>
            <w:pPr>
              <w:spacing w:after="0"/>
              <w:rPr>
                <w:sz w:val="2"/>
                <w:szCs w:val="2"/>
                <w:color w:val="auto"/>
              </w:rPr>
            </w:pPr>
          </w:p>
        </w:tc>
        <w:tc>
          <w:tcPr>
            <w:tcW w:w="14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400" w:type="dxa"/>
            <w:vAlign w:val="bottom"/>
          </w:tcPr>
          <w:p>
            <w:pPr>
              <w:spacing w:after="0"/>
              <w:rPr>
                <w:sz w:val="21"/>
                <w:szCs w:val="21"/>
                <w:color w:val="auto"/>
              </w:rPr>
            </w:pPr>
          </w:p>
        </w:tc>
        <w:tc>
          <w:tcPr>
            <w:tcW w:w="618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8"/>
                <w:szCs w:val="18"/>
                <w:color w:val="auto"/>
              </w:rPr>
              <w:t>Long-term debt obligations</w:t>
            </w:r>
          </w:p>
        </w:tc>
        <w:tc>
          <w:tcPr>
            <w:tcW w:w="20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4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ind w:right="51"/>
              <w:spacing w:after="0"/>
              <w:rPr>
                <w:sz w:val="20"/>
                <w:szCs w:val="20"/>
                <w:color w:val="auto"/>
              </w:rPr>
            </w:pPr>
            <w:r>
              <w:rPr>
                <w:rFonts w:ascii="Arial" w:cs="Arial" w:eastAsia="Arial" w:hAnsi="Arial"/>
                <w:sz w:val="18"/>
                <w:szCs w:val="18"/>
                <w:color w:val="auto"/>
              </w:rPr>
              <w:t>—</w:t>
            </w:r>
          </w:p>
        </w:tc>
        <w:tc>
          <w:tcPr>
            <w:tcW w:w="360" w:type="dxa"/>
            <w:vAlign w:val="bottom"/>
            <w:tcBorders>
              <w:bottom w:val="single" w:sz="8" w:color="CCEEFF"/>
            </w:tcBorders>
            <w:shd w:val="clear" w:color="auto" w:fill="CCEEFF"/>
          </w:tcPr>
          <w:p>
            <w:pPr>
              <w:spacing w:after="0"/>
              <w:rPr>
                <w:sz w:val="21"/>
                <w:szCs w:val="21"/>
                <w:color w:val="auto"/>
              </w:rPr>
            </w:pPr>
          </w:p>
        </w:tc>
        <w:tc>
          <w:tcPr>
            <w:tcW w:w="14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43"/>
        </w:trPr>
        <w:tc>
          <w:tcPr>
            <w:tcW w:w="400" w:type="dxa"/>
            <w:vAlign w:val="bottom"/>
          </w:tcPr>
          <w:p>
            <w:pPr>
              <w:spacing w:after="0"/>
              <w:rPr>
                <w:sz w:val="21"/>
                <w:szCs w:val="21"/>
                <w:color w:val="auto"/>
              </w:rPr>
            </w:pPr>
          </w:p>
        </w:tc>
        <w:tc>
          <w:tcPr>
            <w:tcW w:w="6180" w:type="dxa"/>
            <w:vAlign w:val="bottom"/>
            <w:gridSpan w:val="2"/>
          </w:tcPr>
          <w:p>
            <w:pPr>
              <w:ind w:left="20"/>
              <w:spacing w:after="0"/>
              <w:rPr>
                <w:sz w:val="20"/>
                <w:szCs w:val="20"/>
                <w:color w:val="auto"/>
              </w:rPr>
            </w:pPr>
            <w:r>
              <w:rPr>
                <w:rFonts w:ascii="Arial" w:cs="Arial" w:eastAsia="Arial" w:hAnsi="Arial"/>
                <w:sz w:val="18"/>
                <w:szCs w:val="18"/>
                <w:color w:val="auto"/>
              </w:rPr>
              <w:t>Long-term capital lease obligations</w:t>
            </w:r>
          </w:p>
        </w:tc>
        <w:tc>
          <w:tcPr>
            <w:tcW w:w="200" w:type="dxa"/>
            <w:vAlign w:val="bottom"/>
          </w:tcPr>
          <w:p>
            <w:pPr>
              <w:spacing w:after="0"/>
              <w:rPr>
                <w:sz w:val="21"/>
                <w:szCs w:val="21"/>
                <w:color w:val="auto"/>
              </w:rPr>
            </w:pPr>
          </w:p>
        </w:tc>
        <w:tc>
          <w:tcPr>
            <w:tcW w:w="1180" w:type="dxa"/>
            <w:vAlign w:val="bottom"/>
          </w:tcPr>
          <w:p>
            <w:pPr>
              <w:jc w:val="right"/>
              <w:ind w:right="12"/>
              <w:spacing w:after="0"/>
              <w:rPr>
                <w:sz w:val="20"/>
                <w:szCs w:val="20"/>
                <w:color w:val="auto"/>
              </w:rPr>
            </w:pPr>
            <w:r>
              <w:rPr>
                <w:rFonts w:ascii="Arial" w:cs="Arial" w:eastAsia="Arial" w:hAnsi="Arial"/>
                <w:sz w:val="18"/>
                <w:szCs w:val="18"/>
                <w:color w:val="auto"/>
              </w:rPr>
              <w:t>54,970</w:t>
            </w: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060" w:type="dxa"/>
            <w:vAlign w:val="bottom"/>
          </w:tcPr>
          <w:p>
            <w:pPr>
              <w:jc w:val="right"/>
              <w:ind w:right="51"/>
              <w:spacing w:after="0"/>
              <w:rPr>
                <w:sz w:val="20"/>
                <w:szCs w:val="20"/>
                <w:color w:val="auto"/>
              </w:rPr>
            </w:pPr>
            <w:r>
              <w:rPr>
                <w:rFonts w:ascii="Arial" w:cs="Arial" w:eastAsia="Arial" w:hAnsi="Arial"/>
                <w:sz w:val="18"/>
                <w:szCs w:val="18"/>
                <w:color w:val="auto"/>
              </w:rPr>
              <w:t>—</w:t>
            </w:r>
          </w:p>
        </w:tc>
        <w:tc>
          <w:tcPr>
            <w:tcW w:w="360" w:type="dxa"/>
            <w:vAlign w:val="bottom"/>
          </w:tcPr>
          <w:p>
            <w:pPr>
              <w:spacing w:after="0"/>
              <w:rPr>
                <w:sz w:val="21"/>
                <w:szCs w:val="21"/>
                <w:color w:val="auto"/>
              </w:rPr>
            </w:pPr>
          </w:p>
        </w:tc>
        <w:tc>
          <w:tcPr>
            <w:tcW w:w="1400" w:type="dxa"/>
            <w:vAlign w:val="bottom"/>
          </w:tcPr>
          <w:p>
            <w:pPr>
              <w:jc w:val="right"/>
              <w:ind w:right="11"/>
              <w:spacing w:after="0"/>
              <w:rPr>
                <w:sz w:val="20"/>
                <w:szCs w:val="20"/>
                <w:color w:val="auto"/>
              </w:rPr>
            </w:pPr>
            <w:r>
              <w:rPr>
                <w:rFonts w:ascii="Arial" w:cs="Arial" w:eastAsia="Arial" w:hAnsi="Arial"/>
                <w:sz w:val="18"/>
                <w:szCs w:val="18"/>
                <w:color w:val="auto"/>
              </w:rPr>
              <w:t>54,970</w:t>
            </w:r>
          </w:p>
        </w:tc>
        <w:tc>
          <w:tcPr>
            <w:tcW w:w="0" w:type="dxa"/>
            <w:vAlign w:val="bottom"/>
          </w:tcPr>
          <w:p>
            <w:pPr>
              <w:spacing w:after="0"/>
              <w:rPr>
                <w:sz w:val="1"/>
                <w:szCs w:val="1"/>
                <w:color w:val="auto"/>
              </w:rPr>
            </w:pPr>
          </w:p>
        </w:tc>
      </w:tr>
      <w:tr>
        <w:trPr>
          <w:trHeight w:val="27"/>
        </w:trPr>
        <w:tc>
          <w:tcPr>
            <w:tcW w:w="400" w:type="dxa"/>
            <w:vAlign w:val="bottom"/>
          </w:tcPr>
          <w:p>
            <w:pPr>
              <w:spacing w:after="0"/>
              <w:rPr>
                <w:sz w:val="2"/>
                <w:szCs w:val="2"/>
                <w:color w:val="auto"/>
              </w:rPr>
            </w:pPr>
          </w:p>
        </w:tc>
        <w:tc>
          <w:tcPr>
            <w:tcW w:w="700" w:type="dxa"/>
            <w:vAlign w:val="bottom"/>
            <w:tcBorders>
              <w:bottom w:val="single" w:sz="8" w:color="CCEEFF"/>
            </w:tcBorders>
          </w:tcPr>
          <w:p>
            <w:pPr>
              <w:spacing w:after="0"/>
              <w:rPr>
                <w:sz w:val="2"/>
                <w:szCs w:val="2"/>
                <w:color w:val="auto"/>
              </w:rPr>
            </w:pPr>
          </w:p>
        </w:tc>
        <w:tc>
          <w:tcPr>
            <w:tcW w:w="548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4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4"/>
        </w:trPr>
        <w:tc>
          <w:tcPr>
            <w:tcW w:w="400" w:type="dxa"/>
            <w:vAlign w:val="bottom"/>
          </w:tcPr>
          <w:p>
            <w:pPr>
              <w:spacing w:after="0"/>
              <w:rPr>
                <w:sz w:val="22"/>
                <w:szCs w:val="22"/>
                <w:color w:val="auto"/>
              </w:rPr>
            </w:pPr>
          </w:p>
        </w:tc>
        <w:tc>
          <w:tcPr>
            <w:tcW w:w="6180" w:type="dxa"/>
            <w:vAlign w:val="bottom"/>
            <w:tcBorders>
              <w:bottom w:val="single" w:sz="8" w:color="CCEEFF"/>
            </w:tcBorders>
            <w:gridSpan w:val="2"/>
            <w:shd w:val="clear" w:color="auto" w:fill="CCEEFF"/>
          </w:tcPr>
          <w:p>
            <w:pPr>
              <w:ind w:left="580"/>
              <w:spacing w:after="0"/>
              <w:rPr>
                <w:sz w:val="20"/>
                <w:szCs w:val="20"/>
                <w:color w:val="auto"/>
              </w:rPr>
            </w:pPr>
            <w:r>
              <w:rPr>
                <w:rFonts w:ascii="Arial" w:cs="Arial" w:eastAsia="Arial" w:hAnsi="Arial"/>
                <w:sz w:val="18"/>
                <w:szCs w:val="18"/>
                <w:b w:val="1"/>
                <w:bCs w:val="1"/>
                <w:color w:val="auto"/>
              </w:rPr>
              <w:t>Total liabilities</w:t>
            </w:r>
          </w:p>
        </w:tc>
        <w:tc>
          <w:tcPr>
            <w:tcW w:w="200" w:type="dxa"/>
            <w:vAlign w:val="bottom"/>
            <w:tcBorders>
              <w:bottom w:val="single" w:sz="8" w:color="CCEEFF"/>
            </w:tcBorders>
            <w:shd w:val="clear" w:color="auto" w:fill="CCEEFF"/>
          </w:tcPr>
          <w:p>
            <w:pPr>
              <w:spacing w:after="0"/>
              <w:rPr>
                <w:sz w:val="22"/>
                <w:szCs w:val="22"/>
                <w:color w:val="auto"/>
              </w:rPr>
            </w:pPr>
          </w:p>
        </w:tc>
        <w:tc>
          <w:tcPr>
            <w:tcW w:w="118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13,469,960</w:t>
            </w:r>
          </w:p>
        </w:tc>
        <w:tc>
          <w:tcPr>
            <w:tcW w:w="120" w:type="dxa"/>
            <w:vAlign w:val="bottom"/>
            <w:tcBorders>
              <w:bottom w:val="single" w:sz="8" w:color="CCEEFF"/>
            </w:tcBorders>
            <w:shd w:val="clear" w:color="auto" w:fill="CCEEFF"/>
          </w:tcPr>
          <w:p>
            <w:pPr>
              <w:spacing w:after="0"/>
              <w:rPr>
                <w:sz w:val="22"/>
                <w:szCs w:val="22"/>
                <w:color w:val="auto"/>
              </w:rPr>
            </w:pPr>
          </w:p>
        </w:tc>
        <w:tc>
          <w:tcPr>
            <w:tcW w:w="140" w:type="dxa"/>
            <w:vAlign w:val="bottom"/>
            <w:tcBorders>
              <w:bottom w:val="single" w:sz="8" w:color="CCEEFF"/>
            </w:tcBorders>
            <w:shd w:val="clear" w:color="auto" w:fill="CCEEFF"/>
          </w:tcPr>
          <w:p>
            <w:pPr>
              <w:spacing w:after="0"/>
              <w:rPr>
                <w:sz w:val="22"/>
                <w:szCs w:val="22"/>
                <w:color w:val="auto"/>
              </w:rPr>
            </w:pPr>
          </w:p>
        </w:tc>
        <w:tc>
          <w:tcPr>
            <w:tcW w:w="10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(18,270)</w:t>
            </w:r>
          </w:p>
        </w:tc>
        <w:tc>
          <w:tcPr>
            <w:tcW w:w="360" w:type="dxa"/>
            <w:vAlign w:val="bottom"/>
            <w:tcBorders>
              <w:bottom w:val="single" w:sz="8" w:color="CCEEFF"/>
            </w:tcBorders>
            <w:shd w:val="clear" w:color="auto" w:fill="CCEEFF"/>
          </w:tcPr>
          <w:p>
            <w:pPr>
              <w:spacing w:after="0"/>
              <w:rPr>
                <w:sz w:val="22"/>
                <w:szCs w:val="22"/>
                <w:color w:val="auto"/>
              </w:rPr>
            </w:pPr>
          </w:p>
        </w:tc>
        <w:tc>
          <w:tcPr>
            <w:tcW w:w="14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13,451,690</w:t>
            </w:r>
          </w:p>
        </w:tc>
        <w:tc>
          <w:tcPr>
            <w:tcW w:w="0" w:type="dxa"/>
            <w:vAlign w:val="bottom"/>
          </w:tcPr>
          <w:p>
            <w:pPr>
              <w:spacing w:after="0"/>
              <w:rPr>
                <w:sz w:val="1"/>
                <w:szCs w:val="1"/>
                <w:color w:val="auto"/>
              </w:rPr>
            </w:pPr>
          </w:p>
        </w:tc>
      </w:tr>
      <w:tr>
        <w:trPr>
          <w:trHeight w:val="223"/>
        </w:trPr>
        <w:tc>
          <w:tcPr>
            <w:tcW w:w="400" w:type="dxa"/>
            <w:vAlign w:val="bottom"/>
          </w:tcPr>
          <w:p>
            <w:pPr>
              <w:spacing w:after="0"/>
              <w:rPr>
                <w:sz w:val="19"/>
                <w:szCs w:val="19"/>
                <w:color w:val="auto"/>
              </w:rPr>
            </w:pPr>
          </w:p>
        </w:tc>
        <w:tc>
          <w:tcPr>
            <w:tcW w:w="6180" w:type="dxa"/>
            <w:vAlign w:val="bottom"/>
            <w:gridSpan w:val="2"/>
          </w:tcPr>
          <w:p>
            <w:pPr>
              <w:ind w:left="20"/>
              <w:spacing w:after="0"/>
              <w:rPr>
                <w:sz w:val="20"/>
                <w:szCs w:val="20"/>
                <w:color w:val="auto"/>
              </w:rPr>
            </w:pPr>
            <w:r>
              <w:rPr>
                <w:rFonts w:ascii="Arial" w:cs="Arial" w:eastAsia="Arial" w:hAnsi="Arial"/>
                <w:sz w:val="18"/>
                <w:szCs w:val="18"/>
                <w:color w:val="auto"/>
              </w:rPr>
              <w:t>Commitments and contingencies</w:t>
            </w:r>
          </w:p>
        </w:tc>
        <w:tc>
          <w:tcPr>
            <w:tcW w:w="200" w:type="dxa"/>
            <w:vAlign w:val="bottom"/>
            <w:tcBorders>
              <w:top w:val="single" w:sz="8" w:color="auto"/>
            </w:tcBorders>
          </w:tcPr>
          <w:p>
            <w:pPr>
              <w:spacing w:after="0"/>
              <w:rPr>
                <w:sz w:val="19"/>
                <w:szCs w:val="19"/>
                <w:color w:val="auto"/>
              </w:rPr>
            </w:pPr>
          </w:p>
        </w:tc>
        <w:tc>
          <w:tcPr>
            <w:tcW w:w="1180" w:type="dxa"/>
            <w:vAlign w:val="bottom"/>
            <w:tcBorders>
              <w:top w:val="single" w:sz="8" w:color="auto"/>
            </w:tcBorders>
          </w:tcPr>
          <w:p>
            <w:pPr>
              <w:spacing w:after="0"/>
              <w:rPr>
                <w:sz w:val="19"/>
                <w:szCs w:val="19"/>
                <w:color w:val="auto"/>
              </w:rPr>
            </w:pPr>
          </w:p>
        </w:tc>
        <w:tc>
          <w:tcPr>
            <w:tcW w:w="120" w:type="dxa"/>
            <w:vAlign w:val="bottom"/>
          </w:tcPr>
          <w:p>
            <w:pPr>
              <w:spacing w:after="0"/>
              <w:rPr>
                <w:sz w:val="19"/>
                <w:szCs w:val="19"/>
                <w:color w:val="auto"/>
              </w:rPr>
            </w:pPr>
          </w:p>
        </w:tc>
        <w:tc>
          <w:tcPr>
            <w:tcW w:w="140" w:type="dxa"/>
            <w:vAlign w:val="bottom"/>
            <w:tcBorders>
              <w:top w:val="single" w:sz="8" w:color="auto"/>
            </w:tcBorders>
          </w:tcPr>
          <w:p>
            <w:pPr>
              <w:spacing w:after="0"/>
              <w:rPr>
                <w:sz w:val="19"/>
                <w:szCs w:val="19"/>
                <w:color w:val="auto"/>
              </w:rPr>
            </w:pPr>
          </w:p>
        </w:tc>
        <w:tc>
          <w:tcPr>
            <w:tcW w:w="1060" w:type="dxa"/>
            <w:vAlign w:val="bottom"/>
            <w:tcBorders>
              <w:top w:val="single" w:sz="8" w:color="auto"/>
            </w:tcBorders>
          </w:tcPr>
          <w:p>
            <w:pPr>
              <w:spacing w:after="0"/>
              <w:rPr>
                <w:sz w:val="19"/>
                <w:szCs w:val="19"/>
                <w:color w:val="auto"/>
              </w:rPr>
            </w:pPr>
          </w:p>
        </w:tc>
        <w:tc>
          <w:tcPr>
            <w:tcW w:w="360" w:type="dxa"/>
            <w:vAlign w:val="bottom"/>
            <w:tcBorders>
              <w:top w:val="single" w:sz="8" w:color="auto"/>
            </w:tcBorders>
          </w:tcPr>
          <w:p>
            <w:pPr>
              <w:spacing w:after="0"/>
              <w:rPr>
                <w:sz w:val="19"/>
                <w:szCs w:val="19"/>
                <w:color w:val="auto"/>
              </w:rPr>
            </w:pPr>
          </w:p>
        </w:tc>
        <w:tc>
          <w:tcPr>
            <w:tcW w:w="1400" w:type="dxa"/>
            <w:vAlign w:val="bottom"/>
            <w:tcBorders>
              <w:top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41"/>
        </w:trPr>
        <w:tc>
          <w:tcPr>
            <w:tcW w:w="400" w:type="dxa"/>
            <w:vAlign w:val="bottom"/>
          </w:tcPr>
          <w:p>
            <w:pPr>
              <w:spacing w:after="0"/>
              <w:rPr>
                <w:sz w:val="3"/>
                <w:szCs w:val="3"/>
                <w:color w:val="auto"/>
              </w:rPr>
            </w:pPr>
          </w:p>
        </w:tc>
        <w:tc>
          <w:tcPr>
            <w:tcW w:w="700" w:type="dxa"/>
            <w:vAlign w:val="bottom"/>
          </w:tcPr>
          <w:p>
            <w:pPr>
              <w:spacing w:after="0"/>
              <w:rPr>
                <w:sz w:val="3"/>
                <w:szCs w:val="3"/>
                <w:color w:val="auto"/>
              </w:rPr>
            </w:pPr>
          </w:p>
        </w:tc>
        <w:tc>
          <w:tcPr>
            <w:tcW w:w="5480" w:type="dxa"/>
            <w:vAlign w:val="bottom"/>
          </w:tcPr>
          <w:p>
            <w:pPr>
              <w:spacing w:after="0"/>
              <w:rPr>
                <w:sz w:val="3"/>
                <w:szCs w:val="3"/>
                <w:color w:val="auto"/>
              </w:rPr>
            </w:pPr>
          </w:p>
        </w:tc>
        <w:tc>
          <w:tcPr>
            <w:tcW w:w="200" w:type="dxa"/>
            <w:vAlign w:val="bottom"/>
          </w:tcPr>
          <w:p>
            <w:pPr>
              <w:spacing w:after="0"/>
              <w:rPr>
                <w:sz w:val="3"/>
                <w:szCs w:val="3"/>
                <w:color w:val="auto"/>
              </w:rPr>
            </w:pPr>
          </w:p>
        </w:tc>
        <w:tc>
          <w:tcPr>
            <w:tcW w:w="1180" w:type="dxa"/>
            <w:vAlign w:val="bottom"/>
          </w:tcPr>
          <w:p>
            <w:pPr>
              <w:spacing w:after="0"/>
              <w:rPr>
                <w:sz w:val="3"/>
                <w:szCs w:val="3"/>
                <w:color w:val="auto"/>
              </w:rPr>
            </w:pPr>
          </w:p>
        </w:tc>
        <w:tc>
          <w:tcPr>
            <w:tcW w:w="120" w:type="dxa"/>
            <w:vAlign w:val="bottom"/>
          </w:tcPr>
          <w:p>
            <w:pPr>
              <w:spacing w:after="0"/>
              <w:rPr>
                <w:sz w:val="3"/>
                <w:szCs w:val="3"/>
                <w:color w:val="auto"/>
              </w:rPr>
            </w:pPr>
          </w:p>
        </w:tc>
        <w:tc>
          <w:tcPr>
            <w:tcW w:w="140" w:type="dxa"/>
            <w:vAlign w:val="bottom"/>
          </w:tcPr>
          <w:p>
            <w:pPr>
              <w:spacing w:after="0"/>
              <w:rPr>
                <w:sz w:val="3"/>
                <w:szCs w:val="3"/>
                <w:color w:val="auto"/>
              </w:rPr>
            </w:pPr>
          </w:p>
        </w:tc>
        <w:tc>
          <w:tcPr>
            <w:tcW w:w="1060" w:type="dxa"/>
            <w:vAlign w:val="bottom"/>
          </w:tcPr>
          <w:p>
            <w:pPr>
              <w:spacing w:after="0"/>
              <w:rPr>
                <w:sz w:val="3"/>
                <w:szCs w:val="3"/>
                <w:color w:val="auto"/>
              </w:rPr>
            </w:pPr>
          </w:p>
        </w:tc>
        <w:tc>
          <w:tcPr>
            <w:tcW w:w="360" w:type="dxa"/>
            <w:vAlign w:val="bottom"/>
          </w:tcPr>
          <w:p>
            <w:pPr>
              <w:spacing w:after="0"/>
              <w:rPr>
                <w:sz w:val="3"/>
                <w:szCs w:val="3"/>
                <w:color w:val="auto"/>
              </w:rPr>
            </w:pPr>
          </w:p>
        </w:tc>
        <w:tc>
          <w:tcPr>
            <w:tcW w:w="140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50"/>
        </w:trPr>
        <w:tc>
          <w:tcPr>
            <w:tcW w:w="400" w:type="dxa"/>
            <w:vAlign w:val="bottom"/>
          </w:tcPr>
          <w:p>
            <w:pPr>
              <w:spacing w:after="0"/>
              <w:rPr>
                <w:sz w:val="21"/>
                <w:szCs w:val="21"/>
                <w:color w:val="auto"/>
              </w:rPr>
            </w:pPr>
          </w:p>
        </w:tc>
        <w:tc>
          <w:tcPr>
            <w:tcW w:w="618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8"/>
                <w:szCs w:val="18"/>
                <w:color w:val="auto"/>
              </w:rPr>
              <w:t>Stockholders’ equity:</w:t>
            </w:r>
          </w:p>
        </w:tc>
        <w:tc>
          <w:tcPr>
            <w:tcW w:w="20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40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29"/>
        </w:trPr>
        <w:tc>
          <w:tcPr>
            <w:tcW w:w="400" w:type="dxa"/>
            <w:vAlign w:val="bottom"/>
          </w:tcPr>
          <w:p>
            <w:pPr>
              <w:spacing w:after="0"/>
              <w:rPr>
                <w:sz w:val="19"/>
                <w:szCs w:val="19"/>
                <w:color w:val="auto"/>
              </w:rPr>
            </w:pPr>
          </w:p>
        </w:tc>
        <w:tc>
          <w:tcPr>
            <w:tcW w:w="6180" w:type="dxa"/>
            <w:vAlign w:val="bottom"/>
            <w:gridSpan w:val="2"/>
          </w:tcPr>
          <w:p>
            <w:pPr>
              <w:ind w:left="160"/>
              <w:spacing w:after="0"/>
              <w:rPr>
                <w:sz w:val="20"/>
                <w:szCs w:val="20"/>
                <w:color w:val="auto"/>
              </w:rPr>
            </w:pPr>
            <w:r>
              <w:rPr>
                <w:rFonts w:ascii="Arial" w:cs="Arial" w:eastAsia="Arial" w:hAnsi="Arial"/>
                <w:sz w:val="18"/>
                <w:szCs w:val="18"/>
                <w:color w:val="auto"/>
                <w:w w:val="99"/>
              </w:rPr>
              <w:t>Preferred stock, par value $0.001, 1,321,514 shares authorized, issued and</w:t>
            </w:r>
          </w:p>
        </w:tc>
        <w:tc>
          <w:tcPr>
            <w:tcW w:w="200" w:type="dxa"/>
            <w:vAlign w:val="bottom"/>
          </w:tcPr>
          <w:p>
            <w:pPr>
              <w:spacing w:after="0"/>
              <w:rPr>
                <w:sz w:val="19"/>
                <w:szCs w:val="19"/>
                <w:color w:val="auto"/>
              </w:rPr>
            </w:pPr>
          </w:p>
        </w:tc>
        <w:tc>
          <w:tcPr>
            <w:tcW w:w="11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06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14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400" w:type="dxa"/>
            <w:vAlign w:val="bottom"/>
          </w:tcPr>
          <w:p>
            <w:pPr>
              <w:spacing w:after="0"/>
              <w:rPr>
                <w:sz w:val="20"/>
                <w:szCs w:val="20"/>
                <w:color w:val="auto"/>
              </w:rPr>
            </w:pPr>
          </w:p>
        </w:tc>
        <w:tc>
          <w:tcPr>
            <w:tcW w:w="6180" w:type="dxa"/>
            <w:vAlign w:val="bottom"/>
            <w:gridSpan w:val="2"/>
          </w:tcPr>
          <w:p>
            <w:pPr>
              <w:ind w:left="160"/>
              <w:spacing w:after="0"/>
              <w:rPr>
                <w:sz w:val="20"/>
                <w:szCs w:val="20"/>
                <w:color w:val="auto"/>
              </w:rPr>
            </w:pPr>
            <w:r>
              <w:rPr>
                <w:rFonts w:ascii="Arial" w:cs="Arial" w:eastAsia="Arial" w:hAnsi="Arial"/>
                <w:sz w:val="18"/>
                <w:szCs w:val="18"/>
                <w:color w:val="auto"/>
              </w:rPr>
              <w:t>outstanding at June 30, 2018 and December 31, 2017</w:t>
            </w:r>
          </w:p>
        </w:tc>
        <w:tc>
          <w:tcPr>
            <w:tcW w:w="200" w:type="dxa"/>
            <w:vAlign w:val="bottom"/>
          </w:tcPr>
          <w:p>
            <w:pPr>
              <w:spacing w:after="0"/>
              <w:rPr>
                <w:sz w:val="20"/>
                <w:szCs w:val="20"/>
                <w:color w:val="auto"/>
              </w:rPr>
            </w:pPr>
          </w:p>
        </w:tc>
        <w:tc>
          <w:tcPr>
            <w:tcW w:w="1180" w:type="dxa"/>
            <w:vAlign w:val="bottom"/>
          </w:tcPr>
          <w:p>
            <w:pPr>
              <w:jc w:val="right"/>
              <w:ind w:right="12"/>
              <w:spacing w:after="0"/>
              <w:rPr>
                <w:sz w:val="20"/>
                <w:szCs w:val="20"/>
                <w:color w:val="auto"/>
              </w:rPr>
            </w:pPr>
            <w:r>
              <w:rPr>
                <w:rFonts w:ascii="Arial" w:cs="Arial" w:eastAsia="Arial" w:hAnsi="Arial"/>
                <w:sz w:val="18"/>
                <w:szCs w:val="18"/>
                <w:color w:val="auto"/>
              </w:rPr>
              <w:t>1,322</w:t>
            </w:r>
          </w:p>
        </w:tc>
        <w:tc>
          <w:tcPr>
            <w:tcW w:w="1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060" w:type="dxa"/>
            <w:vAlign w:val="bottom"/>
          </w:tcPr>
          <w:p>
            <w:pPr>
              <w:jc w:val="right"/>
              <w:ind w:right="51"/>
              <w:spacing w:after="0"/>
              <w:rPr>
                <w:sz w:val="20"/>
                <w:szCs w:val="20"/>
                <w:color w:val="auto"/>
              </w:rPr>
            </w:pPr>
            <w:r>
              <w:rPr>
                <w:rFonts w:ascii="Arial" w:cs="Arial" w:eastAsia="Arial" w:hAnsi="Arial"/>
                <w:sz w:val="18"/>
                <w:szCs w:val="18"/>
                <w:color w:val="auto"/>
              </w:rPr>
              <w:t>—</w:t>
            </w:r>
          </w:p>
        </w:tc>
        <w:tc>
          <w:tcPr>
            <w:tcW w:w="360" w:type="dxa"/>
            <w:vAlign w:val="bottom"/>
          </w:tcPr>
          <w:p>
            <w:pPr>
              <w:spacing w:after="0"/>
              <w:rPr>
                <w:sz w:val="20"/>
                <w:szCs w:val="20"/>
                <w:color w:val="auto"/>
              </w:rPr>
            </w:pPr>
          </w:p>
        </w:tc>
        <w:tc>
          <w:tcPr>
            <w:tcW w:w="1400" w:type="dxa"/>
            <w:vAlign w:val="bottom"/>
          </w:tcPr>
          <w:p>
            <w:pPr>
              <w:jc w:val="right"/>
              <w:ind w:right="11"/>
              <w:spacing w:after="0"/>
              <w:rPr>
                <w:sz w:val="20"/>
                <w:szCs w:val="20"/>
                <w:color w:val="auto"/>
              </w:rPr>
            </w:pPr>
            <w:r>
              <w:rPr>
                <w:rFonts w:ascii="Arial" w:cs="Arial" w:eastAsia="Arial" w:hAnsi="Arial"/>
                <w:sz w:val="18"/>
                <w:szCs w:val="18"/>
                <w:color w:val="auto"/>
              </w:rPr>
              <w:t>1,322</w:t>
            </w:r>
          </w:p>
        </w:tc>
        <w:tc>
          <w:tcPr>
            <w:tcW w:w="0" w:type="dxa"/>
            <w:vAlign w:val="bottom"/>
          </w:tcPr>
          <w:p>
            <w:pPr>
              <w:spacing w:after="0"/>
              <w:rPr>
                <w:sz w:val="1"/>
                <w:szCs w:val="1"/>
                <w:color w:val="auto"/>
              </w:rPr>
            </w:pPr>
          </w:p>
        </w:tc>
      </w:tr>
      <w:tr>
        <w:trPr>
          <w:trHeight w:val="27"/>
        </w:trPr>
        <w:tc>
          <w:tcPr>
            <w:tcW w:w="400" w:type="dxa"/>
            <w:vAlign w:val="bottom"/>
          </w:tcPr>
          <w:p>
            <w:pPr>
              <w:spacing w:after="0"/>
              <w:rPr>
                <w:sz w:val="2"/>
                <w:szCs w:val="2"/>
                <w:color w:val="auto"/>
              </w:rPr>
            </w:pPr>
          </w:p>
        </w:tc>
        <w:tc>
          <w:tcPr>
            <w:tcW w:w="700" w:type="dxa"/>
            <w:vAlign w:val="bottom"/>
          </w:tcPr>
          <w:p>
            <w:pPr>
              <w:spacing w:after="0"/>
              <w:rPr>
                <w:sz w:val="2"/>
                <w:szCs w:val="2"/>
                <w:color w:val="auto"/>
              </w:rPr>
            </w:pPr>
          </w:p>
        </w:tc>
        <w:tc>
          <w:tcPr>
            <w:tcW w:w="5480" w:type="dxa"/>
            <w:vAlign w:val="bottom"/>
          </w:tcPr>
          <w:p>
            <w:pPr>
              <w:spacing w:after="0"/>
              <w:rPr>
                <w:sz w:val="2"/>
                <w:szCs w:val="2"/>
                <w:color w:val="auto"/>
              </w:rPr>
            </w:pPr>
          </w:p>
        </w:tc>
        <w:tc>
          <w:tcPr>
            <w:tcW w:w="20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060" w:type="dxa"/>
            <w:vAlign w:val="bottom"/>
          </w:tcPr>
          <w:p>
            <w:pPr>
              <w:spacing w:after="0"/>
              <w:rPr>
                <w:sz w:val="2"/>
                <w:szCs w:val="2"/>
                <w:color w:val="auto"/>
              </w:rPr>
            </w:pPr>
          </w:p>
        </w:tc>
        <w:tc>
          <w:tcPr>
            <w:tcW w:w="360" w:type="dxa"/>
            <w:vAlign w:val="bottom"/>
          </w:tcPr>
          <w:p>
            <w:pPr>
              <w:spacing w:after="0"/>
              <w:rPr>
                <w:sz w:val="2"/>
                <w:szCs w:val="2"/>
                <w:color w:val="auto"/>
              </w:rPr>
            </w:pPr>
          </w:p>
        </w:tc>
        <w:tc>
          <w:tcPr>
            <w:tcW w:w="14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29"/>
        </w:trPr>
        <w:tc>
          <w:tcPr>
            <w:tcW w:w="400" w:type="dxa"/>
            <w:vAlign w:val="bottom"/>
          </w:tcPr>
          <w:p>
            <w:pPr>
              <w:spacing w:after="0"/>
              <w:rPr>
                <w:sz w:val="19"/>
                <w:szCs w:val="19"/>
                <w:color w:val="auto"/>
              </w:rPr>
            </w:pPr>
          </w:p>
        </w:tc>
        <w:tc>
          <w:tcPr>
            <w:tcW w:w="6180" w:type="dxa"/>
            <w:vAlign w:val="bottom"/>
            <w:gridSpan w:val="2"/>
            <w:shd w:val="clear" w:color="auto" w:fill="CCEEFF"/>
          </w:tcPr>
          <w:p>
            <w:pPr>
              <w:ind w:left="160"/>
              <w:spacing w:after="0"/>
              <w:rPr>
                <w:sz w:val="20"/>
                <w:szCs w:val="20"/>
                <w:color w:val="auto"/>
              </w:rPr>
            </w:pPr>
            <w:r>
              <w:rPr>
                <w:rFonts w:ascii="Arial" w:cs="Arial" w:eastAsia="Arial" w:hAnsi="Arial"/>
                <w:sz w:val="18"/>
                <w:szCs w:val="18"/>
                <w:color w:val="auto"/>
                <w:w w:val="91"/>
              </w:rPr>
              <w:t>Common stock, par value $0.001, 100,000,000 shares authorized, 29,025,529 and</w:t>
            </w:r>
          </w:p>
        </w:tc>
        <w:tc>
          <w:tcPr>
            <w:tcW w:w="200" w:type="dxa"/>
            <w:vAlign w:val="bottom"/>
            <w:shd w:val="clear" w:color="auto" w:fill="CCEEFF"/>
          </w:tcPr>
          <w:p>
            <w:pPr>
              <w:spacing w:after="0"/>
              <w:rPr>
                <w:sz w:val="19"/>
                <w:szCs w:val="19"/>
                <w:color w:val="auto"/>
              </w:rPr>
            </w:pPr>
          </w:p>
        </w:tc>
        <w:tc>
          <w:tcPr>
            <w:tcW w:w="118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060" w:type="dxa"/>
            <w:vAlign w:val="bottom"/>
            <w:shd w:val="clear" w:color="auto" w:fill="CCEEFF"/>
          </w:tcPr>
          <w:p>
            <w:pPr>
              <w:spacing w:after="0"/>
              <w:rPr>
                <w:sz w:val="19"/>
                <w:szCs w:val="19"/>
                <w:color w:val="auto"/>
              </w:rPr>
            </w:pPr>
          </w:p>
        </w:tc>
        <w:tc>
          <w:tcPr>
            <w:tcW w:w="360" w:type="dxa"/>
            <w:vAlign w:val="bottom"/>
            <w:shd w:val="clear" w:color="auto" w:fill="CCEEFF"/>
          </w:tcPr>
          <w:p>
            <w:pPr>
              <w:spacing w:after="0"/>
              <w:rPr>
                <w:sz w:val="19"/>
                <w:szCs w:val="19"/>
                <w:color w:val="auto"/>
              </w:rPr>
            </w:pPr>
          </w:p>
        </w:tc>
        <w:tc>
          <w:tcPr>
            <w:tcW w:w="140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400" w:type="dxa"/>
            <w:vAlign w:val="bottom"/>
          </w:tcPr>
          <w:p>
            <w:pPr>
              <w:spacing w:after="0"/>
              <w:rPr>
                <w:sz w:val="18"/>
                <w:szCs w:val="18"/>
                <w:color w:val="auto"/>
              </w:rPr>
            </w:pPr>
          </w:p>
        </w:tc>
        <w:tc>
          <w:tcPr>
            <w:tcW w:w="6180" w:type="dxa"/>
            <w:vAlign w:val="bottom"/>
            <w:gridSpan w:val="2"/>
            <w:shd w:val="clear" w:color="auto" w:fill="CCEEFF"/>
          </w:tcPr>
          <w:p>
            <w:pPr>
              <w:ind w:left="160"/>
              <w:spacing w:after="0"/>
              <w:rPr>
                <w:sz w:val="20"/>
                <w:szCs w:val="20"/>
                <w:color w:val="auto"/>
              </w:rPr>
            </w:pPr>
            <w:r>
              <w:rPr>
                <w:rFonts w:ascii="Arial" w:cs="Arial" w:eastAsia="Arial" w:hAnsi="Arial"/>
                <w:sz w:val="18"/>
                <w:szCs w:val="18"/>
                <w:color w:val="auto"/>
                <w:w w:val="91"/>
              </w:rPr>
              <w:t>28,354,822 shares issued, 27,772,424 and 27,283,918 shares outstanding at June</w:t>
            </w:r>
          </w:p>
        </w:tc>
        <w:tc>
          <w:tcPr>
            <w:tcW w:w="200" w:type="dxa"/>
            <w:vAlign w:val="bottom"/>
            <w:shd w:val="clear" w:color="auto" w:fill="CCEEFF"/>
          </w:tcPr>
          <w:p>
            <w:pPr>
              <w:spacing w:after="0"/>
              <w:rPr>
                <w:sz w:val="18"/>
                <w:szCs w:val="18"/>
                <w:color w:val="auto"/>
              </w:rPr>
            </w:pPr>
          </w:p>
        </w:tc>
        <w:tc>
          <w:tcPr>
            <w:tcW w:w="11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6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14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37"/>
        </w:trPr>
        <w:tc>
          <w:tcPr>
            <w:tcW w:w="400" w:type="dxa"/>
            <w:vAlign w:val="bottom"/>
          </w:tcPr>
          <w:p>
            <w:pPr>
              <w:spacing w:after="0"/>
              <w:rPr>
                <w:sz w:val="20"/>
                <w:szCs w:val="20"/>
                <w:color w:val="auto"/>
              </w:rPr>
            </w:pPr>
          </w:p>
        </w:tc>
        <w:tc>
          <w:tcPr>
            <w:tcW w:w="6180" w:type="dxa"/>
            <w:vAlign w:val="bottom"/>
            <w:tcBorders>
              <w:bottom w:val="single" w:sz="8" w:color="CCEEFF"/>
            </w:tcBorders>
            <w:gridSpan w:val="2"/>
            <w:shd w:val="clear" w:color="auto" w:fill="CCEEFF"/>
          </w:tcPr>
          <w:p>
            <w:pPr>
              <w:ind w:left="160"/>
              <w:spacing w:after="0"/>
              <w:rPr>
                <w:sz w:val="20"/>
                <w:szCs w:val="20"/>
                <w:color w:val="auto"/>
              </w:rPr>
            </w:pPr>
            <w:r>
              <w:rPr>
                <w:rFonts w:ascii="Arial" w:cs="Arial" w:eastAsia="Arial" w:hAnsi="Arial"/>
                <w:sz w:val="18"/>
                <w:szCs w:val="18"/>
                <w:color w:val="auto"/>
              </w:rPr>
              <w:t>30, 2018 and December 31, 2017</w:t>
            </w:r>
          </w:p>
        </w:tc>
        <w:tc>
          <w:tcPr>
            <w:tcW w:w="200" w:type="dxa"/>
            <w:vAlign w:val="bottom"/>
            <w:tcBorders>
              <w:bottom w:val="single" w:sz="8" w:color="CCEEFF"/>
            </w:tcBorders>
            <w:shd w:val="clear" w:color="auto" w:fill="CCEEFF"/>
          </w:tcPr>
          <w:p>
            <w:pPr>
              <w:spacing w:after="0"/>
              <w:rPr>
                <w:sz w:val="20"/>
                <w:szCs w:val="20"/>
                <w:color w:val="auto"/>
              </w:rPr>
            </w:pPr>
          </w:p>
        </w:tc>
        <w:tc>
          <w:tcPr>
            <w:tcW w:w="118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29,897</w:t>
            </w:r>
          </w:p>
        </w:tc>
        <w:tc>
          <w:tcPr>
            <w:tcW w:w="120" w:type="dxa"/>
            <w:vAlign w:val="bottom"/>
            <w:tcBorders>
              <w:bottom w:val="single" w:sz="8" w:color="CCEEFF"/>
            </w:tcBorders>
            <w:shd w:val="clear" w:color="auto" w:fill="CCEEFF"/>
          </w:tcPr>
          <w:p>
            <w:pPr>
              <w:spacing w:after="0"/>
              <w:rPr>
                <w:sz w:val="20"/>
                <w:szCs w:val="20"/>
                <w:color w:val="auto"/>
              </w:rPr>
            </w:pPr>
          </w:p>
        </w:tc>
        <w:tc>
          <w:tcPr>
            <w:tcW w:w="140" w:type="dxa"/>
            <w:vAlign w:val="bottom"/>
            <w:tcBorders>
              <w:bottom w:val="single" w:sz="8" w:color="CCEEFF"/>
            </w:tcBorders>
            <w:shd w:val="clear" w:color="auto" w:fill="CCEEFF"/>
          </w:tcPr>
          <w:p>
            <w:pPr>
              <w:spacing w:after="0"/>
              <w:rPr>
                <w:sz w:val="20"/>
                <w:szCs w:val="20"/>
                <w:color w:val="auto"/>
              </w:rPr>
            </w:pPr>
          </w:p>
        </w:tc>
        <w:tc>
          <w:tcPr>
            <w:tcW w:w="1060" w:type="dxa"/>
            <w:vAlign w:val="bottom"/>
            <w:tcBorders>
              <w:bottom w:val="single" w:sz="8" w:color="CCEEFF"/>
            </w:tcBorders>
            <w:shd w:val="clear" w:color="auto" w:fill="CCEEFF"/>
          </w:tcPr>
          <w:p>
            <w:pPr>
              <w:jc w:val="right"/>
              <w:ind w:right="51"/>
              <w:spacing w:after="0"/>
              <w:rPr>
                <w:sz w:val="20"/>
                <w:szCs w:val="20"/>
                <w:color w:val="auto"/>
              </w:rPr>
            </w:pPr>
            <w:r>
              <w:rPr>
                <w:rFonts w:ascii="Arial" w:cs="Arial" w:eastAsia="Arial" w:hAnsi="Arial"/>
                <w:sz w:val="18"/>
                <w:szCs w:val="18"/>
                <w:color w:val="auto"/>
              </w:rPr>
              <w:t>—</w:t>
            </w:r>
          </w:p>
        </w:tc>
        <w:tc>
          <w:tcPr>
            <w:tcW w:w="360" w:type="dxa"/>
            <w:vAlign w:val="bottom"/>
            <w:tcBorders>
              <w:bottom w:val="single" w:sz="8" w:color="CCEEFF"/>
            </w:tcBorders>
            <w:shd w:val="clear" w:color="auto" w:fill="CCEEFF"/>
          </w:tcPr>
          <w:p>
            <w:pPr>
              <w:spacing w:after="0"/>
              <w:rPr>
                <w:sz w:val="20"/>
                <w:szCs w:val="20"/>
                <w:color w:val="auto"/>
              </w:rPr>
            </w:pPr>
          </w:p>
        </w:tc>
        <w:tc>
          <w:tcPr>
            <w:tcW w:w="14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29,897</w:t>
            </w:r>
          </w:p>
        </w:tc>
        <w:tc>
          <w:tcPr>
            <w:tcW w:w="0" w:type="dxa"/>
            <w:vAlign w:val="bottom"/>
          </w:tcPr>
          <w:p>
            <w:pPr>
              <w:spacing w:after="0"/>
              <w:rPr>
                <w:sz w:val="1"/>
                <w:szCs w:val="1"/>
                <w:color w:val="auto"/>
              </w:rPr>
            </w:pPr>
          </w:p>
        </w:tc>
      </w:tr>
      <w:tr>
        <w:trPr>
          <w:trHeight w:val="229"/>
        </w:trPr>
        <w:tc>
          <w:tcPr>
            <w:tcW w:w="400" w:type="dxa"/>
            <w:vAlign w:val="bottom"/>
          </w:tcPr>
          <w:p>
            <w:pPr>
              <w:spacing w:after="0"/>
              <w:rPr>
                <w:sz w:val="19"/>
                <w:szCs w:val="19"/>
                <w:color w:val="auto"/>
              </w:rPr>
            </w:pPr>
          </w:p>
        </w:tc>
        <w:tc>
          <w:tcPr>
            <w:tcW w:w="6180" w:type="dxa"/>
            <w:vAlign w:val="bottom"/>
            <w:gridSpan w:val="2"/>
          </w:tcPr>
          <w:p>
            <w:pPr>
              <w:ind w:left="160"/>
              <w:spacing w:after="0"/>
              <w:rPr>
                <w:sz w:val="20"/>
                <w:szCs w:val="20"/>
                <w:color w:val="auto"/>
              </w:rPr>
            </w:pPr>
            <w:r>
              <w:rPr>
                <w:rFonts w:ascii="Arial" w:cs="Arial" w:eastAsia="Arial" w:hAnsi="Arial"/>
                <w:sz w:val="18"/>
                <w:szCs w:val="18"/>
                <w:color w:val="auto"/>
                <w:w w:val="96"/>
              </w:rPr>
              <w:t>Treasury stock at cost, 1,253,105 and 1,070,904 shares at June 30, 2018 and</w:t>
            </w:r>
          </w:p>
        </w:tc>
        <w:tc>
          <w:tcPr>
            <w:tcW w:w="200" w:type="dxa"/>
            <w:vAlign w:val="bottom"/>
          </w:tcPr>
          <w:p>
            <w:pPr>
              <w:spacing w:after="0"/>
              <w:rPr>
                <w:sz w:val="19"/>
                <w:szCs w:val="19"/>
                <w:color w:val="auto"/>
              </w:rPr>
            </w:pPr>
          </w:p>
        </w:tc>
        <w:tc>
          <w:tcPr>
            <w:tcW w:w="11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06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14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400" w:type="dxa"/>
            <w:vAlign w:val="bottom"/>
          </w:tcPr>
          <w:p>
            <w:pPr>
              <w:spacing w:after="0"/>
              <w:rPr>
                <w:sz w:val="20"/>
                <w:szCs w:val="20"/>
                <w:color w:val="auto"/>
              </w:rPr>
            </w:pPr>
          </w:p>
        </w:tc>
        <w:tc>
          <w:tcPr>
            <w:tcW w:w="6180" w:type="dxa"/>
            <w:vAlign w:val="bottom"/>
            <w:gridSpan w:val="2"/>
          </w:tcPr>
          <w:p>
            <w:pPr>
              <w:ind w:left="160"/>
              <w:spacing w:after="0"/>
              <w:rPr>
                <w:sz w:val="20"/>
                <w:szCs w:val="20"/>
                <w:color w:val="auto"/>
              </w:rPr>
            </w:pPr>
            <w:r>
              <w:rPr>
                <w:rFonts w:ascii="Arial" w:cs="Arial" w:eastAsia="Arial" w:hAnsi="Arial"/>
                <w:sz w:val="18"/>
                <w:szCs w:val="18"/>
                <w:color w:val="auto"/>
              </w:rPr>
              <w:t>December 31, 2017</w:t>
            </w:r>
          </w:p>
        </w:tc>
        <w:tc>
          <w:tcPr>
            <w:tcW w:w="200" w:type="dxa"/>
            <w:vAlign w:val="bottom"/>
          </w:tcPr>
          <w:p>
            <w:pPr>
              <w:spacing w:after="0"/>
              <w:rPr>
                <w:sz w:val="20"/>
                <w:szCs w:val="20"/>
                <w:color w:val="auto"/>
              </w:rPr>
            </w:pPr>
          </w:p>
        </w:tc>
        <w:tc>
          <w:tcPr>
            <w:tcW w:w="1180" w:type="dxa"/>
            <w:vAlign w:val="bottom"/>
          </w:tcPr>
          <w:p>
            <w:pPr>
              <w:jc w:val="right"/>
              <w:spacing w:after="0"/>
              <w:rPr>
                <w:sz w:val="20"/>
                <w:szCs w:val="20"/>
                <w:color w:val="auto"/>
              </w:rPr>
            </w:pPr>
            <w:r>
              <w:rPr>
                <w:rFonts w:ascii="Arial" w:cs="Arial" w:eastAsia="Arial" w:hAnsi="Arial"/>
                <w:sz w:val="18"/>
                <w:szCs w:val="18"/>
                <w:color w:val="auto"/>
              </w:rPr>
              <w:t>(2,116,640)</w:t>
            </w:r>
          </w:p>
        </w:tc>
        <w:tc>
          <w:tcPr>
            <w:tcW w:w="1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060" w:type="dxa"/>
            <w:vAlign w:val="bottom"/>
          </w:tcPr>
          <w:p>
            <w:pPr>
              <w:jc w:val="right"/>
              <w:ind w:right="51"/>
              <w:spacing w:after="0"/>
              <w:rPr>
                <w:sz w:val="20"/>
                <w:szCs w:val="20"/>
                <w:color w:val="auto"/>
              </w:rPr>
            </w:pPr>
            <w:r>
              <w:rPr>
                <w:rFonts w:ascii="Arial" w:cs="Arial" w:eastAsia="Arial" w:hAnsi="Arial"/>
                <w:sz w:val="18"/>
                <w:szCs w:val="18"/>
                <w:color w:val="auto"/>
              </w:rPr>
              <w:t>—</w:t>
            </w:r>
          </w:p>
        </w:tc>
        <w:tc>
          <w:tcPr>
            <w:tcW w:w="360" w:type="dxa"/>
            <w:vAlign w:val="bottom"/>
          </w:tcPr>
          <w:p>
            <w:pPr>
              <w:spacing w:after="0"/>
              <w:rPr>
                <w:sz w:val="20"/>
                <w:szCs w:val="20"/>
                <w:color w:val="auto"/>
              </w:rPr>
            </w:pPr>
          </w:p>
        </w:tc>
        <w:tc>
          <w:tcPr>
            <w:tcW w:w="1400" w:type="dxa"/>
            <w:vAlign w:val="bottom"/>
          </w:tcPr>
          <w:p>
            <w:pPr>
              <w:jc w:val="right"/>
              <w:spacing w:after="0"/>
              <w:rPr>
                <w:sz w:val="20"/>
                <w:szCs w:val="20"/>
                <w:color w:val="auto"/>
              </w:rPr>
            </w:pPr>
            <w:r>
              <w:rPr>
                <w:rFonts w:ascii="Arial" w:cs="Arial" w:eastAsia="Arial" w:hAnsi="Arial"/>
                <w:sz w:val="18"/>
                <w:szCs w:val="18"/>
                <w:color w:val="auto"/>
              </w:rPr>
              <w:t>(2,116,640)</w:t>
            </w:r>
          </w:p>
        </w:tc>
        <w:tc>
          <w:tcPr>
            <w:tcW w:w="0" w:type="dxa"/>
            <w:vAlign w:val="bottom"/>
          </w:tcPr>
          <w:p>
            <w:pPr>
              <w:spacing w:after="0"/>
              <w:rPr>
                <w:sz w:val="1"/>
                <w:szCs w:val="1"/>
                <w:color w:val="auto"/>
              </w:rPr>
            </w:pPr>
          </w:p>
        </w:tc>
      </w:tr>
      <w:tr>
        <w:trPr>
          <w:trHeight w:val="27"/>
        </w:trPr>
        <w:tc>
          <w:tcPr>
            <w:tcW w:w="400" w:type="dxa"/>
            <w:vAlign w:val="bottom"/>
          </w:tcPr>
          <w:p>
            <w:pPr>
              <w:spacing w:after="0"/>
              <w:rPr>
                <w:sz w:val="2"/>
                <w:szCs w:val="2"/>
                <w:color w:val="auto"/>
              </w:rPr>
            </w:pPr>
          </w:p>
        </w:tc>
        <w:tc>
          <w:tcPr>
            <w:tcW w:w="700" w:type="dxa"/>
            <w:vAlign w:val="bottom"/>
          </w:tcPr>
          <w:p>
            <w:pPr>
              <w:spacing w:after="0"/>
              <w:rPr>
                <w:sz w:val="2"/>
                <w:szCs w:val="2"/>
                <w:color w:val="auto"/>
              </w:rPr>
            </w:pPr>
          </w:p>
        </w:tc>
        <w:tc>
          <w:tcPr>
            <w:tcW w:w="5480" w:type="dxa"/>
            <w:vAlign w:val="bottom"/>
          </w:tcPr>
          <w:p>
            <w:pPr>
              <w:spacing w:after="0"/>
              <w:rPr>
                <w:sz w:val="2"/>
                <w:szCs w:val="2"/>
                <w:color w:val="auto"/>
              </w:rPr>
            </w:pPr>
          </w:p>
        </w:tc>
        <w:tc>
          <w:tcPr>
            <w:tcW w:w="20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060" w:type="dxa"/>
            <w:vAlign w:val="bottom"/>
          </w:tcPr>
          <w:p>
            <w:pPr>
              <w:spacing w:after="0"/>
              <w:rPr>
                <w:sz w:val="2"/>
                <w:szCs w:val="2"/>
                <w:color w:val="auto"/>
              </w:rPr>
            </w:pPr>
          </w:p>
        </w:tc>
        <w:tc>
          <w:tcPr>
            <w:tcW w:w="360" w:type="dxa"/>
            <w:vAlign w:val="bottom"/>
          </w:tcPr>
          <w:p>
            <w:pPr>
              <w:spacing w:after="0"/>
              <w:rPr>
                <w:sz w:val="2"/>
                <w:szCs w:val="2"/>
                <w:color w:val="auto"/>
              </w:rPr>
            </w:pPr>
          </w:p>
        </w:tc>
        <w:tc>
          <w:tcPr>
            <w:tcW w:w="14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400" w:type="dxa"/>
            <w:vAlign w:val="bottom"/>
          </w:tcPr>
          <w:p>
            <w:pPr>
              <w:spacing w:after="0"/>
              <w:rPr>
                <w:sz w:val="21"/>
                <w:szCs w:val="21"/>
                <w:color w:val="auto"/>
              </w:rPr>
            </w:pPr>
          </w:p>
        </w:tc>
        <w:tc>
          <w:tcPr>
            <w:tcW w:w="6180" w:type="dxa"/>
            <w:vAlign w:val="bottom"/>
            <w:tcBorders>
              <w:bottom w:val="single" w:sz="8" w:color="CCEEFF"/>
            </w:tcBorders>
            <w:gridSpan w:val="2"/>
            <w:shd w:val="clear" w:color="auto" w:fill="CCEEFF"/>
          </w:tcPr>
          <w:p>
            <w:pPr>
              <w:ind w:left="160"/>
              <w:spacing w:after="0"/>
              <w:rPr>
                <w:sz w:val="20"/>
                <w:szCs w:val="20"/>
                <w:color w:val="auto"/>
              </w:rPr>
            </w:pPr>
            <w:r>
              <w:rPr>
                <w:rFonts w:ascii="Arial" w:cs="Arial" w:eastAsia="Arial" w:hAnsi="Arial"/>
                <w:sz w:val="18"/>
                <w:szCs w:val="18"/>
                <w:color w:val="auto"/>
              </w:rPr>
              <w:t>Additional paid-in capital</w:t>
            </w:r>
          </w:p>
        </w:tc>
        <w:tc>
          <w:tcPr>
            <w:tcW w:w="20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84,742,385</w:t>
            </w: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ind w:right="51"/>
              <w:spacing w:after="0"/>
              <w:rPr>
                <w:sz w:val="20"/>
                <w:szCs w:val="20"/>
                <w:color w:val="auto"/>
              </w:rPr>
            </w:pPr>
            <w:r>
              <w:rPr>
                <w:rFonts w:ascii="Arial" w:cs="Arial" w:eastAsia="Arial" w:hAnsi="Arial"/>
                <w:sz w:val="18"/>
                <w:szCs w:val="18"/>
                <w:color w:val="auto"/>
              </w:rPr>
              <w:t>—</w:t>
            </w:r>
          </w:p>
        </w:tc>
        <w:tc>
          <w:tcPr>
            <w:tcW w:w="360" w:type="dxa"/>
            <w:vAlign w:val="bottom"/>
            <w:tcBorders>
              <w:bottom w:val="single" w:sz="8" w:color="CCEEFF"/>
            </w:tcBorders>
            <w:shd w:val="clear" w:color="auto" w:fill="CCEEFF"/>
          </w:tcPr>
          <w:p>
            <w:pPr>
              <w:spacing w:after="0"/>
              <w:rPr>
                <w:sz w:val="21"/>
                <w:szCs w:val="21"/>
                <w:color w:val="auto"/>
              </w:rPr>
            </w:pPr>
          </w:p>
        </w:tc>
        <w:tc>
          <w:tcPr>
            <w:tcW w:w="14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84,742,385</w:t>
            </w:r>
          </w:p>
        </w:tc>
        <w:tc>
          <w:tcPr>
            <w:tcW w:w="0" w:type="dxa"/>
            <w:vAlign w:val="bottom"/>
          </w:tcPr>
          <w:p>
            <w:pPr>
              <w:spacing w:after="0"/>
              <w:rPr>
                <w:sz w:val="1"/>
                <w:szCs w:val="1"/>
                <w:color w:val="auto"/>
              </w:rPr>
            </w:pPr>
          </w:p>
        </w:tc>
      </w:tr>
      <w:tr>
        <w:trPr>
          <w:trHeight w:val="243"/>
        </w:trPr>
        <w:tc>
          <w:tcPr>
            <w:tcW w:w="400" w:type="dxa"/>
            <w:vAlign w:val="bottom"/>
          </w:tcPr>
          <w:p>
            <w:pPr>
              <w:spacing w:after="0"/>
              <w:rPr>
                <w:sz w:val="21"/>
                <w:szCs w:val="21"/>
                <w:color w:val="auto"/>
              </w:rPr>
            </w:pPr>
          </w:p>
        </w:tc>
        <w:tc>
          <w:tcPr>
            <w:tcW w:w="6180" w:type="dxa"/>
            <w:vAlign w:val="bottom"/>
            <w:gridSpan w:val="2"/>
          </w:tcPr>
          <w:p>
            <w:pPr>
              <w:ind w:left="160"/>
              <w:spacing w:after="0"/>
              <w:rPr>
                <w:sz w:val="20"/>
                <w:szCs w:val="20"/>
                <w:color w:val="auto"/>
              </w:rPr>
            </w:pPr>
            <w:r>
              <w:rPr>
                <w:rFonts w:ascii="Arial" w:cs="Arial" w:eastAsia="Arial" w:hAnsi="Arial"/>
                <w:sz w:val="18"/>
                <w:szCs w:val="18"/>
                <w:color w:val="auto"/>
              </w:rPr>
              <w:t>Accumulated deficit</w:t>
            </w:r>
          </w:p>
        </w:tc>
        <w:tc>
          <w:tcPr>
            <w:tcW w:w="200" w:type="dxa"/>
            <w:vAlign w:val="bottom"/>
          </w:tcPr>
          <w:p>
            <w:pPr>
              <w:spacing w:after="0"/>
              <w:rPr>
                <w:sz w:val="21"/>
                <w:szCs w:val="21"/>
                <w:color w:val="auto"/>
              </w:rPr>
            </w:pPr>
          </w:p>
        </w:tc>
        <w:tc>
          <w:tcPr>
            <w:tcW w:w="1180" w:type="dxa"/>
            <w:vAlign w:val="bottom"/>
          </w:tcPr>
          <w:p>
            <w:pPr>
              <w:jc w:val="right"/>
              <w:spacing w:after="0"/>
              <w:rPr>
                <w:sz w:val="20"/>
                <w:szCs w:val="20"/>
                <w:color w:val="auto"/>
              </w:rPr>
            </w:pPr>
            <w:r>
              <w:rPr>
                <w:rFonts w:ascii="Arial" w:cs="Arial" w:eastAsia="Arial" w:hAnsi="Arial"/>
                <w:sz w:val="18"/>
                <w:szCs w:val="18"/>
                <w:color w:val="auto"/>
              </w:rPr>
              <w:t>(30,963,818)</w:t>
            </w: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(498,755)</w:t>
            </w:r>
          </w:p>
        </w:tc>
        <w:tc>
          <w:tcPr>
            <w:tcW w:w="360" w:type="dxa"/>
            <w:vAlign w:val="bottom"/>
          </w:tcPr>
          <w:p>
            <w:pPr>
              <w:spacing w:after="0"/>
              <w:rPr>
                <w:sz w:val="21"/>
                <w:szCs w:val="21"/>
                <w:color w:val="auto"/>
              </w:rPr>
            </w:pPr>
          </w:p>
        </w:tc>
        <w:tc>
          <w:tcPr>
            <w:tcW w:w="1400" w:type="dxa"/>
            <w:vAlign w:val="bottom"/>
          </w:tcPr>
          <w:p>
            <w:pPr>
              <w:jc w:val="right"/>
              <w:spacing w:after="0"/>
              <w:rPr>
                <w:sz w:val="20"/>
                <w:szCs w:val="20"/>
                <w:color w:val="auto"/>
              </w:rPr>
            </w:pPr>
            <w:r>
              <w:rPr>
                <w:rFonts w:ascii="Arial" w:cs="Arial" w:eastAsia="Arial" w:hAnsi="Arial"/>
                <w:sz w:val="18"/>
                <w:szCs w:val="18"/>
                <w:color w:val="auto"/>
              </w:rPr>
              <w:t>(31,462,573)</w:t>
            </w:r>
          </w:p>
        </w:tc>
        <w:tc>
          <w:tcPr>
            <w:tcW w:w="0" w:type="dxa"/>
            <w:vAlign w:val="bottom"/>
          </w:tcPr>
          <w:p>
            <w:pPr>
              <w:spacing w:after="0"/>
              <w:rPr>
                <w:sz w:val="1"/>
                <w:szCs w:val="1"/>
                <w:color w:val="auto"/>
              </w:rPr>
            </w:pPr>
          </w:p>
        </w:tc>
      </w:tr>
      <w:tr>
        <w:trPr>
          <w:trHeight w:val="27"/>
        </w:trPr>
        <w:tc>
          <w:tcPr>
            <w:tcW w:w="400" w:type="dxa"/>
            <w:vAlign w:val="bottom"/>
          </w:tcPr>
          <w:p>
            <w:pPr>
              <w:spacing w:after="0"/>
              <w:rPr>
                <w:sz w:val="2"/>
                <w:szCs w:val="2"/>
                <w:color w:val="auto"/>
              </w:rPr>
            </w:pPr>
          </w:p>
        </w:tc>
        <w:tc>
          <w:tcPr>
            <w:tcW w:w="700" w:type="dxa"/>
            <w:vAlign w:val="bottom"/>
            <w:tcBorders>
              <w:bottom w:val="single" w:sz="8" w:color="CCEEFF"/>
            </w:tcBorders>
          </w:tcPr>
          <w:p>
            <w:pPr>
              <w:spacing w:after="0"/>
              <w:rPr>
                <w:sz w:val="2"/>
                <w:szCs w:val="2"/>
                <w:color w:val="auto"/>
              </w:rPr>
            </w:pPr>
          </w:p>
        </w:tc>
        <w:tc>
          <w:tcPr>
            <w:tcW w:w="548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4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4"/>
        </w:trPr>
        <w:tc>
          <w:tcPr>
            <w:tcW w:w="400" w:type="dxa"/>
            <w:vAlign w:val="bottom"/>
          </w:tcPr>
          <w:p>
            <w:pPr>
              <w:spacing w:after="0"/>
              <w:rPr>
                <w:sz w:val="22"/>
                <w:szCs w:val="22"/>
                <w:color w:val="auto"/>
              </w:rPr>
            </w:pPr>
          </w:p>
        </w:tc>
        <w:tc>
          <w:tcPr>
            <w:tcW w:w="6180" w:type="dxa"/>
            <w:vAlign w:val="bottom"/>
            <w:tcBorders>
              <w:bottom w:val="single" w:sz="8" w:color="CCEEFF"/>
            </w:tcBorders>
            <w:gridSpan w:val="2"/>
            <w:shd w:val="clear" w:color="auto" w:fill="CCEEFF"/>
          </w:tcPr>
          <w:p>
            <w:pPr>
              <w:ind w:left="380"/>
              <w:spacing w:after="0"/>
              <w:rPr>
                <w:sz w:val="20"/>
                <w:szCs w:val="20"/>
                <w:color w:val="auto"/>
              </w:rPr>
            </w:pPr>
            <w:r>
              <w:rPr>
                <w:rFonts w:ascii="Arial" w:cs="Arial" w:eastAsia="Arial" w:hAnsi="Arial"/>
                <w:sz w:val="18"/>
                <w:szCs w:val="18"/>
                <w:b w:val="1"/>
                <w:bCs w:val="1"/>
                <w:color w:val="auto"/>
              </w:rPr>
              <w:t>Total stockholders’ equity</w:t>
            </w:r>
          </w:p>
        </w:tc>
        <w:tc>
          <w:tcPr>
            <w:tcW w:w="200" w:type="dxa"/>
            <w:vAlign w:val="bottom"/>
            <w:tcBorders>
              <w:bottom w:val="single" w:sz="8" w:color="CCEEFF"/>
            </w:tcBorders>
            <w:shd w:val="clear" w:color="auto" w:fill="CCEEFF"/>
          </w:tcPr>
          <w:p>
            <w:pPr>
              <w:spacing w:after="0"/>
              <w:rPr>
                <w:sz w:val="22"/>
                <w:szCs w:val="22"/>
                <w:color w:val="auto"/>
              </w:rPr>
            </w:pPr>
          </w:p>
        </w:tc>
        <w:tc>
          <w:tcPr>
            <w:tcW w:w="118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51,693,146</w:t>
            </w:r>
          </w:p>
        </w:tc>
        <w:tc>
          <w:tcPr>
            <w:tcW w:w="120" w:type="dxa"/>
            <w:vAlign w:val="bottom"/>
            <w:tcBorders>
              <w:bottom w:val="single" w:sz="8" w:color="CCEEFF"/>
            </w:tcBorders>
            <w:shd w:val="clear" w:color="auto" w:fill="CCEEFF"/>
          </w:tcPr>
          <w:p>
            <w:pPr>
              <w:spacing w:after="0"/>
              <w:rPr>
                <w:sz w:val="22"/>
                <w:szCs w:val="22"/>
                <w:color w:val="auto"/>
              </w:rPr>
            </w:pPr>
          </w:p>
        </w:tc>
        <w:tc>
          <w:tcPr>
            <w:tcW w:w="140" w:type="dxa"/>
            <w:vAlign w:val="bottom"/>
            <w:tcBorders>
              <w:bottom w:val="single" w:sz="8" w:color="CCEEFF"/>
            </w:tcBorders>
            <w:shd w:val="clear" w:color="auto" w:fill="CCEEFF"/>
          </w:tcPr>
          <w:p>
            <w:pPr>
              <w:spacing w:after="0"/>
              <w:rPr>
                <w:sz w:val="22"/>
                <w:szCs w:val="22"/>
                <w:color w:val="auto"/>
              </w:rPr>
            </w:pPr>
          </w:p>
        </w:tc>
        <w:tc>
          <w:tcPr>
            <w:tcW w:w="10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(498,755)</w:t>
            </w:r>
          </w:p>
        </w:tc>
        <w:tc>
          <w:tcPr>
            <w:tcW w:w="360" w:type="dxa"/>
            <w:vAlign w:val="bottom"/>
            <w:tcBorders>
              <w:bottom w:val="single" w:sz="8" w:color="CCEEFF"/>
            </w:tcBorders>
            <w:shd w:val="clear" w:color="auto" w:fill="CCEEFF"/>
          </w:tcPr>
          <w:p>
            <w:pPr>
              <w:spacing w:after="0"/>
              <w:rPr>
                <w:sz w:val="22"/>
                <w:szCs w:val="22"/>
                <w:color w:val="auto"/>
              </w:rPr>
            </w:pPr>
          </w:p>
        </w:tc>
        <w:tc>
          <w:tcPr>
            <w:tcW w:w="14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51,194,391</w:t>
            </w:r>
          </w:p>
        </w:tc>
        <w:tc>
          <w:tcPr>
            <w:tcW w:w="0" w:type="dxa"/>
            <w:vAlign w:val="bottom"/>
          </w:tcPr>
          <w:p>
            <w:pPr>
              <w:spacing w:after="0"/>
              <w:rPr>
                <w:sz w:val="1"/>
                <w:szCs w:val="1"/>
                <w:color w:val="auto"/>
              </w:rPr>
            </w:pPr>
          </w:p>
        </w:tc>
      </w:tr>
      <w:tr>
        <w:trPr>
          <w:trHeight w:val="237"/>
        </w:trPr>
        <w:tc>
          <w:tcPr>
            <w:tcW w:w="400" w:type="dxa"/>
            <w:vAlign w:val="bottom"/>
          </w:tcPr>
          <w:p>
            <w:pPr>
              <w:spacing w:after="0"/>
              <w:rPr>
                <w:sz w:val="20"/>
                <w:szCs w:val="20"/>
                <w:color w:val="auto"/>
              </w:rPr>
            </w:pPr>
          </w:p>
        </w:tc>
        <w:tc>
          <w:tcPr>
            <w:tcW w:w="6180" w:type="dxa"/>
            <w:vAlign w:val="bottom"/>
            <w:gridSpan w:val="2"/>
          </w:tcPr>
          <w:p>
            <w:pPr>
              <w:ind w:left="580"/>
              <w:spacing w:after="0"/>
              <w:rPr>
                <w:sz w:val="20"/>
                <w:szCs w:val="20"/>
                <w:color w:val="auto"/>
              </w:rPr>
            </w:pPr>
            <w:r>
              <w:rPr>
                <w:rFonts w:ascii="Arial" w:cs="Arial" w:eastAsia="Arial" w:hAnsi="Arial"/>
                <w:sz w:val="18"/>
                <w:szCs w:val="18"/>
                <w:b w:val="1"/>
                <w:bCs w:val="1"/>
                <w:color w:val="auto"/>
              </w:rPr>
              <w:t>Total liabilities and stockholders’ equity</w:t>
            </w:r>
          </w:p>
        </w:tc>
        <w:tc>
          <w:tcPr>
            <w:tcW w:w="2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180" w:type="dxa"/>
            <w:vAlign w:val="bottom"/>
            <w:tcBorders>
              <w:top w:val="single" w:sz="8" w:color="auto"/>
            </w:tcBorders>
          </w:tcPr>
          <w:p>
            <w:pPr>
              <w:jc w:val="right"/>
              <w:ind w:right="12"/>
              <w:spacing w:after="0"/>
              <w:rPr>
                <w:sz w:val="20"/>
                <w:szCs w:val="20"/>
                <w:color w:val="auto"/>
              </w:rPr>
            </w:pPr>
            <w:r>
              <w:rPr>
                <w:rFonts w:ascii="Arial" w:cs="Arial" w:eastAsia="Arial" w:hAnsi="Arial"/>
                <w:sz w:val="18"/>
                <w:szCs w:val="18"/>
                <w:color w:val="auto"/>
              </w:rPr>
              <w:t>65,163,106</w:t>
            </w:r>
          </w:p>
        </w:tc>
        <w:tc>
          <w:tcPr>
            <w:tcW w:w="120" w:type="dxa"/>
            <w:vAlign w:val="bottom"/>
          </w:tcPr>
          <w:p>
            <w:pPr>
              <w:spacing w:after="0"/>
              <w:rPr>
                <w:sz w:val="20"/>
                <w:szCs w:val="20"/>
                <w:color w:val="auto"/>
              </w:rPr>
            </w:pPr>
          </w:p>
        </w:tc>
        <w:tc>
          <w:tcPr>
            <w:tcW w:w="1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10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(517,025)</w:t>
            </w:r>
          </w:p>
        </w:tc>
        <w:tc>
          <w:tcPr>
            <w:tcW w:w="360" w:type="dxa"/>
            <w:vAlign w:val="bottom"/>
            <w:tcBorders>
              <w:top w:val="single" w:sz="8" w:color="auto"/>
            </w:tcBorders>
          </w:tcPr>
          <w:p>
            <w:pPr>
              <w:ind w:left="80"/>
              <w:spacing w:after="0"/>
              <w:rPr>
                <w:sz w:val="20"/>
                <w:szCs w:val="20"/>
                <w:color w:val="auto"/>
              </w:rPr>
            </w:pPr>
            <w:r>
              <w:rPr>
                <w:rFonts w:ascii="Arial" w:cs="Arial" w:eastAsia="Arial" w:hAnsi="Arial"/>
                <w:sz w:val="18"/>
                <w:szCs w:val="18"/>
                <w:color w:val="auto"/>
              </w:rPr>
              <w:t>$</w:t>
            </w:r>
          </w:p>
        </w:tc>
        <w:tc>
          <w:tcPr>
            <w:tcW w:w="140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64,646,081</w:t>
            </w:r>
          </w:p>
        </w:tc>
        <w:tc>
          <w:tcPr>
            <w:tcW w:w="0" w:type="dxa"/>
            <w:vAlign w:val="bottom"/>
          </w:tcPr>
          <w:p>
            <w:pPr>
              <w:spacing w:after="0"/>
              <w:rPr>
                <w:sz w:val="1"/>
                <w:szCs w:val="1"/>
                <w:color w:val="auto"/>
              </w:rPr>
            </w:pPr>
          </w:p>
        </w:tc>
      </w:tr>
      <w:tr>
        <w:trPr>
          <w:trHeight w:val="27"/>
        </w:trPr>
        <w:tc>
          <w:tcPr>
            <w:tcW w:w="400" w:type="dxa"/>
            <w:vAlign w:val="bottom"/>
          </w:tcPr>
          <w:p>
            <w:pPr>
              <w:spacing w:after="0"/>
              <w:rPr>
                <w:sz w:val="2"/>
                <w:szCs w:val="2"/>
                <w:color w:val="auto"/>
              </w:rPr>
            </w:pPr>
          </w:p>
        </w:tc>
        <w:tc>
          <w:tcPr>
            <w:tcW w:w="700" w:type="dxa"/>
            <w:vAlign w:val="bottom"/>
          </w:tcPr>
          <w:p>
            <w:pPr>
              <w:spacing w:after="0"/>
              <w:rPr>
                <w:sz w:val="2"/>
                <w:szCs w:val="2"/>
                <w:color w:val="auto"/>
              </w:rPr>
            </w:pPr>
          </w:p>
        </w:tc>
        <w:tc>
          <w:tcPr>
            <w:tcW w:w="5480" w:type="dxa"/>
            <w:vAlign w:val="bottom"/>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4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400" w:type="dxa"/>
            <w:vAlign w:val="bottom"/>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548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4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ectPr>
          <w:pgSz w:w="11900" w:h="16838" w:orient="portrait"/>
          <w:cols w:equalWidth="0" w:num="1">
            <w:col w:w="11040"/>
          </w:cols>
          <w:pgMar w:left="240" w:top="114" w:right="61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77" w:lineRule="exact"/>
        <w:rPr>
          <w:sz w:val="20"/>
          <w:szCs w:val="20"/>
          <w:color w:val="auto"/>
        </w:rPr>
      </w:pPr>
    </w:p>
    <w:p>
      <w:pPr>
        <w:jc w:val="center"/>
        <w:ind w:right="-379"/>
        <w:spacing w:after="0"/>
        <w:rPr>
          <w:sz w:val="20"/>
          <w:szCs w:val="20"/>
          <w:color w:val="auto"/>
        </w:rPr>
      </w:pPr>
      <w:r>
        <w:rPr>
          <w:rFonts w:ascii="Arial" w:cs="Arial" w:eastAsia="Arial" w:hAnsi="Arial"/>
          <w:sz w:val="16"/>
          <w:szCs w:val="16"/>
          <w:color w:val="auto"/>
        </w:rPr>
        <w:t>12</w:t>
      </w:r>
    </w:p>
    <w:p>
      <w:pPr>
        <w:sectPr>
          <w:pgSz w:w="11900" w:h="16838" w:orient="portrait"/>
          <w:cols w:equalWidth="0" w:num="1">
            <w:col w:w="11040"/>
          </w:cols>
          <w:pgMar w:left="240" w:top="114" w:right="619" w:bottom="1440" w:gutter="0" w:footer="0" w:header="0"/>
          <w:type w:val="continuous"/>
        </w:sectPr>
      </w:pPr>
    </w:p>
    <w:bookmarkStart w:id="12" w:name="page13"/>
    <w:bookmarkEnd w:id="12"/>
    <w:tbl>
      <w:tblPr>
        <w:tblLayout w:type="fixed"/>
        <w:tblInd w:w="0" w:type="dxa"/>
        <w:tblCellMar>
          <w:top w:w="0" w:type="dxa"/>
          <w:left w:w="0" w:type="dxa"/>
          <w:bottom w:w="0" w:type="dxa"/>
          <w:right w:w="0" w:type="dxa"/>
        </w:tblCellMar>
      </w:tblPr>
      <w:tr>
        <w:trPr>
          <w:trHeight w:val="161"/>
        </w:trPr>
        <w:tc>
          <w:tcPr>
            <w:tcW w:w="3740" w:type="dxa"/>
            <w:vAlign w:val="bottom"/>
            <w:gridSpan w:val="3"/>
          </w:tcPr>
          <w:p>
            <w:pPr>
              <w:spacing w:after="0"/>
              <w:rPr>
                <w:rFonts w:ascii="Arial" w:cs="Arial" w:eastAsia="Arial" w:hAnsi="Arial"/>
                <w:sz w:val="14"/>
                <w:szCs w:val="14"/>
                <w:b w:val="1"/>
                <w:bCs w:val="1"/>
                <w:color w:val="0000EE"/>
              </w:rPr>
            </w:pPr>
            <w:hyperlink w:anchor="page2">
              <w:r>
                <w:rPr>
                  <w:rFonts w:ascii="Arial" w:cs="Arial" w:eastAsia="Arial" w:hAnsi="Arial"/>
                  <w:sz w:val="14"/>
                  <w:szCs w:val="14"/>
                  <w:b w:val="1"/>
                  <w:bCs w:val="1"/>
                  <w:color w:val="0000EE"/>
                </w:rPr>
                <w:t>Table of Contents</w:t>
              </w:r>
            </w:hyperlink>
          </w:p>
        </w:tc>
        <w:tc>
          <w:tcPr>
            <w:tcW w:w="180" w:type="dxa"/>
            <w:vAlign w:val="bottom"/>
          </w:tcPr>
          <w:p>
            <w:pPr>
              <w:spacing w:after="0"/>
              <w:rPr>
                <w:sz w:val="14"/>
                <w:szCs w:val="14"/>
                <w:color w:val="auto"/>
              </w:rPr>
            </w:pPr>
          </w:p>
        </w:tc>
        <w:tc>
          <w:tcPr>
            <w:tcW w:w="10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9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0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0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9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9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865"/>
        </w:trPr>
        <w:tc>
          <w:tcPr>
            <w:tcW w:w="260" w:type="dxa"/>
            <w:vAlign w:val="bottom"/>
            <w:tcBorders>
              <w:top w:val="single" w:sz="8" w:color="0000EE"/>
            </w:tcBorders>
          </w:tcPr>
          <w:p>
            <w:pPr>
              <w:spacing w:after="0"/>
              <w:rPr>
                <w:sz w:val="24"/>
                <w:szCs w:val="24"/>
                <w:color w:val="auto"/>
              </w:rPr>
            </w:pPr>
          </w:p>
        </w:tc>
        <w:tc>
          <w:tcPr>
            <w:tcW w:w="840" w:type="dxa"/>
            <w:vAlign w:val="bottom"/>
            <w:tcBorders>
              <w:top w:val="single" w:sz="8" w:color="0000EE"/>
            </w:tcBorders>
          </w:tcPr>
          <w:p>
            <w:pPr>
              <w:spacing w:after="0"/>
              <w:rPr>
                <w:sz w:val="24"/>
                <w:szCs w:val="24"/>
                <w:color w:val="auto"/>
              </w:rPr>
            </w:pPr>
          </w:p>
        </w:tc>
        <w:tc>
          <w:tcPr>
            <w:tcW w:w="2640" w:type="dxa"/>
            <w:vAlign w:val="bottom"/>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104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960" w:type="dxa"/>
            <w:vAlign w:val="bottom"/>
            <w:tcBorders>
              <w:bottom w:val="single" w:sz="8" w:color="auto"/>
            </w:tcBorders>
          </w:tcPr>
          <w:p>
            <w:pPr>
              <w:spacing w:after="0"/>
              <w:rPr>
                <w:sz w:val="24"/>
                <w:szCs w:val="24"/>
                <w:color w:val="auto"/>
              </w:rPr>
            </w:pPr>
          </w:p>
        </w:tc>
        <w:tc>
          <w:tcPr>
            <w:tcW w:w="2720" w:type="dxa"/>
            <w:vAlign w:val="bottom"/>
            <w:tcBorders>
              <w:bottom w:val="single" w:sz="8" w:color="auto"/>
            </w:tcBorders>
            <w:gridSpan w:val="7"/>
          </w:tcPr>
          <w:p>
            <w:pPr>
              <w:ind w:left="80"/>
              <w:spacing w:after="0"/>
              <w:rPr>
                <w:sz w:val="20"/>
                <w:szCs w:val="20"/>
                <w:color w:val="auto"/>
              </w:rPr>
            </w:pPr>
            <w:r>
              <w:rPr>
                <w:rFonts w:ascii="Arial" w:cs="Arial" w:eastAsia="Arial" w:hAnsi="Arial"/>
                <w:sz w:val="14"/>
                <w:szCs w:val="14"/>
                <w:b w:val="1"/>
                <w:bCs w:val="1"/>
                <w:color w:val="auto"/>
                <w:w w:val="95"/>
              </w:rPr>
              <w:t>Impact of changes in accounting policies</w:t>
            </w:r>
          </w:p>
        </w:tc>
        <w:tc>
          <w:tcPr>
            <w:tcW w:w="140" w:type="dxa"/>
            <w:vAlign w:val="bottom"/>
            <w:tcBorders>
              <w:bottom w:val="single" w:sz="8" w:color="auto"/>
            </w:tcBorders>
          </w:tcPr>
          <w:p>
            <w:pPr>
              <w:spacing w:after="0"/>
              <w:rPr>
                <w:sz w:val="24"/>
                <w:szCs w:val="24"/>
                <w:color w:val="auto"/>
              </w:rPr>
            </w:pPr>
          </w:p>
        </w:tc>
        <w:tc>
          <w:tcPr>
            <w:tcW w:w="96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96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50"/>
        </w:trPr>
        <w:tc>
          <w:tcPr>
            <w:tcW w:w="260" w:type="dxa"/>
            <w:vAlign w:val="bottom"/>
          </w:tcPr>
          <w:p>
            <w:pPr>
              <w:spacing w:after="0"/>
              <w:rPr>
                <w:sz w:val="21"/>
                <w:szCs w:val="21"/>
                <w:color w:val="auto"/>
              </w:rPr>
            </w:pPr>
          </w:p>
        </w:tc>
        <w:tc>
          <w:tcPr>
            <w:tcW w:w="840" w:type="dxa"/>
            <w:vAlign w:val="bottom"/>
          </w:tcPr>
          <w:p>
            <w:pPr>
              <w:spacing w:after="0"/>
              <w:rPr>
                <w:sz w:val="21"/>
                <w:szCs w:val="21"/>
                <w:color w:val="auto"/>
              </w:rPr>
            </w:pPr>
          </w:p>
        </w:tc>
        <w:tc>
          <w:tcPr>
            <w:tcW w:w="2640" w:type="dxa"/>
            <w:vAlign w:val="bottom"/>
          </w:tcPr>
          <w:p>
            <w:pPr>
              <w:spacing w:after="0"/>
              <w:rPr>
                <w:sz w:val="21"/>
                <w:szCs w:val="21"/>
                <w:color w:val="auto"/>
              </w:rPr>
            </w:pPr>
          </w:p>
        </w:tc>
        <w:tc>
          <w:tcPr>
            <w:tcW w:w="180" w:type="dxa"/>
            <w:vAlign w:val="bottom"/>
            <w:tcBorders>
              <w:bottom w:val="single" w:sz="8" w:color="auto"/>
            </w:tcBorders>
          </w:tcPr>
          <w:p>
            <w:pPr>
              <w:spacing w:after="0"/>
              <w:rPr>
                <w:sz w:val="21"/>
                <w:szCs w:val="21"/>
                <w:color w:val="auto"/>
              </w:rPr>
            </w:pPr>
          </w:p>
        </w:tc>
        <w:tc>
          <w:tcPr>
            <w:tcW w:w="3540" w:type="dxa"/>
            <w:vAlign w:val="bottom"/>
            <w:tcBorders>
              <w:bottom w:val="single" w:sz="8" w:color="auto"/>
            </w:tcBorders>
            <w:gridSpan w:val="7"/>
          </w:tcPr>
          <w:p>
            <w:pPr>
              <w:jc w:val="center"/>
              <w:ind w:right="72"/>
              <w:spacing w:after="0"/>
              <w:rPr>
                <w:sz w:val="20"/>
                <w:szCs w:val="20"/>
                <w:color w:val="auto"/>
              </w:rPr>
            </w:pPr>
            <w:r>
              <w:rPr>
                <w:rFonts w:ascii="Arial" w:cs="Arial" w:eastAsia="Arial" w:hAnsi="Arial"/>
                <w:sz w:val="14"/>
                <w:szCs w:val="14"/>
                <w:b w:val="1"/>
                <w:bCs w:val="1"/>
                <w:color w:val="auto"/>
                <w:w w:val="93"/>
              </w:rPr>
              <w:t>Three Months Ended June 30, 2018</w:t>
            </w:r>
          </w:p>
        </w:tc>
        <w:tc>
          <w:tcPr>
            <w:tcW w:w="120" w:type="dxa"/>
            <w:vAlign w:val="bottom"/>
          </w:tcPr>
          <w:p>
            <w:pPr>
              <w:spacing w:after="0"/>
              <w:rPr>
                <w:sz w:val="21"/>
                <w:szCs w:val="21"/>
                <w:color w:val="auto"/>
              </w:rPr>
            </w:pPr>
          </w:p>
        </w:tc>
        <w:tc>
          <w:tcPr>
            <w:tcW w:w="160" w:type="dxa"/>
            <w:vAlign w:val="bottom"/>
            <w:tcBorders>
              <w:bottom w:val="single" w:sz="8" w:color="auto"/>
            </w:tcBorders>
          </w:tcPr>
          <w:p>
            <w:pPr>
              <w:spacing w:after="0"/>
              <w:rPr>
                <w:sz w:val="21"/>
                <w:szCs w:val="21"/>
                <w:color w:val="auto"/>
              </w:rPr>
            </w:pPr>
          </w:p>
        </w:tc>
        <w:tc>
          <w:tcPr>
            <w:tcW w:w="3440" w:type="dxa"/>
            <w:vAlign w:val="bottom"/>
            <w:tcBorders>
              <w:bottom w:val="single" w:sz="8" w:color="auto"/>
            </w:tcBorders>
            <w:gridSpan w:val="7"/>
          </w:tcPr>
          <w:p>
            <w:pPr>
              <w:jc w:val="right"/>
              <w:ind w:right="694"/>
              <w:spacing w:after="0"/>
              <w:rPr>
                <w:sz w:val="20"/>
                <w:szCs w:val="20"/>
                <w:color w:val="auto"/>
              </w:rPr>
            </w:pPr>
            <w:r>
              <w:rPr>
                <w:rFonts w:ascii="Arial" w:cs="Arial" w:eastAsia="Arial" w:hAnsi="Arial"/>
                <w:sz w:val="14"/>
                <w:szCs w:val="14"/>
                <w:b w:val="1"/>
                <w:bCs w:val="1"/>
                <w:color w:val="auto"/>
              </w:rPr>
              <w:t>Six Months Ended June 30, 2018</w:t>
            </w:r>
          </w:p>
        </w:tc>
        <w:tc>
          <w:tcPr>
            <w:tcW w:w="0" w:type="dxa"/>
            <w:vAlign w:val="bottom"/>
          </w:tcPr>
          <w:p>
            <w:pPr>
              <w:spacing w:after="0"/>
              <w:rPr>
                <w:sz w:val="1"/>
                <w:szCs w:val="1"/>
                <w:color w:val="auto"/>
              </w:rPr>
            </w:pPr>
          </w:p>
        </w:tc>
      </w:tr>
      <w:tr>
        <w:trPr>
          <w:trHeight w:val="152"/>
        </w:trPr>
        <w:tc>
          <w:tcPr>
            <w:tcW w:w="260" w:type="dxa"/>
            <w:vAlign w:val="bottom"/>
          </w:tcPr>
          <w:p>
            <w:pPr>
              <w:spacing w:after="0"/>
              <w:rPr>
                <w:sz w:val="13"/>
                <w:szCs w:val="13"/>
                <w:color w:val="auto"/>
              </w:rPr>
            </w:pPr>
          </w:p>
        </w:tc>
        <w:tc>
          <w:tcPr>
            <w:tcW w:w="840" w:type="dxa"/>
            <w:vAlign w:val="bottom"/>
          </w:tcPr>
          <w:p>
            <w:pPr>
              <w:spacing w:after="0"/>
              <w:rPr>
                <w:sz w:val="13"/>
                <w:szCs w:val="13"/>
                <w:color w:val="auto"/>
              </w:rPr>
            </w:pPr>
          </w:p>
        </w:tc>
        <w:tc>
          <w:tcPr>
            <w:tcW w:w="264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0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9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320" w:type="dxa"/>
            <w:vAlign w:val="bottom"/>
            <w:gridSpan w:val="3"/>
            <w:vMerge w:val="restart"/>
          </w:tcPr>
          <w:p>
            <w:pPr>
              <w:jc w:val="center"/>
              <w:ind w:right="120"/>
              <w:spacing w:after="0"/>
              <w:rPr>
                <w:sz w:val="20"/>
                <w:szCs w:val="20"/>
                <w:color w:val="auto"/>
              </w:rPr>
            </w:pPr>
            <w:r>
              <w:rPr>
                <w:rFonts w:ascii="Arial" w:cs="Arial" w:eastAsia="Arial" w:hAnsi="Arial"/>
                <w:sz w:val="14"/>
                <w:szCs w:val="14"/>
                <w:b w:val="1"/>
                <w:bCs w:val="1"/>
                <w:color w:val="auto"/>
                <w:w w:val="90"/>
              </w:rPr>
              <w:t>Balances without</w:t>
            </w:r>
          </w:p>
        </w:tc>
        <w:tc>
          <w:tcPr>
            <w:tcW w:w="160" w:type="dxa"/>
            <w:vAlign w:val="bottom"/>
          </w:tcPr>
          <w:p>
            <w:pPr>
              <w:spacing w:after="0"/>
              <w:rPr>
                <w:sz w:val="13"/>
                <w:szCs w:val="13"/>
                <w:color w:val="auto"/>
              </w:rPr>
            </w:pPr>
          </w:p>
        </w:tc>
        <w:tc>
          <w:tcPr>
            <w:tcW w:w="10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9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960" w:type="dxa"/>
            <w:vAlign w:val="bottom"/>
          </w:tcPr>
          <w:p>
            <w:pPr>
              <w:jc w:val="center"/>
              <w:ind w:right="54"/>
              <w:spacing w:after="0" w:line="153" w:lineRule="exact"/>
              <w:rPr>
                <w:sz w:val="20"/>
                <w:szCs w:val="20"/>
                <w:color w:val="auto"/>
              </w:rPr>
            </w:pPr>
            <w:r>
              <w:rPr>
                <w:rFonts w:ascii="Arial" w:cs="Arial" w:eastAsia="Arial" w:hAnsi="Arial"/>
                <w:sz w:val="14"/>
                <w:szCs w:val="14"/>
                <w:b w:val="1"/>
                <w:bCs w:val="1"/>
                <w:color w:val="auto"/>
                <w:w w:val="87"/>
              </w:rPr>
              <w:t>Balances</w:t>
            </w:r>
          </w:p>
        </w:tc>
        <w:tc>
          <w:tcPr>
            <w:tcW w:w="0" w:type="dxa"/>
            <w:vAlign w:val="bottom"/>
          </w:tcPr>
          <w:p>
            <w:pPr>
              <w:spacing w:after="0"/>
              <w:rPr>
                <w:sz w:val="1"/>
                <w:szCs w:val="1"/>
                <w:color w:val="auto"/>
              </w:rPr>
            </w:pPr>
          </w:p>
        </w:tc>
      </w:tr>
      <w:tr>
        <w:trPr>
          <w:trHeight w:val="149"/>
        </w:trPr>
        <w:tc>
          <w:tcPr>
            <w:tcW w:w="260" w:type="dxa"/>
            <w:vAlign w:val="bottom"/>
          </w:tcPr>
          <w:p>
            <w:pPr>
              <w:spacing w:after="0"/>
              <w:rPr>
                <w:sz w:val="12"/>
                <w:szCs w:val="12"/>
                <w:color w:val="auto"/>
              </w:rPr>
            </w:pPr>
          </w:p>
        </w:tc>
        <w:tc>
          <w:tcPr>
            <w:tcW w:w="840" w:type="dxa"/>
            <w:vAlign w:val="bottom"/>
          </w:tcPr>
          <w:p>
            <w:pPr>
              <w:spacing w:after="0"/>
              <w:rPr>
                <w:sz w:val="12"/>
                <w:szCs w:val="12"/>
                <w:color w:val="auto"/>
              </w:rPr>
            </w:pPr>
          </w:p>
        </w:tc>
        <w:tc>
          <w:tcPr>
            <w:tcW w:w="264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0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9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320" w:type="dxa"/>
            <w:vAlign w:val="bottom"/>
            <w:gridSpan w:val="3"/>
            <w:vMerge w:val="continue"/>
          </w:tcPr>
          <w:p>
            <w:pPr>
              <w:spacing w:after="0"/>
              <w:rPr>
                <w:sz w:val="12"/>
                <w:szCs w:val="12"/>
                <w:color w:val="auto"/>
              </w:rPr>
            </w:pPr>
          </w:p>
        </w:tc>
        <w:tc>
          <w:tcPr>
            <w:tcW w:w="160" w:type="dxa"/>
            <w:vAlign w:val="bottom"/>
          </w:tcPr>
          <w:p>
            <w:pPr>
              <w:spacing w:after="0"/>
              <w:rPr>
                <w:sz w:val="12"/>
                <w:szCs w:val="12"/>
                <w:color w:val="auto"/>
              </w:rPr>
            </w:pPr>
          </w:p>
        </w:tc>
        <w:tc>
          <w:tcPr>
            <w:tcW w:w="10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9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960" w:type="dxa"/>
            <w:vAlign w:val="bottom"/>
          </w:tcPr>
          <w:p>
            <w:pPr>
              <w:jc w:val="center"/>
              <w:ind w:right="54"/>
              <w:spacing w:after="0" w:line="149" w:lineRule="exact"/>
              <w:rPr>
                <w:sz w:val="20"/>
                <w:szCs w:val="20"/>
                <w:color w:val="auto"/>
              </w:rPr>
            </w:pPr>
            <w:r>
              <w:rPr>
                <w:rFonts w:ascii="Arial" w:cs="Arial" w:eastAsia="Arial" w:hAnsi="Arial"/>
                <w:sz w:val="14"/>
                <w:szCs w:val="14"/>
                <w:b w:val="1"/>
                <w:bCs w:val="1"/>
                <w:color w:val="auto"/>
                <w:w w:val="92"/>
              </w:rPr>
              <w:t>without</w:t>
            </w:r>
          </w:p>
        </w:tc>
        <w:tc>
          <w:tcPr>
            <w:tcW w:w="0" w:type="dxa"/>
            <w:vAlign w:val="bottom"/>
          </w:tcPr>
          <w:p>
            <w:pPr>
              <w:spacing w:after="0"/>
              <w:rPr>
                <w:sz w:val="1"/>
                <w:szCs w:val="1"/>
                <w:color w:val="auto"/>
              </w:rPr>
            </w:pPr>
          </w:p>
        </w:tc>
      </w:tr>
      <w:tr>
        <w:trPr>
          <w:trHeight w:val="149"/>
        </w:trPr>
        <w:tc>
          <w:tcPr>
            <w:tcW w:w="260" w:type="dxa"/>
            <w:vAlign w:val="bottom"/>
          </w:tcPr>
          <w:p>
            <w:pPr>
              <w:spacing w:after="0"/>
              <w:rPr>
                <w:sz w:val="12"/>
                <w:szCs w:val="12"/>
                <w:color w:val="auto"/>
              </w:rPr>
            </w:pPr>
          </w:p>
        </w:tc>
        <w:tc>
          <w:tcPr>
            <w:tcW w:w="840" w:type="dxa"/>
            <w:vAlign w:val="bottom"/>
          </w:tcPr>
          <w:p>
            <w:pPr>
              <w:spacing w:after="0"/>
              <w:rPr>
                <w:sz w:val="12"/>
                <w:szCs w:val="12"/>
                <w:color w:val="auto"/>
              </w:rPr>
            </w:pPr>
          </w:p>
        </w:tc>
        <w:tc>
          <w:tcPr>
            <w:tcW w:w="264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040" w:type="dxa"/>
            <w:vAlign w:val="bottom"/>
            <w:vMerge w:val="restart"/>
          </w:tcPr>
          <w:p>
            <w:pPr>
              <w:jc w:val="right"/>
              <w:ind w:right="153"/>
              <w:spacing w:after="0"/>
              <w:rPr>
                <w:sz w:val="20"/>
                <w:szCs w:val="20"/>
                <w:color w:val="auto"/>
              </w:rPr>
            </w:pPr>
            <w:r>
              <w:rPr>
                <w:rFonts w:ascii="Arial" w:cs="Arial" w:eastAsia="Arial" w:hAnsi="Arial"/>
                <w:sz w:val="14"/>
                <w:szCs w:val="14"/>
                <w:b w:val="1"/>
                <w:bCs w:val="1"/>
                <w:color w:val="auto"/>
                <w:w w:val="99"/>
              </w:rPr>
              <w:t>As reported</w:t>
            </w:r>
          </w:p>
        </w:tc>
        <w:tc>
          <w:tcPr>
            <w:tcW w:w="100" w:type="dxa"/>
            <w:vAlign w:val="bottom"/>
            <w:vMerge w:val="restart"/>
          </w:tcPr>
          <w:p>
            <w:pPr>
              <w:spacing w:after="0"/>
              <w:rPr>
                <w:sz w:val="12"/>
                <w:szCs w:val="12"/>
                <w:color w:val="auto"/>
              </w:rPr>
            </w:pPr>
          </w:p>
        </w:tc>
        <w:tc>
          <w:tcPr>
            <w:tcW w:w="140" w:type="dxa"/>
            <w:vAlign w:val="bottom"/>
          </w:tcPr>
          <w:p>
            <w:pPr>
              <w:spacing w:after="0"/>
              <w:rPr>
                <w:sz w:val="12"/>
                <w:szCs w:val="12"/>
                <w:color w:val="auto"/>
              </w:rPr>
            </w:pPr>
          </w:p>
        </w:tc>
        <w:tc>
          <w:tcPr>
            <w:tcW w:w="960" w:type="dxa"/>
            <w:vAlign w:val="bottom"/>
            <w:vMerge w:val="restart"/>
          </w:tcPr>
          <w:p>
            <w:pPr>
              <w:jc w:val="center"/>
              <w:ind w:right="52"/>
              <w:spacing w:after="0"/>
              <w:rPr>
                <w:sz w:val="20"/>
                <w:szCs w:val="20"/>
                <w:color w:val="auto"/>
              </w:rPr>
            </w:pPr>
            <w:r>
              <w:rPr>
                <w:rFonts w:ascii="Arial" w:cs="Arial" w:eastAsia="Arial" w:hAnsi="Arial"/>
                <w:sz w:val="14"/>
                <w:szCs w:val="14"/>
                <w:b w:val="1"/>
                <w:bCs w:val="1"/>
                <w:color w:val="auto"/>
                <w:w w:val="91"/>
              </w:rPr>
              <w:t>Adjustments</w:t>
            </w:r>
          </w:p>
        </w:tc>
        <w:tc>
          <w:tcPr>
            <w:tcW w:w="100" w:type="dxa"/>
            <w:vAlign w:val="bottom"/>
          </w:tcPr>
          <w:p>
            <w:pPr>
              <w:spacing w:after="0"/>
              <w:rPr>
                <w:sz w:val="12"/>
                <w:szCs w:val="12"/>
                <w:color w:val="auto"/>
              </w:rPr>
            </w:pPr>
          </w:p>
        </w:tc>
        <w:tc>
          <w:tcPr>
            <w:tcW w:w="1320" w:type="dxa"/>
            <w:vAlign w:val="bottom"/>
            <w:gridSpan w:val="3"/>
          </w:tcPr>
          <w:p>
            <w:pPr>
              <w:jc w:val="center"/>
              <w:ind w:right="120"/>
              <w:spacing w:after="0" w:line="149" w:lineRule="exact"/>
              <w:rPr>
                <w:sz w:val="20"/>
                <w:szCs w:val="20"/>
                <w:color w:val="auto"/>
              </w:rPr>
            </w:pPr>
            <w:r>
              <w:rPr>
                <w:rFonts w:ascii="Arial" w:cs="Arial" w:eastAsia="Arial" w:hAnsi="Arial"/>
                <w:sz w:val="14"/>
                <w:szCs w:val="14"/>
                <w:b w:val="1"/>
                <w:bCs w:val="1"/>
                <w:color w:val="auto"/>
                <w:w w:val="91"/>
              </w:rPr>
              <w:t>adoption of Topic</w:t>
            </w:r>
          </w:p>
        </w:tc>
        <w:tc>
          <w:tcPr>
            <w:tcW w:w="160" w:type="dxa"/>
            <w:vAlign w:val="bottom"/>
          </w:tcPr>
          <w:p>
            <w:pPr>
              <w:spacing w:after="0"/>
              <w:rPr>
                <w:sz w:val="12"/>
                <w:szCs w:val="12"/>
                <w:color w:val="auto"/>
              </w:rPr>
            </w:pPr>
          </w:p>
        </w:tc>
        <w:tc>
          <w:tcPr>
            <w:tcW w:w="1040" w:type="dxa"/>
            <w:vAlign w:val="bottom"/>
            <w:vMerge w:val="restart"/>
          </w:tcPr>
          <w:p>
            <w:pPr>
              <w:jc w:val="right"/>
              <w:ind w:right="153"/>
              <w:spacing w:after="0"/>
              <w:rPr>
                <w:sz w:val="20"/>
                <w:szCs w:val="20"/>
                <w:color w:val="auto"/>
              </w:rPr>
            </w:pPr>
            <w:r>
              <w:rPr>
                <w:rFonts w:ascii="Arial" w:cs="Arial" w:eastAsia="Arial" w:hAnsi="Arial"/>
                <w:sz w:val="14"/>
                <w:szCs w:val="14"/>
                <w:b w:val="1"/>
                <w:bCs w:val="1"/>
                <w:color w:val="auto"/>
                <w:w w:val="99"/>
              </w:rPr>
              <w:t>As reported</w:t>
            </w:r>
          </w:p>
        </w:tc>
        <w:tc>
          <w:tcPr>
            <w:tcW w:w="100" w:type="dxa"/>
            <w:vAlign w:val="bottom"/>
            <w:vMerge w:val="restart"/>
          </w:tcPr>
          <w:p>
            <w:pPr>
              <w:spacing w:after="0"/>
              <w:rPr>
                <w:sz w:val="12"/>
                <w:szCs w:val="12"/>
                <w:color w:val="auto"/>
              </w:rPr>
            </w:pPr>
          </w:p>
        </w:tc>
        <w:tc>
          <w:tcPr>
            <w:tcW w:w="140" w:type="dxa"/>
            <w:vAlign w:val="bottom"/>
          </w:tcPr>
          <w:p>
            <w:pPr>
              <w:spacing w:after="0"/>
              <w:rPr>
                <w:sz w:val="12"/>
                <w:szCs w:val="12"/>
                <w:color w:val="auto"/>
              </w:rPr>
            </w:pPr>
          </w:p>
        </w:tc>
        <w:tc>
          <w:tcPr>
            <w:tcW w:w="960" w:type="dxa"/>
            <w:vAlign w:val="bottom"/>
            <w:vMerge w:val="restart"/>
          </w:tcPr>
          <w:p>
            <w:pPr>
              <w:jc w:val="center"/>
              <w:ind w:right="52"/>
              <w:spacing w:after="0"/>
              <w:rPr>
                <w:sz w:val="20"/>
                <w:szCs w:val="20"/>
                <w:color w:val="auto"/>
              </w:rPr>
            </w:pPr>
            <w:r>
              <w:rPr>
                <w:rFonts w:ascii="Arial" w:cs="Arial" w:eastAsia="Arial" w:hAnsi="Arial"/>
                <w:sz w:val="14"/>
                <w:szCs w:val="14"/>
                <w:b w:val="1"/>
                <w:bCs w:val="1"/>
                <w:color w:val="auto"/>
                <w:w w:val="91"/>
              </w:rPr>
              <w:t>Adjustments</w:t>
            </w:r>
          </w:p>
        </w:tc>
        <w:tc>
          <w:tcPr>
            <w:tcW w:w="100" w:type="dxa"/>
            <w:vAlign w:val="bottom"/>
            <w:vMerge w:val="restart"/>
          </w:tcPr>
          <w:p>
            <w:pPr>
              <w:spacing w:after="0"/>
              <w:rPr>
                <w:sz w:val="12"/>
                <w:szCs w:val="12"/>
                <w:color w:val="auto"/>
              </w:rPr>
            </w:pPr>
          </w:p>
        </w:tc>
        <w:tc>
          <w:tcPr>
            <w:tcW w:w="140" w:type="dxa"/>
            <w:vAlign w:val="bottom"/>
          </w:tcPr>
          <w:p>
            <w:pPr>
              <w:spacing w:after="0"/>
              <w:rPr>
                <w:sz w:val="12"/>
                <w:szCs w:val="12"/>
                <w:color w:val="auto"/>
              </w:rPr>
            </w:pPr>
          </w:p>
        </w:tc>
        <w:tc>
          <w:tcPr>
            <w:tcW w:w="960" w:type="dxa"/>
            <w:vAlign w:val="bottom"/>
          </w:tcPr>
          <w:p>
            <w:pPr>
              <w:jc w:val="center"/>
              <w:ind w:right="54"/>
              <w:spacing w:after="0" w:line="149" w:lineRule="exact"/>
              <w:rPr>
                <w:sz w:val="20"/>
                <w:szCs w:val="20"/>
                <w:color w:val="auto"/>
              </w:rPr>
            </w:pPr>
            <w:r>
              <w:rPr>
                <w:rFonts w:ascii="Arial" w:cs="Arial" w:eastAsia="Arial" w:hAnsi="Arial"/>
                <w:sz w:val="14"/>
                <w:szCs w:val="14"/>
                <w:b w:val="1"/>
                <w:bCs w:val="1"/>
                <w:color w:val="auto"/>
                <w:w w:val="91"/>
              </w:rPr>
              <w:t>adoption of</w:t>
            </w:r>
          </w:p>
        </w:tc>
        <w:tc>
          <w:tcPr>
            <w:tcW w:w="0" w:type="dxa"/>
            <w:vAlign w:val="bottom"/>
          </w:tcPr>
          <w:p>
            <w:pPr>
              <w:spacing w:after="0"/>
              <w:rPr>
                <w:sz w:val="1"/>
                <w:szCs w:val="1"/>
                <w:color w:val="auto"/>
              </w:rPr>
            </w:pPr>
          </w:p>
        </w:tc>
      </w:tr>
      <w:tr>
        <w:trPr>
          <w:trHeight w:val="192"/>
        </w:trPr>
        <w:tc>
          <w:tcPr>
            <w:tcW w:w="260" w:type="dxa"/>
            <w:vAlign w:val="bottom"/>
          </w:tcPr>
          <w:p>
            <w:pPr>
              <w:spacing w:after="0"/>
              <w:rPr>
                <w:sz w:val="16"/>
                <w:szCs w:val="16"/>
                <w:color w:val="auto"/>
              </w:rPr>
            </w:pPr>
          </w:p>
        </w:tc>
        <w:tc>
          <w:tcPr>
            <w:tcW w:w="840" w:type="dxa"/>
            <w:vAlign w:val="bottom"/>
          </w:tcPr>
          <w:p>
            <w:pPr>
              <w:spacing w:after="0"/>
              <w:rPr>
                <w:sz w:val="16"/>
                <w:szCs w:val="16"/>
                <w:color w:val="auto"/>
              </w:rPr>
            </w:pPr>
          </w:p>
        </w:tc>
        <w:tc>
          <w:tcPr>
            <w:tcW w:w="2640" w:type="dxa"/>
            <w:vAlign w:val="bottom"/>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1040" w:type="dxa"/>
            <w:vAlign w:val="bottom"/>
            <w:tcBorders>
              <w:bottom w:val="single" w:sz="8" w:color="auto"/>
            </w:tcBorders>
            <w:vMerge w:val="continue"/>
          </w:tcPr>
          <w:p>
            <w:pPr>
              <w:spacing w:after="0"/>
              <w:rPr>
                <w:sz w:val="16"/>
                <w:szCs w:val="16"/>
                <w:color w:val="auto"/>
              </w:rPr>
            </w:pPr>
          </w:p>
        </w:tc>
        <w:tc>
          <w:tcPr>
            <w:tcW w:w="100" w:type="dxa"/>
            <w:vAlign w:val="bottom"/>
            <w:vMerge w:val="continue"/>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960" w:type="dxa"/>
            <w:vAlign w:val="bottom"/>
            <w:tcBorders>
              <w:bottom w:val="single" w:sz="8" w:color="auto"/>
            </w:tcBorders>
            <w:vMerge w:val="continue"/>
          </w:tcPr>
          <w:p>
            <w:pPr>
              <w:spacing w:after="0"/>
              <w:rPr>
                <w:sz w:val="16"/>
                <w:szCs w:val="16"/>
                <w:color w:val="auto"/>
              </w:rPr>
            </w:pPr>
          </w:p>
        </w:tc>
        <w:tc>
          <w:tcPr>
            <w:tcW w:w="100" w:type="dxa"/>
            <w:vAlign w:val="bottom"/>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1020" w:type="dxa"/>
            <w:vAlign w:val="bottom"/>
            <w:tcBorders>
              <w:bottom w:val="single" w:sz="8" w:color="auto"/>
            </w:tcBorders>
          </w:tcPr>
          <w:p>
            <w:pPr>
              <w:jc w:val="center"/>
              <w:ind w:right="92"/>
              <w:spacing w:after="0"/>
              <w:rPr>
                <w:sz w:val="20"/>
                <w:szCs w:val="20"/>
                <w:color w:val="auto"/>
              </w:rPr>
            </w:pPr>
            <w:r>
              <w:rPr>
                <w:rFonts w:ascii="Arial" w:cs="Arial" w:eastAsia="Arial" w:hAnsi="Arial"/>
                <w:sz w:val="14"/>
                <w:szCs w:val="14"/>
                <w:b w:val="1"/>
                <w:bCs w:val="1"/>
                <w:color w:val="auto"/>
                <w:w w:val="85"/>
              </w:rPr>
              <w:t>606</w:t>
            </w:r>
          </w:p>
        </w:tc>
        <w:tc>
          <w:tcPr>
            <w:tcW w:w="120" w:type="dxa"/>
            <w:vAlign w:val="bottom"/>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1040" w:type="dxa"/>
            <w:vAlign w:val="bottom"/>
            <w:tcBorders>
              <w:bottom w:val="single" w:sz="8" w:color="auto"/>
            </w:tcBorders>
            <w:vMerge w:val="continue"/>
          </w:tcPr>
          <w:p>
            <w:pPr>
              <w:spacing w:after="0"/>
              <w:rPr>
                <w:sz w:val="16"/>
                <w:szCs w:val="16"/>
                <w:color w:val="auto"/>
              </w:rPr>
            </w:pPr>
          </w:p>
        </w:tc>
        <w:tc>
          <w:tcPr>
            <w:tcW w:w="100" w:type="dxa"/>
            <w:vAlign w:val="bottom"/>
            <w:vMerge w:val="continue"/>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960" w:type="dxa"/>
            <w:vAlign w:val="bottom"/>
            <w:tcBorders>
              <w:bottom w:val="single" w:sz="8" w:color="auto"/>
            </w:tcBorders>
            <w:vMerge w:val="continue"/>
          </w:tcPr>
          <w:p>
            <w:pPr>
              <w:spacing w:after="0"/>
              <w:rPr>
                <w:sz w:val="16"/>
                <w:szCs w:val="16"/>
                <w:color w:val="auto"/>
              </w:rPr>
            </w:pPr>
          </w:p>
        </w:tc>
        <w:tc>
          <w:tcPr>
            <w:tcW w:w="100" w:type="dxa"/>
            <w:vAlign w:val="bottom"/>
            <w:vMerge w:val="continue"/>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960" w:type="dxa"/>
            <w:vAlign w:val="bottom"/>
            <w:tcBorders>
              <w:bottom w:val="single" w:sz="8" w:color="auto"/>
            </w:tcBorders>
          </w:tcPr>
          <w:p>
            <w:pPr>
              <w:jc w:val="center"/>
              <w:ind w:right="54"/>
              <w:spacing w:after="0"/>
              <w:rPr>
                <w:sz w:val="20"/>
                <w:szCs w:val="20"/>
                <w:color w:val="auto"/>
              </w:rPr>
            </w:pPr>
            <w:r>
              <w:rPr>
                <w:rFonts w:ascii="Arial" w:cs="Arial" w:eastAsia="Arial" w:hAnsi="Arial"/>
                <w:sz w:val="14"/>
                <w:szCs w:val="14"/>
                <w:b w:val="1"/>
                <w:bCs w:val="1"/>
                <w:color w:val="auto"/>
                <w:w w:val="89"/>
              </w:rPr>
              <w:t>Topic 606</w:t>
            </w:r>
          </w:p>
        </w:tc>
        <w:tc>
          <w:tcPr>
            <w:tcW w:w="0" w:type="dxa"/>
            <w:vAlign w:val="bottom"/>
          </w:tcPr>
          <w:p>
            <w:pPr>
              <w:spacing w:after="0"/>
              <w:rPr>
                <w:sz w:val="1"/>
                <w:szCs w:val="1"/>
                <w:color w:val="auto"/>
              </w:rPr>
            </w:pPr>
          </w:p>
        </w:tc>
      </w:tr>
      <w:tr>
        <w:trPr>
          <w:trHeight w:val="244"/>
        </w:trPr>
        <w:tc>
          <w:tcPr>
            <w:tcW w:w="260" w:type="dxa"/>
            <w:vAlign w:val="bottom"/>
          </w:tcPr>
          <w:p>
            <w:pPr>
              <w:spacing w:after="0"/>
              <w:rPr>
                <w:sz w:val="21"/>
                <w:szCs w:val="21"/>
                <w:color w:val="auto"/>
              </w:rPr>
            </w:pPr>
          </w:p>
        </w:tc>
        <w:tc>
          <w:tcPr>
            <w:tcW w:w="840" w:type="dxa"/>
            <w:vAlign w:val="bottom"/>
          </w:tcPr>
          <w:p>
            <w:pPr>
              <w:spacing w:after="0"/>
              <w:rPr>
                <w:sz w:val="21"/>
                <w:szCs w:val="21"/>
                <w:color w:val="auto"/>
              </w:rPr>
            </w:pPr>
          </w:p>
        </w:tc>
        <w:tc>
          <w:tcPr>
            <w:tcW w:w="264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140" w:type="dxa"/>
            <w:vAlign w:val="bottom"/>
            <w:gridSpan w:val="2"/>
          </w:tcPr>
          <w:p>
            <w:pPr>
              <w:jc w:val="right"/>
              <w:ind w:right="340"/>
              <w:spacing w:after="0"/>
              <w:rPr>
                <w:sz w:val="20"/>
                <w:szCs w:val="20"/>
                <w:color w:val="auto"/>
              </w:rPr>
            </w:pPr>
            <w:r>
              <w:rPr>
                <w:rFonts w:ascii="Arial" w:cs="Arial" w:eastAsia="Arial" w:hAnsi="Arial"/>
                <w:sz w:val="14"/>
                <w:szCs w:val="14"/>
                <w:b w:val="1"/>
                <w:bCs w:val="1"/>
                <w:color w:val="auto"/>
              </w:rPr>
              <w:t>(unaudited)</w:t>
            </w:r>
          </w:p>
        </w:tc>
        <w:tc>
          <w:tcPr>
            <w:tcW w:w="140" w:type="dxa"/>
            <w:vAlign w:val="bottom"/>
          </w:tcPr>
          <w:p>
            <w:pPr>
              <w:spacing w:after="0"/>
              <w:rPr>
                <w:sz w:val="21"/>
                <w:szCs w:val="21"/>
                <w:color w:val="auto"/>
              </w:rPr>
            </w:pPr>
          </w:p>
        </w:tc>
        <w:tc>
          <w:tcPr>
            <w:tcW w:w="960" w:type="dxa"/>
            <w:vAlign w:val="bottom"/>
          </w:tcPr>
          <w:p>
            <w:pPr>
              <w:jc w:val="center"/>
              <w:ind w:right="72"/>
              <w:spacing w:after="0"/>
              <w:rPr>
                <w:sz w:val="20"/>
                <w:szCs w:val="20"/>
                <w:color w:val="auto"/>
              </w:rPr>
            </w:pPr>
            <w:r>
              <w:rPr>
                <w:rFonts w:ascii="Arial" w:cs="Arial" w:eastAsia="Arial" w:hAnsi="Arial"/>
                <w:sz w:val="14"/>
                <w:szCs w:val="14"/>
                <w:b w:val="1"/>
                <w:bCs w:val="1"/>
                <w:color w:val="auto"/>
                <w:w w:val="94"/>
              </w:rPr>
              <w:t>(unaudited)</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140" w:type="dxa"/>
            <w:vAlign w:val="bottom"/>
            <w:gridSpan w:val="2"/>
          </w:tcPr>
          <w:p>
            <w:pPr>
              <w:jc w:val="center"/>
              <w:ind w:right="300"/>
              <w:spacing w:after="0"/>
              <w:rPr>
                <w:sz w:val="20"/>
                <w:szCs w:val="20"/>
                <w:color w:val="auto"/>
              </w:rPr>
            </w:pPr>
            <w:r>
              <w:rPr>
                <w:rFonts w:ascii="Arial" w:cs="Arial" w:eastAsia="Arial" w:hAnsi="Arial"/>
                <w:sz w:val="14"/>
                <w:szCs w:val="14"/>
                <w:b w:val="1"/>
                <w:bCs w:val="1"/>
                <w:color w:val="auto"/>
                <w:w w:val="94"/>
              </w:rPr>
              <w:t>(unaudited)</w:t>
            </w:r>
          </w:p>
        </w:tc>
        <w:tc>
          <w:tcPr>
            <w:tcW w:w="160" w:type="dxa"/>
            <w:vAlign w:val="bottom"/>
          </w:tcPr>
          <w:p>
            <w:pPr>
              <w:spacing w:after="0"/>
              <w:rPr>
                <w:sz w:val="21"/>
                <w:szCs w:val="21"/>
                <w:color w:val="auto"/>
              </w:rPr>
            </w:pPr>
          </w:p>
        </w:tc>
        <w:tc>
          <w:tcPr>
            <w:tcW w:w="1140" w:type="dxa"/>
            <w:vAlign w:val="bottom"/>
            <w:gridSpan w:val="2"/>
          </w:tcPr>
          <w:p>
            <w:pPr>
              <w:jc w:val="right"/>
              <w:ind w:right="340"/>
              <w:spacing w:after="0"/>
              <w:rPr>
                <w:sz w:val="20"/>
                <w:szCs w:val="20"/>
                <w:color w:val="auto"/>
              </w:rPr>
            </w:pPr>
            <w:r>
              <w:rPr>
                <w:rFonts w:ascii="Arial" w:cs="Arial" w:eastAsia="Arial" w:hAnsi="Arial"/>
                <w:sz w:val="14"/>
                <w:szCs w:val="14"/>
                <w:b w:val="1"/>
                <w:bCs w:val="1"/>
                <w:color w:val="auto"/>
              </w:rPr>
              <w:t>(unaudited)</w:t>
            </w:r>
          </w:p>
        </w:tc>
        <w:tc>
          <w:tcPr>
            <w:tcW w:w="140" w:type="dxa"/>
            <w:vAlign w:val="bottom"/>
          </w:tcPr>
          <w:p>
            <w:pPr>
              <w:spacing w:after="0"/>
              <w:rPr>
                <w:sz w:val="21"/>
                <w:szCs w:val="21"/>
                <w:color w:val="auto"/>
              </w:rPr>
            </w:pPr>
          </w:p>
        </w:tc>
        <w:tc>
          <w:tcPr>
            <w:tcW w:w="1060" w:type="dxa"/>
            <w:vAlign w:val="bottom"/>
            <w:gridSpan w:val="2"/>
          </w:tcPr>
          <w:p>
            <w:pPr>
              <w:jc w:val="center"/>
              <w:ind w:right="260"/>
              <w:spacing w:after="0"/>
              <w:rPr>
                <w:sz w:val="20"/>
                <w:szCs w:val="20"/>
                <w:color w:val="auto"/>
              </w:rPr>
            </w:pPr>
            <w:r>
              <w:rPr>
                <w:rFonts w:ascii="Arial" w:cs="Arial" w:eastAsia="Arial" w:hAnsi="Arial"/>
                <w:sz w:val="14"/>
                <w:szCs w:val="14"/>
                <w:b w:val="1"/>
                <w:bCs w:val="1"/>
                <w:color w:val="auto"/>
                <w:w w:val="94"/>
              </w:rPr>
              <w:t>(unaudited)</w:t>
            </w:r>
          </w:p>
        </w:tc>
        <w:tc>
          <w:tcPr>
            <w:tcW w:w="140" w:type="dxa"/>
            <w:vAlign w:val="bottom"/>
          </w:tcPr>
          <w:p>
            <w:pPr>
              <w:spacing w:after="0"/>
              <w:rPr>
                <w:sz w:val="21"/>
                <w:szCs w:val="21"/>
                <w:color w:val="auto"/>
              </w:rPr>
            </w:pPr>
          </w:p>
        </w:tc>
        <w:tc>
          <w:tcPr>
            <w:tcW w:w="960" w:type="dxa"/>
            <w:vAlign w:val="bottom"/>
          </w:tcPr>
          <w:p>
            <w:pPr>
              <w:jc w:val="center"/>
              <w:ind w:right="34"/>
              <w:spacing w:after="0"/>
              <w:rPr>
                <w:sz w:val="20"/>
                <w:szCs w:val="20"/>
                <w:color w:val="auto"/>
              </w:rPr>
            </w:pPr>
            <w:r>
              <w:rPr>
                <w:rFonts w:ascii="Arial" w:cs="Arial" w:eastAsia="Arial" w:hAnsi="Arial"/>
                <w:sz w:val="14"/>
                <w:szCs w:val="14"/>
                <w:b w:val="1"/>
                <w:bCs w:val="1"/>
                <w:color w:val="auto"/>
                <w:w w:val="94"/>
              </w:rPr>
              <w:t>(unaudited)</w:t>
            </w:r>
          </w:p>
        </w:tc>
        <w:tc>
          <w:tcPr>
            <w:tcW w:w="0" w:type="dxa"/>
            <w:vAlign w:val="bottom"/>
          </w:tcPr>
          <w:p>
            <w:pPr>
              <w:spacing w:after="0"/>
              <w:rPr>
                <w:sz w:val="1"/>
                <w:szCs w:val="1"/>
                <w:color w:val="auto"/>
              </w:rPr>
            </w:pPr>
          </w:p>
        </w:tc>
      </w:tr>
      <w:tr>
        <w:trPr>
          <w:trHeight w:val="255"/>
        </w:trPr>
        <w:tc>
          <w:tcPr>
            <w:tcW w:w="260" w:type="dxa"/>
            <w:vAlign w:val="bottom"/>
          </w:tcPr>
          <w:p>
            <w:pPr>
              <w:spacing w:after="0"/>
              <w:rPr>
                <w:sz w:val="22"/>
                <w:szCs w:val="22"/>
                <w:color w:val="auto"/>
              </w:rPr>
            </w:pPr>
          </w:p>
        </w:tc>
        <w:tc>
          <w:tcPr>
            <w:tcW w:w="3480" w:type="dxa"/>
            <w:vAlign w:val="bottom"/>
            <w:gridSpan w:val="2"/>
          </w:tcPr>
          <w:p>
            <w:pPr>
              <w:ind w:left="20"/>
              <w:spacing w:after="0"/>
              <w:rPr>
                <w:sz w:val="20"/>
                <w:szCs w:val="20"/>
                <w:color w:val="auto"/>
              </w:rPr>
            </w:pPr>
            <w:r>
              <w:rPr>
                <w:rFonts w:ascii="Arial" w:cs="Arial" w:eastAsia="Arial" w:hAnsi="Arial"/>
                <w:sz w:val="18"/>
                <w:szCs w:val="18"/>
                <w:color w:val="auto"/>
              </w:rPr>
              <w:t>Revenues:</w:t>
            </w:r>
          </w:p>
        </w:tc>
        <w:tc>
          <w:tcPr>
            <w:tcW w:w="180" w:type="dxa"/>
            <w:vAlign w:val="bottom"/>
          </w:tcPr>
          <w:p>
            <w:pPr>
              <w:spacing w:after="0"/>
              <w:rPr>
                <w:sz w:val="22"/>
                <w:szCs w:val="22"/>
                <w:color w:val="auto"/>
              </w:rPr>
            </w:pPr>
          </w:p>
        </w:tc>
        <w:tc>
          <w:tcPr>
            <w:tcW w:w="104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96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10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104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96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96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7"/>
        </w:trPr>
        <w:tc>
          <w:tcPr>
            <w:tcW w:w="260" w:type="dxa"/>
            <w:vAlign w:val="bottom"/>
          </w:tcPr>
          <w:p>
            <w:pPr>
              <w:spacing w:after="0"/>
              <w:rPr>
                <w:sz w:val="2"/>
                <w:szCs w:val="2"/>
                <w:color w:val="auto"/>
              </w:rPr>
            </w:pPr>
          </w:p>
        </w:tc>
        <w:tc>
          <w:tcPr>
            <w:tcW w:w="840" w:type="dxa"/>
            <w:vAlign w:val="bottom"/>
          </w:tcPr>
          <w:p>
            <w:pPr>
              <w:spacing w:after="0"/>
              <w:rPr>
                <w:sz w:val="2"/>
                <w:szCs w:val="2"/>
                <w:color w:val="auto"/>
              </w:rPr>
            </w:pPr>
          </w:p>
        </w:tc>
        <w:tc>
          <w:tcPr>
            <w:tcW w:w="264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9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9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9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260" w:type="dxa"/>
            <w:vAlign w:val="bottom"/>
          </w:tcPr>
          <w:p>
            <w:pPr>
              <w:spacing w:after="0"/>
              <w:rPr>
                <w:sz w:val="21"/>
                <w:szCs w:val="21"/>
                <w:color w:val="auto"/>
              </w:rPr>
            </w:pPr>
          </w:p>
        </w:tc>
        <w:tc>
          <w:tcPr>
            <w:tcW w:w="3480" w:type="dxa"/>
            <w:vAlign w:val="bottom"/>
            <w:tcBorders>
              <w:bottom w:val="single" w:sz="8" w:color="CCEEFF"/>
            </w:tcBorders>
            <w:gridSpan w:val="2"/>
            <w:shd w:val="clear" w:color="auto" w:fill="CCEEFF"/>
          </w:tcPr>
          <w:p>
            <w:pPr>
              <w:ind w:left="160"/>
              <w:spacing w:after="0"/>
              <w:rPr>
                <w:sz w:val="20"/>
                <w:szCs w:val="20"/>
                <w:color w:val="auto"/>
              </w:rPr>
            </w:pPr>
            <w:r>
              <w:rPr>
                <w:rFonts w:ascii="Arial" w:cs="Arial" w:eastAsia="Arial" w:hAnsi="Arial"/>
                <w:sz w:val="18"/>
                <w:szCs w:val="18"/>
                <w:color w:val="auto"/>
              </w:rPr>
              <w:t>Technology development</w:t>
            </w: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040" w:type="dxa"/>
            <w:vAlign w:val="bottom"/>
            <w:tcBorders>
              <w:bottom w:val="single" w:sz="8" w:color="CCEEFF"/>
            </w:tcBorders>
            <w:shd w:val="clear" w:color="auto" w:fill="CCEEFF"/>
          </w:tcPr>
          <w:p>
            <w:pPr>
              <w:jc w:val="right"/>
              <w:ind w:right="33"/>
              <w:spacing w:after="0"/>
              <w:rPr>
                <w:sz w:val="20"/>
                <w:szCs w:val="20"/>
                <w:color w:val="auto"/>
              </w:rPr>
            </w:pPr>
            <w:r>
              <w:rPr>
                <w:rFonts w:ascii="Arial" w:cs="Arial" w:eastAsia="Arial" w:hAnsi="Arial"/>
                <w:sz w:val="18"/>
                <w:szCs w:val="18"/>
                <w:color w:val="auto"/>
              </w:rPr>
              <w:t>5,466,281</w:t>
            </w: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96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w:t>
            </w:r>
          </w:p>
        </w:tc>
        <w:tc>
          <w:tcPr>
            <w:tcW w:w="280" w:type="dxa"/>
            <w:vAlign w:val="bottom"/>
            <w:tcBorders>
              <w:bottom w:val="single" w:sz="8" w:color="CCEEFF"/>
            </w:tcBorders>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02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5,466,281</w:t>
            </w: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040" w:type="dxa"/>
            <w:vAlign w:val="bottom"/>
            <w:tcBorders>
              <w:bottom w:val="single" w:sz="8" w:color="CCEEFF"/>
            </w:tcBorders>
            <w:shd w:val="clear" w:color="auto" w:fill="CCEEFF"/>
          </w:tcPr>
          <w:p>
            <w:pPr>
              <w:jc w:val="right"/>
              <w:ind w:right="33"/>
              <w:spacing w:after="0"/>
              <w:rPr>
                <w:sz w:val="20"/>
                <w:szCs w:val="20"/>
                <w:color w:val="auto"/>
              </w:rPr>
            </w:pPr>
            <w:r>
              <w:rPr>
                <w:rFonts w:ascii="Arial" w:cs="Arial" w:eastAsia="Arial" w:hAnsi="Arial"/>
                <w:sz w:val="18"/>
                <w:szCs w:val="18"/>
                <w:color w:val="auto"/>
                <w:w w:val="99"/>
              </w:rPr>
              <w:t>10,103,056</w:t>
            </w: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06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960" w:type="dxa"/>
            <w:vAlign w:val="bottom"/>
            <w:tcBorders>
              <w:bottom w:val="single" w:sz="8" w:color="CCEEFF"/>
            </w:tcBorders>
            <w:shd w:val="clear" w:color="auto" w:fill="CCEEFF"/>
          </w:tcPr>
          <w:p>
            <w:pPr>
              <w:jc w:val="right"/>
              <w:ind w:right="34"/>
              <w:spacing w:after="0"/>
              <w:rPr>
                <w:sz w:val="20"/>
                <w:szCs w:val="20"/>
                <w:color w:val="auto"/>
              </w:rPr>
            </w:pPr>
            <w:r>
              <w:rPr>
                <w:rFonts w:ascii="Arial" w:cs="Arial" w:eastAsia="Arial" w:hAnsi="Arial"/>
                <w:sz w:val="18"/>
                <w:szCs w:val="18"/>
                <w:color w:val="auto"/>
                <w:w w:val="90"/>
              </w:rPr>
              <w:t>10,103,056</w:t>
            </w:r>
          </w:p>
        </w:tc>
        <w:tc>
          <w:tcPr>
            <w:tcW w:w="0" w:type="dxa"/>
            <w:vAlign w:val="bottom"/>
          </w:tcPr>
          <w:p>
            <w:pPr>
              <w:spacing w:after="0"/>
              <w:rPr>
                <w:sz w:val="1"/>
                <w:szCs w:val="1"/>
                <w:color w:val="auto"/>
              </w:rPr>
            </w:pPr>
          </w:p>
        </w:tc>
      </w:tr>
      <w:tr>
        <w:trPr>
          <w:trHeight w:val="243"/>
        </w:trPr>
        <w:tc>
          <w:tcPr>
            <w:tcW w:w="260" w:type="dxa"/>
            <w:vAlign w:val="bottom"/>
          </w:tcPr>
          <w:p>
            <w:pPr>
              <w:spacing w:after="0"/>
              <w:rPr>
                <w:sz w:val="21"/>
                <w:szCs w:val="21"/>
                <w:color w:val="auto"/>
              </w:rPr>
            </w:pPr>
          </w:p>
        </w:tc>
        <w:tc>
          <w:tcPr>
            <w:tcW w:w="3480" w:type="dxa"/>
            <w:vAlign w:val="bottom"/>
            <w:gridSpan w:val="2"/>
          </w:tcPr>
          <w:p>
            <w:pPr>
              <w:ind w:left="160"/>
              <w:spacing w:after="0"/>
              <w:rPr>
                <w:sz w:val="20"/>
                <w:szCs w:val="20"/>
                <w:color w:val="auto"/>
              </w:rPr>
            </w:pPr>
            <w:r>
              <w:rPr>
                <w:rFonts w:ascii="Arial" w:cs="Arial" w:eastAsia="Arial" w:hAnsi="Arial"/>
                <w:sz w:val="18"/>
                <w:szCs w:val="18"/>
                <w:color w:val="auto"/>
              </w:rPr>
              <w:t>Products and licensing</w:t>
            </w:r>
          </w:p>
        </w:tc>
        <w:tc>
          <w:tcPr>
            <w:tcW w:w="180" w:type="dxa"/>
            <w:vAlign w:val="bottom"/>
          </w:tcPr>
          <w:p>
            <w:pPr>
              <w:spacing w:after="0"/>
              <w:rPr>
                <w:sz w:val="21"/>
                <w:szCs w:val="21"/>
                <w:color w:val="auto"/>
              </w:rPr>
            </w:pPr>
          </w:p>
        </w:tc>
        <w:tc>
          <w:tcPr>
            <w:tcW w:w="1040" w:type="dxa"/>
            <w:vAlign w:val="bottom"/>
          </w:tcPr>
          <w:p>
            <w:pPr>
              <w:jc w:val="right"/>
              <w:ind w:right="33"/>
              <w:spacing w:after="0"/>
              <w:rPr>
                <w:sz w:val="20"/>
                <w:szCs w:val="20"/>
                <w:color w:val="auto"/>
              </w:rPr>
            </w:pPr>
            <w:r>
              <w:rPr>
                <w:rFonts w:ascii="Arial" w:cs="Arial" w:eastAsia="Arial" w:hAnsi="Arial"/>
                <w:sz w:val="18"/>
                <w:szCs w:val="18"/>
                <w:color w:val="auto"/>
              </w:rPr>
              <w:t>8,306,367</w:t>
            </w: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rPr>
              <w:t>(231,975)</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020" w:type="dxa"/>
            <w:vAlign w:val="bottom"/>
          </w:tcPr>
          <w:p>
            <w:pPr>
              <w:jc w:val="right"/>
              <w:ind w:right="12"/>
              <w:spacing w:after="0"/>
              <w:rPr>
                <w:sz w:val="20"/>
                <w:szCs w:val="20"/>
                <w:color w:val="auto"/>
              </w:rPr>
            </w:pPr>
            <w:r>
              <w:rPr>
                <w:rFonts w:ascii="Arial" w:cs="Arial" w:eastAsia="Arial" w:hAnsi="Arial"/>
                <w:sz w:val="18"/>
                <w:szCs w:val="18"/>
                <w:color w:val="auto"/>
              </w:rPr>
              <w:t>8,074,392</w:t>
            </w: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040" w:type="dxa"/>
            <w:vAlign w:val="bottom"/>
          </w:tcPr>
          <w:p>
            <w:pPr>
              <w:jc w:val="right"/>
              <w:ind w:right="33"/>
              <w:spacing w:after="0"/>
              <w:rPr>
                <w:sz w:val="20"/>
                <w:szCs w:val="20"/>
                <w:color w:val="auto"/>
              </w:rPr>
            </w:pPr>
            <w:r>
              <w:rPr>
                <w:rFonts w:ascii="Arial" w:cs="Arial" w:eastAsia="Arial" w:hAnsi="Arial"/>
                <w:sz w:val="18"/>
                <w:szCs w:val="18"/>
                <w:color w:val="auto"/>
                <w:w w:val="99"/>
              </w:rPr>
              <w:t>15,862,763</w:t>
            </w: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rPr>
              <w:t>(357,752)</w:t>
            </w: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960" w:type="dxa"/>
            <w:vAlign w:val="bottom"/>
          </w:tcPr>
          <w:p>
            <w:pPr>
              <w:jc w:val="right"/>
              <w:ind w:right="34"/>
              <w:spacing w:after="0"/>
              <w:rPr>
                <w:sz w:val="20"/>
                <w:szCs w:val="20"/>
                <w:color w:val="auto"/>
              </w:rPr>
            </w:pPr>
            <w:r>
              <w:rPr>
                <w:rFonts w:ascii="Arial" w:cs="Arial" w:eastAsia="Arial" w:hAnsi="Arial"/>
                <w:sz w:val="18"/>
                <w:szCs w:val="18"/>
                <w:color w:val="auto"/>
                <w:w w:val="90"/>
              </w:rPr>
              <w:t>15,505,011</w:t>
            </w:r>
          </w:p>
        </w:tc>
        <w:tc>
          <w:tcPr>
            <w:tcW w:w="0" w:type="dxa"/>
            <w:vAlign w:val="bottom"/>
          </w:tcPr>
          <w:p>
            <w:pPr>
              <w:spacing w:after="0"/>
              <w:rPr>
                <w:sz w:val="1"/>
                <w:szCs w:val="1"/>
                <w:color w:val="auto"/>
              </w:rPr>
            </w:pPr>
          </w:p>
        </w:tc>
      </w:tr>
      <w:tr>
        <w:trPr>
          <w:trHeight w:val="27"/>
        </w:trPr>
        <w:tc>
          <w:tcPr>
            <w:tcW w:w="260" w:type="dxa"/>
            <w:vAlign w:val="bottom"/>
          </w:tcPr>
          <w:p>
            <w:pPr>
              <w:spacing w:after="0"/>
              <w:rPr>
                <w:sz w:val="2"/>
                <w:szCs w:val="2"/>
                <w:color w:val="auto"/>
              </w:rPr>
            </w:pPr>
          </w:p>
        </w:tc>
        <w:tc>
          <w:tcPr>
            <w:tcW w:w="840" w:type="dxa"/>
            <w:vAlign w:val="bottom"/>
            <w:tcBorders>
              <w:bottom w:val="single" w:sz="8" w:color="CCEEFF"/>
            </w:tcBorders>
          </w:tcPr>
          <w:p>
            <w:pPr>
              <w:spacing w:after="0"/>
              <w:rPr>
                <w:sz w:val="2"/>
                <w:szCs w:val="2"/>
                <w:color w:val="auto"/>
              </w:rPr>
            </w:pPr>
          </w:p>
        </w:tc>
        <w:tc>
          <w:tcPr>
            <w:tcW w:w="264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4"/>
        </w:trPr>
        <w:tc>
          <w:tcPr>
            <w:tcW w:w="260" w:type="dxa"/>
            <w:vAlign w:val="bottom"/>
          </w:tcPr>
          <w:p>
            <w:pPr>
              <w:spacing w:after="0"/>
              <w:rPr>
                <w:sz w:val="22"/>
                <w:szCs w:val="22"/>
                <w:color w:val="auto"/>
              </w:rPr>
            </w:pPr>
          </w:p>
        </w:tc>
        <w:tc>
          <w:tcPr>
            <w:tcW w:w="3480" w:type="dxa"/>
            <w:vAlign w:val="bottom"/>
            <w:tcBorders>
              <w:bottom w:val="single" w:sz="8" w:color="CCEEFF"/>
            </w:tcBorders>
            <w:gridSpan w:val="2"/>
            <w:shd w:val="clear" w:color="auto" w:fill="CCEEFF"/>
          </w:tcPr>
          <w:p>
            <w:pPr>
              <w:ind w:left="320"/>
              <w:spacing w:after="0"/>
              <w:rPr>
                <w:sz w:val="20"/>
                <w:szCs w:val="20"/>
                <w:color w:val="auto"/>
              </w:rPr>
            </w:pPr>
            <w:r>
              <w:rPr>
                <w:rFonts w:ascii="Arial" w:cs="Arial" w:eastAsia="Arial" w:hAnsi="Arial"/>
                <w:sz w:val="18"/>
                <w:szCs w:val="18"/>
                <w:color w:val="auto"/>
              </w:rPr>
              <w:t>Total revenues</w:t>
            </w:r>
          </w:p>
        </w:tc>
        <w:tc>
          <w:tcPr>
            <w:tcW w:w="180" w:type="dxa"/>
            <w:vAlign w:val="bottom"/>
            <w:tcBorders>
              <w:bottom w:val="single" w:sz="8" w:color="CCEEFF"/>
            </w:tcBorders>
            <w:shd w:val="clear" w:color="auto" w:fill="CCEEFF"/>
          </w:tcPr>
          <w:p>
            <w:pPr>
              <w:spacing w:after="0"/>
              <w:rPr>
                <w:sz w:val="22"/>
                <w:szCs w:val="22"/>
                <w:color w:val="auto"/>
              </w:rPr>
            </w:pPr>
          </w:p>
        </w:tc>
        <w:tc>
          <w:tcPr>
            <w:tcW w:w="1040" w:type="dxa"/>
            <w:vAlign w:val="bottom"/>
            <w:tcBorders>
              <w:bottom w:val="single" w:sz="8" w:color="CCEEFF"/>
            </w:tcBorders>
            <w:shd w:val="clear" w:color="auto" w:fill="CCEEFF"/>
          </w:tcPr>
          <w:p>
            <w:pPr>
              <w:jc w:val="right"/>
              <w:ind w:right="33"/>
              <w:spacing w:after="0"/>
              <w:rPr>
                <w:sz w:val="20"/>
                <w:szCs w:val="20"/>
                <w:color w:val="auto"/>
              </w:rPr>
            </w:pPr>
            <w:r>
              <w:rPr>
                <w:rFonts w:ascii="Arial" w:cs="Arial" w:eastAsia="Arial" w:hAnsi="Arial"/>
                <w:sz w:val="18"/>
                <w:szCs w:val="18"/>
                <w:color w:val="auto"/>
                <w:w w:val="99"/>
              </w:rPr>
              <w:t>13,772,648</w:t>
            </w:r>
          </w:p>
        </w:tc>
        <w:tc>
          <w:tcPr>
            <w:tcW w:w="100" w:type="dxa"/>
            <w:vAlign w:val="bottom"/>
            <w:tcBorders>
              <w:bottom w:val="single" w:sz="8" w:color="CCEEFF"/>
            </w:tcBorders>
            <w:shd w:val="clear" w:color="auto" w:fill="CCEEFF"/>
          </w:tcPr>
          <w:p>
            <w:pPr>
              <w:spacing w:after="0"/>
              <w:rPr>
                <w:sz w:val="22"/>
                <w:szCs w:val="22"/>
                <w:color w:val="auto"/>
              </w:rPr>
            </w:pPr>
          </w:p>
        </w:tc>
        <w:tc>
          <w:tcPr>
            <w:tcW w:w="140" w:type="dxa"/>
            <w:vAlign w:val="bottom"/>
            <w:tcBorders>
              <w:bottom w:val="single" w:sz="8" w:color="CCEEFF"/>
            </w:tcBorders>
            <w:shd w:val="clear" w:color="auto" w:fill="CCEEFF"/>
          </w:tcPr>
          <w:p>
            <w:pPr>
              <w:spacing w:after="0"/>
              <w:rPr>
                <w:sz w:val="22"/>
                <w:szCs w:val="22"/>
                <w:color w:val="auto"/>
              </w:rPr>
            </w:pPr>
          </w:p>
        </w:tc>
        <w:tc>
          <w:tcPr>
            <w:tcW w:w="9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(231,975)</w:t>
            </w:r>
          </w:p>
        </w:tc>
        <w:tc>
          <w:tcPr>
            <w:tcW w:w="10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CCEEFF"/>
            </w:tcBorders>
            <w:shd w:val="clear" w:color="auto" w:fill="CCEEFF"/>
          </w:tcPr>
          <w:p>
            <w:pPr>
              <w:spacing w:after="0"/>
              <w:rPr>
                <w:sz w:val="22"/>
                <w:szCs w:val="22"/>
                <w:color w:val="auto"/>
              </w:rPr>
            </w:pPr>
          </w:p>
        </w:tc>
        <w:tc>
          <w:tcPr>
            <w:tcW w:w="102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w w:val="99"/>
              </w:rPr>
              <w:t>13,540,673</w:t>
            </w:r>
          </w:p>
        </w:tc>
        <w:tc>
          <w:tcPr>
            <w:tcW w:w="120" w:type="dxa"/>
            <w:vAlign w:val="bottom"/>
            <w:tcBorders>
              <w:bottom w:val="single" w:sz="8" w:color="CCEEFF"/>
            </w:tcBorders>
            <w:shd w:val="clear" w:color="auto" w:fill="CCEEFF"/>
          </w:tcPr>
          <w:p>
            <w:pPr>
              <w:spacing w:after="0"/>
              <w:rPr>
                <w:sz w:val="22"/>
                <w:szCs w:val="22"/>
                <w:color w:val="auto"/>
              </w:rPr>
            </w:pPr>
          </w:p>
        </w:tc>
        <w:tc>
          <w:tcPr>
            <w:tcW w:w="160" w:type="dxa"/>
            <w:vAlign w:val="bottom"/>
            <w:tcBorders>
              <w:bottom w:val="single" w:sz="8" w:color="CCEEFF"/>
            </w:tcBorders>
            <w:shd w:val="clear" w:color="auto" w:fill="CCEEFF"/>
          </w:tcPr>
          <w:p>
            <w:pPr>
              <w:spacing w:after="0"/>
              <w:rPr>
                <w:sz w:val="22"/>
                <w:szCs w:val="22"/>
                <w:color w:val="auto"/>
              </w:rPr>
            </w:pPr>
          </w:p>
        </w:tc>
        <w:tc>
          <w:tcPr>
            <w:tcW w:w="1040" w:type="dxa"/>
            <w:vAlign w:val="bottom"/>
            <w:tcBorders>
              <w:bottom w:val="single" w:sz="8" w:color="CCEEFF"/>
            </w:tcBorders>
            <w:shd w:val="clear" w:color="auto" w:fill="CCEEFF"/>
          </w:tcPr>
          <w:p>
            <w:pPr>
              <w:jc w:val="right"/>
              <w:ind w:right="33"/>
              <w:spacing w:after="0"/>
              <w:rPr>
                <w:sz w:val="20"/>
                <w:szCs w:val="20"/>
                <w:color w:val="auto"/>
              </w:rPr>
            </w:pPr>
            <w:r>
              <w:rPr>
                <w:rFonts w:ascii="Arial" w:cs="Arial" w:eastAsia="Arial" w:hAnsi="Arial"/>
                <w:sz w:val="18"/>
                <w:szCs w:val="18"/>
                <w:color w:val="auto"/>
                <w:w w:val="99"/>
              </w:rPr>
              <w:t>25,965,819</w:t>
            </w:r>
          </w:p>
        </w:tc>
        <w:tc>
          <w:tcPr>
            <w:tcW w:w="100" w:type="dxa"/>
            <w:vAlign w:val="bottom"/>
            <w:tcBorders>
              <w:bottom w:val="single" w:sz="8" w:color="CCEEFF"/>
            </w:tcBorders>
            <w:shd w:val="clear" w:color="auto" w:fill="CCEEFF"/>
          </w:tcPr>
          <w:p>
            <w:pPr>
              <w:spacing w:after="0"/>
              <w:rPr>
                <w:sz w:val="22"/>
                <w:szCs w:val="22"/>
                <w:color w:val="auto"/>
              </w:rPr>
            </w:pPr>
          </w:p>
        </w:tc>
        <w:tc>
          <w:tcPr>
            <w:tcW w:w="140" w:type="dxa"/>
            <w:vAlign w:val="bottom"/>
            <w:tcBorders>
              <w:bottom w:val="single" w:sz="8" w:color="CCEEFF"/>
            </w:tcBorders>
            <w:shd w:val="clear" w:color="auto" w:fill="CCEEFF"/>
          </w:tcPr>
          <w:p>
            <w:pPr>
              <w:spacing w:after="0"/>
              <w:rPr>
                <w:sz w:val="22"/>
                <w:szCs w:val="22"/>
                <w:color w:val="auto"/>
              </w:rPr>
            </w:pPr>
          </w:p>
        </w:tc>
        <w:tc>
          <w:tcPr>
            <w:tcW w:w="9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(357,752)</w:t>
            </w:r>
          </w:p>
        </w:tc>
        <w:tc>
          <w:tcPr>
            <w:tcW w:w="100" w:type="dxa"/>
            <w:vAlign w:val="bottom"/>
            <w:tcBorders>
              <w:bottom w:val="single" w:sz="8" w:color="CCEEFF"/>
            </w:tcBorders>
            <w:shd w:val="clear" w:color="auto" w:fill="CCEEFF"/>
          </w:tcPr>
          <w:p>
            <w:pPr>
              <w:spacing w:after="0"/>
              <w:rPr>
                <w:sz w:val="22"/>
                <w:szCs w:val="22"/>
                <w:color w:val="auto"/>
              </w:rPr>
            </w:pPr>
          </w:p>
        </w:tc>
        <w:tc>
          <w:tcPr>
            <w:tcW w:w="140" w:type="dxa"/>
            <w:vAlign w:val="bottom"/>
            <w:tcBorders>
              <w:bottom w:val="single" w:sz="8" w:color="CCEEFF"/>
            </w:tcBorders>
            <w:shd w:val="clear" w:color="auto" w:fill="CCEEFF"/>
          </w:tcPr>
          <w:p>
            <w:pPr>
              <w:spacing w:after="0"/>
              <w:rPr>
                <w:sz w:val="22"/>
                <w:szCs w:val="22"/>
                <w:color w:val="auto"/>
              </w:rPr>
            </w:pPr>
          </w:p>
        </w:tc>
        <w:tc>
          <w:tcPr>
            <w:tcW w:w="960" w:type="dxa"/>
            <w:vAlign w:val="bottom"/>
            <w:tcBorders>
              <w:bottom w:val="single" w:sz="8" w:color="CCEEFF"/>
            </w:tcBorders>
            <w:shd w:val="clear" w:color="auto" w:fill="CCEEFF"/>
          </w:tcPr>
          <w:p>
            <w:pPr>
              <w:jc w:val="right"/>
              <w:ind w:right="34"/>
              <w:spacing w:after="0"/>
              <w:rPr>
                <w:sz w:val="20"/>
                <w:szCs w:val="20"/>
                <w:color w:val="auto"/>
              </w:rPr>
            </w:pPr>
            <w:r>
              <w:rPr>
                <w:rFonts w:ascii="Arial" w:cs="Arial" w:eastAsia="Arial" w:hAnsi="Arial"/>
                <w:sz w:val="18"/>
                <w:szCs w:val="18"/>
                <w:color w:val="auto"/>
                <w:w w:val="90"/>
              </w:rPr>
              <w:t>25,608,067</w:t>
            </w:r>
          </w:p>
        </w:tc>
        <w:tc>
          <w:tcPr>
            <w:tcW w:w="0" w:type="dxa"/>
            <w:vAlign w:val="bottom"/>
          </w:tcPr>
          <w:p>
            <w:pPr>
              <w:spacing w:after="0"/>
              <w:rPr>
                <w:sz w:val="1"/>
                <w:szCs w:val="1"/>
                <w:color w:val="auto"/>
              </w:rPr>
            </w:pPr>
          </w:p>
        </w:tc>
      </w:tr>
      <w:tr>
        <w:trPr>
          <w:trHeight w:val="223"/>
        </w:trPr>
        <w:tc>
          <w:tcPr>
            <w:tcW w:w="260" w:type="dxa"/>
            <w:vAlign w:val="bottom"/>
          </w:tcPr>
          <w:p>
            <w:pPr>
              <w:spacing w:after="0"/>
              <w:rPr>
                <w:sz w:val="19"/>
                <w:szCs w:val="19"/>
                <w:color w:val="auto"/>
              </w:rPr>
            </w:pPr>
          </w:p>
        </w:tc>
        <w:tc>
          <w:tcPr>
            <w:tcW w:w="3480" w:type="dxa"/>
            <w:vAlign w:val="bottom"/>
            <w:gridSpan w:val="2"/>
          </w:tcPr>
          <w:p>
            <w:pPr>
              <w:ind w:left="20"/>
              <w:spacing w:after="0"/>
              <w:rPr>
                <w:sz w:val="20"/>
                <w:szCs w:val="20"/>
                <w:color w:val="auto"/>
              </w:rPr>
            </w:pPr>
            <w:r>
              <w:rPr>
                <w:rFonts w:ascii="Arial" w:cs="Arial" w:eastAsia="Arial" w:hAnsi="Arial"/>
                <w:sz w:val="18"/>
                <w:szCs w:val="18"/>
                <w:color w:val="auto"/>
              </w:rPr>
              <w:t>Cost of revenues:</w:t>
            </w:r>
          </w:p>
        </w:tc>
        <w:tc>
          <w:tcPr>
            <w:tcW w:w="180" w:type="dxa"/>
            <w:vAlign w:val="bottom"/>
            <w:tcBorders>
              <w:top w:val="single" w:sz="8" w:color="auto"/>
            </w:tcBorders>
          </w:tcPr>
          <w:p>
            <w:pPr>
              <w:spacing w:after="0"/>
              <w:rPr>
                <w:sz w:val="19"/>
                <w:szCs w:val="19"/>
                <w:color w:val="auto"/>
              </w:rPr>
            </w:pPr>
          </w:p>
        </w:tc>
        <w:tc>
          <w:tcPr>
            <w:tcW w:w="1040" w:type="dxa"/>
            <w:vAlign w:val="bottom"/>
            <w:tcBorders>
              <w:top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140" w:type="dxa"/>
            <w:vAlign w:val="bottom"/>
            <w:tcBorders>
              <w:top w:val="single" w:sz="8" w:color="auto"/>
            </w:tcBorders>
          </w:tcPr>
          <w:p>
            <w:pPr>
              <w:spacing w:after="0"/>
              <w:rPr>
                <w:sz w:val="19"/>
                <w:szCs w:val="19"/>
                <w:color w:val="auto"/>
              </w:rPr>
            </w:pPr>
          </w:p>
        </w:tc>
        <w:tc>
          <w:tcPr>
            <w:tcW w:w="960" w:type="dxa"/>
            <w:vAlign w:val="bottom"/>
            <w:tcBorders>
              <w:top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180" w:type="dxa"/>
            <w:vAlign w:val="bottom"/>
            <w:tcBorders>
              <w:top w:val="single" w:sz="8" w:color="auto"/>
            </w:tcBorders>
          </w:tcPr>
          <w:p>
            <w:pPr>
              <w:spacing w:after="0"/>
              <w:rPr>
                <w:sz w:val="19"/>
                <w:szCs w:val="19"/>
                <w:color w:val="auto"/>
              </w:rPr>
            </w:pPr>
          </w:p>
        </w:tc>
        <w:tc>
          <w:tcPr>
            <w:tcW w:w="1020" w:type="dxa"/>
            <w:vAlign w:val="bottom"/>
            <w:tcBorders>
              <w:top w:val="single" w:sz="8" w:color="auto"/>
            </w:tcBorders>
          </w:tcPr>
          <w:p>
            <w:pPr>
              <w:spacing w:after="0"/>
              <w:rPr>
                <w:sz w:val="19"/>
                <w:szCs w:val="19"/>
                <w:color w:val="auto"/>
              </w:rPr>
            </w:pPr>
          </w:p>
        </w:tc>
        <w:tc>
          <w:tcPr>
            <w:tcW w:w="120" w:type="dxa"/>
            <w:vAlign w:val="bottom"/>
          </w:tcPr>
          <w:p>
            <w:pPr>
              <w:spacing w:after="0"/>
              <w:rPr>
                <w:sz w:val="19"/>
                <w:szCs w:val="19"/>
                <w:color w:val="auto"/>
              </w:rPr>
            </w:pPr>
          </w:p>
        </w:tc>
        <w:tc>
          <w:tcPr>
            <w:tcW w:w="160" w:type="dxa"/>
            <w:vAlign w:val="bottom"/>
            <w:tcBorders>
              <w:top w:val="single" w:sz="8" w:color="auto"/>
            </w:tcBorders>
          </w:tcPr>
          <w:p>
            <w:pPr>
              <w:spacing w:after="0"/>
              <w:rPr>
                <w:sz w:val="19"/>
                <w:szCs w:val="19"/>
                <w:color w:val="auto"/>
              </w:rPr>
            </w:pPr>
          </w:p>
        </w:tc>
        <w:tc>
          <w:tcPr>
            <w:tcW w:w="1040" w:type="dxa"/>
            <w:vAlign w:val="bottom"/>
            <w:tcBorders>
              <w:top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140" w:type="dxa"/>
            <w:vAlign w:val="bottom"/>
            <w:tcBorders>
              <w:top w:val="single" w:sz="8" w:color="auto"/>
            </w:tcBorders>
          </w:tcPr>
          <w:p>
            <w:pPr>
              <w:spacing w:after="0"/>
              <w:rPr>
                <w:sz w:val="19"/>
                <w:szCs w:val="19"/>
                <w:color w:val="auto"/>
              </w:rPr>
            </w:pPr>
          </w:p>
        </w:tc>
        <w:tc>
          <w:tcPr>
            <w:tcW w:w="960" w:type="dxa"/>
            <w:vAlign w:val="bottom"/>
            <w:tcBorders>
              <w:top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140" w:type="dxa"/>
            <w:vAlign w:val="bottom"/>
            <w:tcBorders>
              <w:top w:val="single" w:sz="8" w:color="auto"/>
            </w:tcBorders>
          </w:tcPr>
          <w:p>
            <w:pPr>
              <w:spacing w:after="0"/>
              <w:rPr>
                <w:sz w:val="19"/>
                <w:szCs w:val="19"/>
                <w:color w:val="auto"/>
              </w:rPr>
            </w:pPr>
          </w:p>
        </w:tc>
        <w:tc>
          <w:tcPr>
            <w:tcW w:w="960" w:type="dxa"/>
            <w:vAlign w:val="bottom"/>
            <w:tcBorders>
              <w:top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41"/>
        </w:trPr>
        <w:tc>
          <w:tcPr>
            <w:tcW w:w="260" w:type="dxa"/>
            <w:vAlign w:val="bottom"/>
          </w:tcPr>
          <w:p>
            <w:pPr>
              <w:spacing w:after="0"/>
              <w:rPr>
                <w:sz w:val="3"/>
                <w:szCs w:val="3"/>
                <w:color w:val="auto"/>
              </w:rPr>
            </w:pPr>
          </w:p>
        </w:tc>
        <w:tc>
          <w:tcPr>
            <w:tcW w:w="840" w:type="dxa"/>
            <w:vAlign w:val="bottom"/>
          </w:tcPr>
          <w:p>
            <w:pPr>
              <w:spacing w:after="0"/>
              <w:rPr>
                <w:sz w:val="3"/>
                <w:szCs w:val="3"/>
                <w:color w:val="auto"/>
              </w:rPr>
            </w:pPr>
          </w:p>
        </w:tc>
        <w:tc>
          <w:tcPr>
            <w:tcW w:w="2640" w:type="dxa"/>
            <w:vAlign w:val="bottom"/>
          </w:tcPr>
          <w:p>
            <w:pPr>
              <w:spacing w:after="0"/>
              <w:rPr>
                <w:sz w:val="3"/>
                <w:szCs w:val="3"/>
                <w:color w:val="auto"/>
              </w:rPr>
            </w:pPr>
          </w:p>
        </w:tc>
        <w:tc>
          <w:tcPr>
            <w:tcW w:w="180" w:type="dxa"/>
            <w:vAlign w:val="bottom"/>
          </w:tcPr>
          <w:p>
            <w:pPr>
              <w:spacing w:after="0"/>
              <w:rPr>
                <w:sz w:val="3"/>
                <w:szCs w:val="3"/>
                <w:color w:val="auto"/>
              </w:rPr>
            </w:pPr>
          </w:p>
        </w:tc>
        <w:tc>
          <w:tcPr>
            <w:tcW w:w="1040" w:type="dxa"/>
            <w:vAlign w:val="bottom"/>
          </w:tcPr>
          <w:p>
            <w:pPr>
              <w:spacing w:after="0"/>
              <w:rPr>
                <w:sz w:val="3"/>
                <w:szCs w:val="3"/>
                <w:color w:val="auto"/>
              </w:rPr>
            </w:pPr>
          </w:p>
        </w:tc>
        <w:tc>
          <w:tcPr>
            <w:tcW w:w="100" w:type="dxa"/>
            <w:vAlign w:val="bottom"/>
          </w:tcPr>
          <w:p>
            <w:pPr>
              <w:spacing w:after="0"/>
              <w:rPr>
                <w:sz w:val="3"/>
                <w:szCs w:val="3"/>
                <w:color w:val="auto"/>
              </w:rPr>
            </w:pPr>
          </w:p>
        </w:tc>
        <w:tc>
          <w:tcPr>
            <w:tcW w:w="140" w:type="dxa"/>
            <w:vAlign w:val="bottom"/>
          </w:tcPr>
          <w:p>
            <w:pPr>
              <w:spacing w:after="0"/>
              <w:rPr>
                <w:sz w:val="3"/>
                <w:szCs w:val="3"/>
                <w:color w:val="auto"/>
              </w:rPr>
            </w:pPr>
          </w:p>
        </w:tc>
        <w:tc>
          <w:tcPr>
            <w:tcW w:w="960" w:type="dxa"/>
            <w:vAlign w:val="bottom"/>
          </w:tcPr>
          <w:p>
            <w:pPr>
              <w:spacing w:after="0"/>
              <w:rPr>
                <w:sz w:val="3"/>
                <w:szCs w:val="3"/>
                <w:color w:val="auto"/>
              </w:rPr>
            </w:pPr>
          </w:p>
        </w:tc>
        <w:tc>
          <w:tcPr>
            <w:tcW w:w="100" w:type="dxa"/>
            <w:vAlign w:val="bottom"/>
          </w:tcPr>
          <w:p>
            <w:pPr>
              <w:spacing w:after="0"/>
              <w:rPr>
                <w:sz w:val="3"/>
                <w:szCs w:val="3"/>
                <w:color w:val="auto"/>
              </w:rPr>
            </w:pPr>
          </w:p>
        </w:tc>
        <w:tc>
          <w:tcPr>
            <w:tcW w:w="180" w:type="dxa"/>
            <w:vAlign w:val="bottom"/>
          </w:tcPr>
          <w:p>
            <w:pPr>
              <w:spacing w:after="0"/>
              <w:rPr>
                <w:sz w:val="3"/>
                <w:szCs w:val="3"/>
                <w:color w:val="auto"/>
              </w:rPr>
            </w:pPr>
          </w:p>
        </w:tc>
        <w:tc>
          <w:tcPr>
            <w:tcW w:w="1020" w:type="dxa"/>
            <w:vAlign w:val="bottom"/>
          </w:tcPr>
          <w:p>
            <w:pPr>
              <w:spacing w:after="0"/>
              <w:rPr>
                <w:sz w:val="3"/>
                <w:szCs w:val="3"/>
                <w:color w:val="auto"/>
              </w:rPr>
            </w:pPr>
          </w:p>
        </w:tc>
        <w:tc>
          <w:tcPr>
            <w:tcW w:w="120" w:type="dxa"/>
            <w:vAlign w:val="bottom"/>
          </w:tcPr>
          <w:p>
            <w:pPr>
              <w:spacing w:after="0"/>
              <w:rPr>
                <w:sz w:val="3"/>
                <w:szCs w:val="3"/>
                <w:color w:val="auto"/>
              </w:rPr>
            </w:pPr>
          </w:p>
        </w:tc>
        <w:tc>
          <w:tcPr>
            <w:tcW w:w="160" w:type="dxa"/>
            <w:vAlign w:val="bottom"/>
          </w:tcPr>
          <w:p>
            <w:pPr>
              <w:spacing w:after="0"/>
              <w:rPr>
                <w:sz w:val="3"/>
                <w:szCs w:val="3"/>
                <w:color w:val="auto"/>
              </w:rPr>
            </w:pPr>
          </w:p>
        </w:tc>
        <w:tc>
          <w:tcPr>
            <w:tcW w:w="1040" w:type="dxa"/>
            <w:vAlign w:val="bottom"/>
          </w:tcPr>
          <w:p>
            <w:pPr>
              <w:spacing w:after="0"/>
              <w:rPr>
                <w:sz w:val="3"/>
                <w:szCs w:val="3"/>
                <w:color w:val="auto"/>
              </w:rPr>
            </w:pPr>
          </w:p>
        </w:tc>
        <w:tc>
          <w:tcPr>
            <w:tcW w:w="100" w:type="dxa"/>
            <w:vAlign w:val="bottom"/>
          </w:tcPr>
          <w:p>
            <w:pPr>
              <w:spacing w:after="0"/>
              <w:rPr>
                <w:sz w:val="3"/>
                <w:szCs w:val="3"/>
                <w:color w:val="auto"/>
              </w:rPr>
            </w:pPr>
          </w:p>
        </w:tc>
        <w:tc>
          <w:tcPr>
            <w:tcW w:w="140" w:type="dxa"/>
            <w:vAlign w:val="bottom"/>
          </w:tcPr>
          <w:p>
            <w:pPr>
              <w:spacing w:after="0"/>
              <w:rPr>
                <w:sz w:val="3"/>
                <w:szCs w:val="3"/>
                <w:color w:val="auto"/>
              </w:rPr>
            </w:pPr>
          </w:p>
        </w:tc>
        <w:tc>
          <w:tcPr>
            <w:tcW w:w="960" w:type="dxa"/>
            <w:vAlign w:val="bottom"/>
          </w:tcPr>
          <w:p>
            <w:pPr>
              <w:spacing w:after="0"/>
              <w:rPr>
                <w:sz w:val="3"/>
                <w:szCs w:val="3"/>
                <w:color w:val="auto"/>
              </w:rPr>
            </w:pPr>
          </w:p>
        </w:tc>
        <w:tc>
          <w:tcPr>
            <w:tcW w:w="100" w:type="dxa"/>
            <w:vAlign w:val="bottom"/>
          </w:tcPr>
          <w:p>
            <w:pPr>
              <w:spacing w:after="0"/>
              <w:rPr>
                <w:sz w:val="3"/>
                <w:szCs w:val="3"/>
                <w:color w:val="auto"/>
              </w:rPr>
            </w:pPr>
          </w:p>
        </w:tc>
        <w:tc>
          <w:tcPr>
            <w:tcW w:w="140" w:type="dxa"/>
            <w:vAlign w:val="bottom"/>
          </w:tcPr>
          <w:p>
            <w:pPr>
              <w:spacing w:after="0"/>
              <w:rPr>
                <w:sz w:val="3"/>
                <w:szCs w:val="3"/>
                <w:color w:val="auto"/>
              </w:rPr>
            </w:pPr>
          </w:p>
        </w:tc>
        <w:tc>
          <w:tcPr>
            <w:tcW w:w="96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50"/>
        </w:trPr>
        <w:tc>
          <w:tcPr>
            <w:tcW w:w="260" w:type="dxa"/>
            <w:vAlign w:val="bottom"/>
          </w:tcPr>
          <w:p>
            <w:pPr>
              <w:spacing w:after="0"/>
              <w:rPr>
                <w:sz w:val="21"/>
                <w:szCs w:val="21"/>
                <w:color w:val="auto"/>
              </w:rPr>
            </w:pPr>
          </w:p>
        </w:tc>
        <w:tc>
          <w:tcPr>
            <w:tcW w:w="3480" w:type="dxa"/>
            <w:vAlign w:val="bottom"/>
            <w:tcBorders>
              <w:bottom w:val="single" w:sz="8" w:color="CCEEFF"/>
            </w:tcBorders>
            <w:gridSpan w:val="2"/>
            <w:shd w:val="clear" w:color="auto" w:fill="CCEEFF"/>
          </w:tcPr>
          <w:p>
            <w:pPr>
              <w:ind w:left="160"/>
              <w:spacing w:after="0"/>
              <w:rPr>
                <w:sz w:val="20"/>
                <w:szCs w:val="20"/>
                <w:color w:val="auto"/>
              </w:rPr>
            </w:pPr>
            <w:r>
              <w:rPr>
                <w:rFonts w:ascii="Arial" w:cs="Arial" w:eastAsia="Arial" w:hAnsi="Arial"/>
                <w:sz w:val="18"/>
                <w:szCs w:val="18"/>
                <w:color w:val="auto"/>
              </w:rPr>
              <w:t>Technology development</w:t>
            </w:r>
          </w:p>
        </w:tc>
        <w:tc>
          <w:tcPr>
            <w:tcW w:w="18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ind w:right="33"/>
              <w:spacing w:after="0"/>
              <w:rPr>
                <w:sz w:val="20"/>
                <w:szCs w:val="20"/>
                <w:color w:val="auto"/>
              </w:rPr>
            </w:pPr>
            <w:r>
              <w:rPr>
                <w:rFonts w:ascii="Arial" w:cs="Arial" w:eastAsia="Arial" w:hAnsi="Arial"/>
                <w:sz w:val="18"/>
                <w:szCs w:val="18"/>
                <w:color w:val="auto"/>
              </w:rPr>
              <w:t>3,945,126</w:t>
            </w: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3,945,126</w:t>
            </w: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ind w:right="33"/>
              <w:spacing w:after="0"/>
              <w:rPr>
                <w:sz w:val="20"/>
                <w:szCs w:val="20"/>
                <w:color w:val="auto"/>
              </w:rPr>
            </w:pPr>
            <w:r>
              <w:rPr>
                <w:rFonts w:ascii="Arial" w:cs="Arial" w:eastAsia="Arial" w:hAnsi="Arial"/>
                <w:sz w:val="18"/>
                <w:szCs w:val="18"/>
                <w:color w:val="auto"/>
              </w:rPr>
              <w:t>7,298,628</w:t>
            </w: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4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jc w:val="right"/>
              <w:ind w:right="34"/>
              <w:spacing w:after="0"/>
              <w:rPr>
                <w:sz w:val="20"/>
                <w:szCs w:val="20"/>
                <w:color w:val="auto"/>
              </w:rPr>
            </w:pPr>
            <w:r>
              <w:rPr>
                <w:rFonts w:ascii="Arial" w:cs="Arial" w:eastAsia="Arial" w:hAnsi="Arial"/>
                <w:sz w:val="18"/>
                <w:szCs w:val="18"/>
                <w:color w:val="auto"/>
              </w:rPr>
              <w:t>7,298,628</w:t>
            </w:r>
          </w:p>
        </w:tc>
        <w:tc>
          <w:tcPr>
            <w:tcW w:w="0" w:type="dxa"/>
            <w:vAlign w:val="bottom"/>
          </w:tcPr>
          <w:p>
            <w:pPr>
              <w:spacing w:after="0"/>
              <w:rPr>
                <w:sz w:val="1"/>
                <w:szCs w:val="1"/>
                <w:color w:val="auto"/>
              </w:rPr>
            </w:pPr>
          </w:p>
        </w:tc>
      </w:tr>
      <w:tr>
        <w:trPr>
          <w:trHeight w:val="243"/>
        </w:trPr>
        <w:tc>
          <w:tcPr>
            <w:tcW w:w="260" w:type="dxa"/>
            <w:vAlign w:val="bottom"/>
          </w:tcPr>
          <w:p>
            <w:pPr>
              <w:spacing w:after="0"/>
              <w:rPr>
                <w:sz w:val="21"/>
                <w:szCs w:val="21"/>
                <w:color w:val="auto"/>
              </w:rPr>
            </w:pPr>
          </w:p>
        </w:tc>
        <w:tc>
          <w:tcPr>
            <w:tcW w:w="3480" w:type="dxa"/>
            <w:vAlign w:val="bottom"/>
            <w:gridSpan w:val="2"/>
          </w:tcPr>
          <w:p>
            <w:pPr>
              <w:ind w:left="160"/>
              <w:spacing w:after="0"/>
              <w:rPr>
                <w:sz w:val="20"/>
                <w:szCs w:val="20"/>
                <w:color w:val="auto"/>
              </w:rPr>
            </w:pPr>
            <w:r>
              <w:rPr>
                <w:rFonts w:ascii="Arial" w:cs="Arial" w:eastAsia="Arial" w:hAnsi="Arial"/>
                <w:sz w:val="18"/>
                <w:szCs w:val="18"/>
                <w:color w:val="auto"/>
              </w:rPr>
              <w:t>Products and licensing</w:t>
            </w:r>
          </w:p>
        </w:tc>
        <w:tc>
          <w:tcPr>
            <w:tcW w:w="180" w:type="dxa"/>
            <w:vAlign w:val="bottom"/>
          </w:tcPr>
          <w:p>
            <w:pPr>
              <w:spacing w:after="0"/>
              <w:rPr>
                <w:sz w:val="21"/>
                <w:szCs w:val="21"/>
                <w:color w:val="auto"/>
              </w:rPr>
            </w:pPr>
          </w:p>
        </w:tc>
        <w:tc>
          <w:tcPr>
            <w:tcW w:w="1040" w:type="dxa"/>
            <w:vAlign w:val="bottom"/>
          </w:tcPr>
          <w:p>
            <w:pPr>
              <w:jc w:val="right"/>
              <w:ind w:right="33"/>
              <w:spacing w:after="0"/>
              <w:rPr>
                <w:sz w:val="20"/>
                <w:szCs w:val="20"/>
                <w:color w:val="auto"/>
              </w:rPr>
            </w:pPr>
            <w:r>
              <w:rPr>
                <w:rFonts w:ascii="Arial" w:cs="Arial" w:eastAsia="Arial" w:hAnsi="Arial"/>
                <w:sz w:val="18"/>
                <w:szCs w:val="18"/>
                <w:color w:val="auto"/>
              </w:rPr>
              <w:t>4,155,054</w:t>
            </w: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rPr>
              <w:t>(63,680)</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020" w:type="dxa"/>
            <w:vAlign w:val="bottom"/>
          </w:tcPr>
          <w:p>
            <w:pPr>
              <w:jc w:val="right"/>
              <w:ind w:right="12"/>
              <w:spacing w:after="0"/>
              <w:rPr>
                <w:sz w:val="20"/>
                <w:szCs w:val="20"/>
                <w:color w:val="auto"/>
              </w:rPr>
            </w:pPr>
            <w:r>
              <w:rPr>
                <w:rFonts w:ascii="Arial" w:cs="Arial" w:eastAsia="Arial" w:hAnsi="Arial"/>
                <w:sz w:val="18"/>
                <w:szCs w:val="18"/>
                <w:color w:val="auto"/>
              </w:rPr>
              <w:t>4,091,374</w:t>
            </w: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040" w:type="dxa"/>
            <w:vAlign w:val="bottom"/>
          </w:tcPr>
          <w:p>
            <w:pPr>
              <w:jc w:val="right"/>
              <w:ind w:right="33"/>
              <w:spacing w:after="0"/>
              <w:rPr>
                <w:sz w:val="20"/>
                <w:szCs w:val="20"/>
                <w:color w:val="auto"/>
              </w:rPr>
            </w:pPr>
            <w:r>
              <w:rPr>
                <w:rFonts w:ascii="Arial" w:cs="Arial" w:eastAsia="Arial" w:hAnsi="Arial"/>
                <w:sz w:val="18"/>
                <w:szCs w:val="18"/>
                <w:color w:val="auto"/>
              </w:rPr>
              <w:t>7,968,605</w:t>
            </w: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rPr>
              <w:t>(213,025)</w:t>
            </w: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960" w:type="dxa"/>
            <w:vAlign w:val="bottom"/>
          </w:tcPr>
          <w:p>
            <w:pPr>
              <w:jc w:val="right"/>
              <w:ind w:right="34"/>
              <w:spacing w:after="0"/>
              <w:rPr>
                <w:sz w:val="20"/>
                <w:szCs w:val="20"/>
                <w:color w:val="auto"/>
              </w:rPr>
            </w:pPr>
            <w:r>
              <w:rPr>
                <w:rFonts w:ascii="Arial" w:cs="Arial" w:eastAsia="Arial" w:hAnsi="Arial"/>
                <w:sz w:val="18"/>
                <w:szCs w:val="18"/>
                <w:color w:val="auto"/>
              </w:rPr>
              <w:t>7,755,580</w:t>
            </w:r>
          </w:p>
        </w:tc>
        <w:tc>
          <w:tcPr>
            <w:tcW w:w="0" w:type="dxa"/>
            <w:vAlign w:val="bottom"/>
          </w:tcPr>
          <w:p>
            <w:pPr>
              <w:spacing w:after="0"/>
              <w:rPr>
                <w:sz w:val="1"/>
                <w:szCs w:val="1"/>
                <w:color w:val="auto"/>
              </w:rPr>
            </w:pPr>
          </w:p>
        </w:tc>
      </w:tr>
      <w:tr>
        <w:trPr>
          <w:trHeight w:val="27"/>
        </w:trPr>
        <w:tc>
          <w:tcPr>
            <w:tcW w:w="260" w:type="dxa"/>
            <w:vAlign w:val="bottom"/>
          </w:tcPr>
          <w:p>
            <w:pPr>
              <w:spacing w:after="0"/>
              <w:rPr>
                <w:sz w:val="2"/>
                <w:szCs w:val="2"/>
                <w:color w:val="auto"/>
              </w:rPr>
            </w:pPr>
          </w:p>
        </w:tc>
        <w:tc>
          <w:tcPr>
            <w:tcW w:w="840" w:type="dxa"/>
            <w:vAlign w:val="bottom"/>
            <w:tcBorders>
              <w:bottom w:val="single" w:sz="8" w:color="CCEEFF"/>
            </w:tcBorders>
          </w:tcPr>
          <w:p>
            <w:pPr>
              <w:spacing w:after="0"/>
              <w:rPr>
                <w:sz w:val="2"/>
                <w:szCs w:val="2"/>
                <w:color w:val="auto"/>
              </w:rPr>
            </w:pPr>
          </w:p>
        </w:tc>
        <w:tc>
          <w:tcPr>
            <w:tcW w:w="264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4"/>
        </w:trPr>
        <w:tc>
          <w:tcPr>
            <w:tcW w:w="260" w:type="dxa"/>
            <w:vAlign w:val="bottom"/>
          </w:tcPr>
          <w:p>
            <w:pPr>
              <w:spacing w:after="0"/>
              <w:rPr>
                <w:sz w:val="22"/>
                <w:szCs w:val="22"/>
                <w:color w:val="auto"/>
              </w:rPr>
            </w:pPr>
          </w:p>
        </w:tc>
        <w:tc>
          <w:tcPr>
            <w:tcW w:w="3480" w:type="dxa"/>
            <w:vAlign w:val="bottom"/>
            <w:tcBorders>
              <w:bottom w:val="single" w:sz="8" w:color="CCEEFF"/>
            </w:tcBorders>
            <w:gridSpan w:val="2"/>
            <w:shd w:val="clear" w:color="auto" w:fill="CCEEFF"/>
          </w:tcPr>
          <w:p>
            <w:pPr>
              <w:ind w:left="320"/>
              <w:spacing w:after="0"/>
              <w:rPr>
                <w:sz w:val="20"/>
                <w:szCs w:val="20"/>
                <w:color w:val="auto"/>
              </w:rPr>
            </w:pPr>
            <w:r>
              <w:rPr>
                <w:rFonts w:ascii="Arial" w:cs="Arial" w:eastAsia="Arial" w:hAnsi="Arial"/>
                <w:sz w:val="18"/>
                <w:szCs w:val="18"/>
                <w:color w:val="auto"/>
              </w:rPr>
              <w:t>Total cost of revenues</w:t>
            </w:r>
          </w:p>
        </w:tc>
        <w:tc>
          <w:tcPr>
            <w:tcW w:w="180" w:type="dxa"/>
            <w:vAlign w:val="bottom"/>
            <w:tcBorders>
              <w:bottom w:val="single" w:sz="8" w:color="CCEEFF"/>
            </w:tcBorders>
            <w:shd w:val="clear" w:color="auto" w:fill="CCEEFF"/>
          </w:tcPr>
          <w:p>
            <w:pPr>
              <w:spacing w:after="0"/>
              <w:rPr>
                <w:sz w:val="22"/>
                <w:szCs w:val="22"/>
                <w:color w:val="auto"/>
              </w:rPr>
            </w:pPr>
          </w:p>
        </w:tc>
        <w:tc>
          <w:tcPr>
            <w:tcW w:w="1040" w:type="dxa"/>
            <w:vAlign w:val="bottom"/>
            <w:tcBorders>
              <w:bottom w:val="single" w:sz="8" w:color="CCEEFF"/>
            </w:tcBorders>
            <w:shd w:val="clear" w:color="auto" w:fill="CCEEFF"/>
          </w:tcPr>
          <w:p>
            <w:pPr>
              <w:jc w:val="right"/>
              <w:ind w:right="33"/>
              <w:spacing w:after="0"/>
              <w:rPr>
                <w:sz w:val="20"/>
                <w:szCs w:val="20"/>
                <w:color w:val="auto"/>
              </w:rPr>
            </w:pPr>
            <w:r>
              <w:rPr>
                <w:rFonts w:ascii="Arial" w:cs="Arial" w:eastAsia="Arial" w:hAnsi="Arial"/>
                <w:sz w:val="18"/>
                <w:szCs w:val="18"/>
                <w:color w:val="auto"/>
              </w:rPr>
              <w:t>8,100,180</w:t>
            </w:r>
          </w:p>
        </w:tc>
        <w:tc>
          <w:tcPr>
            <w:tcW w:w="100" w:type="dxa"/>
            <w:vAlign w:val="bottom"/>
            <w:tcBorders>
              <w:bottom w:val="single" w:sz="8" w:color="CCEEFF"/>
            </w:tcBorders>
            <w:shd w:val="clear" w:color="auto" w:fill="CCEEFF"/>
          </w:tcPr>
          <w:p>
            <w:pPr>
              <w:spacing w:after="0"/>
              <w:rPr>
                <w:sz w:val="22"/>
                <w:szCs w:val="22"/>
                <w:color w:val="auto"/>
              </w:rPr>
            </w:pPr>
          </w:p>
        </w:tc>
        <w:tc>
          <w:tcPr>
            <w:tcW w:w="140" w:type="dxa"/>
            <w:vAlign w:val="bottom"/>
            <w:tcBorders>
              <w:bottom w:val="single" w:sz="8" w:color="CCEEFF"/>
            </w:tcBorders>
            <w:shd w:val="clear" w:color="auto" w:fill="CCEEFF"/>
          </w:tcPr>
          <w:p>
            <w:pPr>
              <w:spacing w:after="0"/>
              <w:rPr>
                <w:sz w:val="22"/>
                <w:szCs w:val="22"/>
                <w:color w:val="auto"/>
              </w:rPr>
            </w:pPr>
          </w:p>
        </w:tc>
        <w:tc>
          <w:tcPr>
            <w:tcW w:w="9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(63,680)</w:t>
            </w:r>
          </w:p>
        </w:tc>
        <w:tc>
          <w:tcPr>
            <w:tcW w:w="10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CCEEFF"/>
            </w:tcBorders>
            <w:shd w:val="clear" w:color="auto" w:fill="CCEEFF"/>
          </w:tcPr>
          <w:p>
            <w:pPr>
              <w:spacing w:after="0"/>
              <w:rPr>
                <w:sz w:val="22"/>
                <w:szCs w:val="22"/>
                <w:color w:val="auto"/>
              </w:rPr>
            </w:pPr>
          </w:p>
        </w:tc>
        <w:tc>
          <w:tcPr>
            <w:tcW w:w="102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8,036,500</w:t>
            </w:r>
          </w:p>
        </w:tc>
        <w:tc>
          <w:tcPr>
            <w:tcW w:w="120" w:type="dxa"/>
            <w:vAlign w:val="bottom"/>
            <w:tcBorders>
              <w:bottom w:val="single" w:sz="8" w:color="CCEEFF"/>
            </w:tcBorders>
            <w:shd w:val="clear" w:color="auto" w:fill="CCEEFF"/>
          </w:tcPr>
          <w:p>
            <w:pPr>
              <w:spacing w:after="0"/>
              <w:rPr>
                <w:sz w:val="22"/>
                <w:szCs w:val="22"/>
                <w:color w:val="auto"/>
              </w:rPr>
            </w:pPr>
          </w:p>
        </w:tc>
        <w:tc>
          <w:tcPr>
            <w:tcW w:w="160" w:type="dxa"/>
            <w:vAlign w:val="bottom"/>
            <w:tcBorders>
              <w:bottom w:val="single" w:sz="8" w:color="CCEEFF"/>
            </w:tcBorders>
            <w:shd w:val="clear" w:color="auto" w:fill="CCEEFF"/>
          </w:tcPr>
          <w:p>
            <w:pPr>
              <w:spacing w:after="0"/>
              <w:rPr>
                <w:sz w:val="22"/>
                <w:szCs w:val="22"/>
                <w:color w:val="auto"/>
              </w:rPr>
            </w:pPr>
          </w:p>
        </w:tc>
        <w:tc>
          <w:tcPr>
            <w:tcW w:w="1040" w:type="dxa"/>
            <w:vAlign w:val="bottom"/>
            <w:tcBorders>
              <w:bottom w:val="single" w:sz="8" w:color="CCEEFF"/>
            </w:tcBorders>
            <w:shd w:val="clear" w:color="auto" w:fill="CCEEFF"/>
          </w:tcPr>
          <w:p>
            <w:pPr>
              <w:jc w:val="right"/>
              <w:ind w:right="33"/>
              <w:spacing w:after="0"/>
              <w:rPr>
                <w:sz w:val="20"/>
                <w:szCs w:val="20"/>
                <w:color w:val="auto"/>
              </w:rPr>
            </w:pPr>
            <w:r>
              <w:rPr>
                <w:rFonts w:ascii="Arial" w:cs="Arial" w:eastAsia="Arial" w:hAnsi="Arial"/>
                <w:sz w:val="18"/>
                <w:szCs w:val="18"/>
                <w:color w:val="auto"/>
                <w:w w:val="99"/>
              </w:rPr>
              <w:t>15,267,233</w:t>
            </w:r>
          </w:p>
        </w:tc>
        <w:tc>
          <w:tcPr>
            <w:tcW w:w="100" w:type="dxa"/>
            <w:vAlign w:val="bottom"/>
            <w:tcBorders>
              <w:bottom w:val="single" w:sz="8" w:color="CCEEFF"/>
            </w:tcBorders>
            <w:shd w:val="clear" w:color="auto" w:fill="CCEEFF"/>
          </w:tcPr>
          <w:p>
            <w:pPr>
              <w:spacing w:after="0"/>
              <w:rPr>
                <w:sz w:val="22"/>
                <w:szCs w:val="22"/>
                <w:color w:val="auto"/>
              </w:rPr>
            </w:pPr>
          </w:p>
        </w:tc>
        <w:tc>
          <w:tcPr>
            <w:tcW w:w="140" w:type="dxa"/>
            <w:vAlign w:val="bottom"/>
            <w:tcBorders>
              <w:bottom w:val="single" w:sz="8" w:color="CCEEFF"/>
            </w:tcBorders>
            <w:shd w:val="clear" w:color="auto" w:fill="CCEEFF"/>
          </w:tcPr>
          <w:p>
            <w:pPr>
              <w:spacing w:after="0"/>
              <w:rPr>
                <w:sz w:val="22"/>
                <w:szCs w:val="22"/>
                <w:color w:val="auto"/>
              </w:rPr>
            </w:pPr>
          </w:p>
        </w:tc>
        <w:tc>
          <w:tcPr>
            <w:tcW w:w="9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(213,025)</w:t>
            </w:r>
          </w:p>
        </w:tc>
        <w:tc>
          <w:tcPr>
            <w:tcW w:w="100" w:type="dxa"/>
            <w:vAlign w:val="bottom"/>
            <w:tcBorders>
              <w:bottom w:val="single" w:sz="8" w:color="CCEEFF"/>
            </w:tcBorders>
            <w:shd w:val="clear" w:color="auto" w:fill="CCEEFF"/>
          </w:tcPr>
          <w:p>
            <w:pPr>
              <w:spacing w:after="0"/>
              <w:rPr>
                <w:sz w:val="22"/>
                <w:szCs w:val="22"/>
                <w:color w:val="auto"/>
              </w:rPr>
            </w:pPr>
          </w:p>
        </w:tc>
        <w:tc>
          <w:tcPr>
            <w:tcW w:w="140" w:type="dxa"/>
            <w:vAlign w:val="bottom"/>
            <w:tcBorders>
              <w:bottom w:val="single" w:sz="8" w:color="CCEEFF"/>
            </w:tcBorders>
            <w:shd w:val="clear" w:color="auto" w:fill="CCEEFF"/>
          </w:tcPr>
          <w:p>
            <w:pPr>
              <w:spacing w:after="0"/>
              <w:rPr>
                <w:sz w:val="22"/>
                <w:szCs w:val="22"/>
                <w:color w:val="auto"/>
              </w:rPr>
            </w:pPr>
          </w:p>
        </w:tc>
        <w:tc>
          <w:tcPr>
            <w:tcW w:w="960" w:type="dxa"/>
            <w:vAlign w:val="bottom"/>
            <w:tcBorders>
              <w:bottom w:val="single" w:sz="8" w:color="CCEEFF"/>
            </w:tcBorders>
            <w:shd w:val="clear" w:color="auto" w:fill="CCEEFF"/>
          </w:tcPr>
          <w:p>
            <w:pPr>
              <w:jc w:val="right"/>
              <w:ind w:right="34"/>
              <w:spacing w:after="0"/>
              <w:rPr>
                <w:sz w:val="20"/>
                <w:szCs w:val="20"/>
                <w:color w:val="auto"/>
              </w:rPr>
            </w:pPr>
            <w:r>
              <w:rPr>
                <w:rFonts w:ascii="Arial" w:cs="Arial" w:eastAsia="Arial" w:hAnsi="Arial"/>
                <w:sz w:val="18"/>
                <w:szCs w:val="18"/>
                <w:color w:val="auto"/>
                <w:w w:val="90"/>
              </w:rPr>
              <w:t>15,054,208</w:t>
            </w:r>
          </w:p>
        </w:tc>
        <w:tc>
          <w:tcPr>
            <w:tcW w:w="0" w:type="dxa"/>
            <w:vAlign w:val="bottom"/>
          </w:tcPr>
          <w:p>
            <w:pPr>
              <w:spacing w:after="0"/>
              <w:rPr>
                <w:sz w:val="1"/>
                <w:szCs w:val="1"/>
                <w:color w:val="auto"/>
              </w:rPr>
            </w:pPr>
          </w:p>
        </w:tc>
      </w:tr>
      <w:tr>
        <w:trPr>
          <w:trHeight w:val="237"/>
        </w:trPr>
        <w:tc>
          <w:tcPr>
            <w:tcW w:w="260" w:type="dxa"/>
            <w:vAlign w:val="bottom"/>
          </w:tcPr>
          <w:p>
            <w:pPr>
              <w:spacing w:after="0"/>
              <w:rPr>
                <w:sz w:val="20"/>
                <w:szCs w:val="20"/>
                <w:color w:val="auto"/>
              </w:rPr>
            </w:pPr>
          </w:p>
        </w:tc>
        <w:tc>
          <w:tcPr>
            <w:tcW w:w="3480" w:type="dxa"/>
            <w:vAlign w:val="bottom"/>
            <w:gridSpan w:val="2"/>
          </w:tcPr>
          <w:p>
            <w:pPr>
              <w:ind w:left="20"/>
              <w:spacing w:after="0"/>
              <w:rPr>
                <w:sz w:val="20"/>
                <w:szCs w:val="20"/>
                <w:color w:val="auto"/>
              </w:rPr>
            </w:pPr>
            <w:r>
              <w:rPr>
                <w:rFonts w:ascii="Arial" w:cs="Arial" w:eastAsia="Arial" w:hAnsi="Arial"/>
                <w:sz w:val="18"/>
                <w:szCs w:val="18"/>
                <w:color w:val="auto"/>
              </w:rPr>
              <w:t>Gross profit</w:t>
            </w:r>
          </w:p>
        </w:tc>
        <w:tc>
          <w:tcPr>
            <w:tcW w:w="180" w:type="dxa"/>
            <w:vAlign w:val="bottom"/>
            <w:tcBorders>
              <w:top w:val="single" w:sz="8" w:color="auto"/>
            </w:tcBorders>
          </w:tcPr>
          <w:p>
            <w:pPr>
              <w:spacing w:after="0"/>
              <w:rPr>
                <w:sz w:val="20"/>
                <w:szCs w:val="20"/>
                <w:color w:val="auto"/>
              </w:rPr>
            </w:pPr>
          </w:p>
        </w:tc>
        <w:tc>
          <w:tcPr>
            <w:tcW w:w="1040" w:type="dxa"/>
            <w:vAlign w:val="bottom"/>
            <w:tcBorders>
              <w:top w:val="single" w:sz="8" w:color="auto"/>
            </w:tcBorders>
          </w:tcPr>
          <w:p>
            <w:pPr>
              <w:jc w:val="right"/>
              <w:ind w:right="33"/>
              <w:spacing w:after="0"/>
              <w:rPr>
                <w:sz w:val="20"/>
                <w:szCs w:val="20"/>
                <w:color w:val="auto"/>
              </w:rPr>
            </w:pPr>
            <w:r>
              <w:rPr>
                <w:rFonts w:ascii="Arial" w:cs="Arial" w:eastAsia="Arial" w:hAnsi="Arial"/>
                <w:sz w:val="18"/>
                <w:szCs w:val="18"/>
                <w:color w:val="auto"/>
              </w:rPr>
              <w:t>5,672,468</w:t>
            </w:r>
          </w:p>
        </w:tc>
        <w:tc>
          <w:tcPr>
            <w:tcW w:w="100" w:type="dxa"/>
            <w:vAlign w:val="bottom"/>
          </w:tcPr>
          <w:p>
            <w:pPr>
              <w:spacing w:after="0"/>
              <w:rPr>
                <w:sz w:val="20"/>
                <w:szCs w:val="20"/>
                <w:color w:val="auto"/>
              </w:rPr>
            </w:pPr>
          </w:p>
        </w:tc>
        <w:tc>
          <w:tcPr>
            <w:tcW w:w="140" w:type="dxa"/>
            <w:vAlign w:val="bottom"/>
            <w:tcBorders>
              <w:top w:val="single" w:sz="8" w:color="auto"/>
            </w:tcBorders>
          </w:tcPr>
          <w:p>
            <w:pPr>
              <w:spacing w:after="0"/>
              <w:rPr>
                <w:sz w:val="20"/>
                <w:szCs w:val="20"/>
                <w:color w:val="auto"/>
              </w:rPr>
            </w:pPr>
          </w:p>
        </w:tc>
        <w:tc>
          <w:tcPr>
            <w:tcW w:w="9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(168,295)</w:t>
            </w:r>
          </w:p>
        </w:tc>
        <w:tc>
          <w:tcPr>
            <w:tcW w:w="100" w:type="dxa"/>
            <w:vAlign w:val="bottom"/>
          </w:tcPr>
          <w:p>
            <w:pPr>
              <w:spacing w:after="0"/>
              <w:rPr>
                <w:sz w:val="20"/>
                <w:szCs w:val="20"/>
                <w:color w:val="auto"/>
              </w:rPr>
            </w:pPr>
          </w:p>
        </w:tc>
        <w:tc>
          <w:tcPr>
            <w:tcW w:w="180" w:type="dxa"/>
            <w:vAlign w:val="bottom"/>
            <w:tcBorders>
              <w:top w:val="single" w:sz="8" w:color="auto"/>
            </w:tcBorders>
          </w:tcPr>
          <w:p>
            <w:pPr>
              <w:spacing w:after="0"/>
              <w:rPr>
                <w:sz w:val="20"/>
                <w:szCs w:val="20"/>
                <w:color w:val="auto"/>
              </w:rPr>
            </w:pPr>
          </w:p>
        </w:tc>
        <w:tc>
          <w:tcPr>
            <w:tcW w:w="1020" w:type="dxa"/>
            <w:vAlign w:val="bottom"/>
            <w:tcBorders>
              <w:top w:val="single" w:sz="8" w:color="auto"/>
            </w:tcBorders>
          </w:tcPr>
          <w:p>
            <w:pPr>
              <w:jc w:val="right"/>
              <w:ind w:right="12"/>
              <w:spacing w:after="0"/>
              <w:rPr>
                <w:sz w:val="20"/>
                <w:szCs w:val="20"/>
                <w:color w:val="auto"/>
              </w:rPr>
            </w:pPr>
            <w:r>
              <w:rPr>
                <w:rFonts w:ascii="Arial" w:cs="Arial" w:eastAsia="Arial" w:hAnsi="Arial"/>
                <w:sz w:val="18"/>
                <w:szCs w:val="18"/>
                <w:color w:val="auto"/>
              </w:rPr>
              <w:t>5,504,173</w:t>
            </w:r>
          </w:p>
        </w:tc>
        <w:tc>
          <w:tcPr>
            <w:tcW w:w="120" w:type="dxa"/>
            <w:vAlign w:val="bottom"/>
          </w:tcPr>
          <w:p>
            <w:pPr>
              <w:spacing w:after="0"/>
              <w:rPr>
                <w:sz w:val="20"/>
                <w:szCs w:val="20"/>
                <w:color w:val="auto"/>
              </w:rPr>
            </w:pPr>
          </w:p>
        </w:tc>
        <w:tc>
          <w:tcPr>
            <w:tcW w:w="160" w:type="dxa"/>
            <w:vAlign w:val="bottom"/>
            <w:tcBorders>
              <w:top w:val="single" w:sz="8" w:color="auto"/>
            </w:tcBorders>
          </w:tcPr>
          <w:p>
            <w:pPr>
              <w:spacing w:after="0"/>
              <w:rPr>
                <w:sz w:val="20"/>
                <w:szCs w:val="20"/>
                <w:color w:val="auto"/>
              </w:rPr>
            </w:pPr>
          </w:p>
        </w:tc>
        <w:tc>
          <w:tcPr>
            <w:tcW w:w="1040" w:type="dxa"/>
            <w:vAlign w:val="bottom"/>
            <w:tcBorders>
              <w:top w:val="single" w:sz="8" w:color="auto"/>
            </w:tcBorders>
          </w:tcPr>
          <w:p>
            <w:pPr>
              <w:jc w:val="right"/>
              <w:ind w:right="33"/>
              <w:spacing w:after="0"/>
              <w:rPr>
                <w:sz w:val="20"/>
                <w:szCs w:val="20"/>
                <w:color w:val="auto"/>
              </w:rPr>
            </w:pPr>
            <w:r>
              <w:rPr>
                <w:rFonts w:ascii="Arial" w:cs="Arial" w:eastAsia="Arial" w:hAnsi="Arial"/>
                <w:sz w:val="18"/>
                <w:szCs w:val="18"/>
                <w:color w:val="auto"/>
                <w:w w:val="99"/>
              </w:rPr>
              <w:t>10,698,586</w:t>
            </w:r>
          </w:p>
        </w:tc>
        <w:tc>
          <w:tcPr>
            <w:tcW w:w="100" w:type="dxa"/>
            <w:vAlign w:val="bottom"/>
          </w:tcPr>
          <w:p>
            <w:pPr>
              <w:spacing w:after="0"/>
              <w:rPr>
                <w:sz w:val="20"/>
                <w:szCs w:val="20"/>
                <w:color w:val="auto"/>
              </w:rPr>
            </w:pPr>
          </w:p>
        </w:tc>
        <w:tc>
          <w:tcPr>
            <w:tcW w:w="140" w:type="dxa"/>
            <w:vAlign w:val="bottom"/>
            <w:tcBorders>
              <w:top w:val="single" w:sz="8" w:color="auto"/>
            </w:tcBorders>
          </w:tcPr>
          <w:p>
            <w:pPr>
              <w:spacing w:after="0"/>
              <w:rPr>
                <w:sz w:val="20"/>
                <w:szCs w:val="20"/>
                <w:color w:val="auto"/>
              </w:rPr>
            </w:pPr>
          </w:p>
        </w:tc>
        <w:tc>
          <w:tcPr>
            <w:tcW w:w="9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(144,727)</w:t>
            </w:r>
          </w:p>
        </w:tc>
        <w:tc>
          <w:tcPr>
            <w:tcW w:w="100" w:type="dxa"/>
            <w:vAlign w:val="bottom"/>
          </w:tcPr>
          <w:p>
            <w:pPr>
              <w:spacing w:after="0"/>
              <w:rPr>
                <w:sz w:val="20"/>
                <w:szCs w:val="20"/>
                <w:color w:val="auto"/>
              </w:rPr>
            </w:pPr>
          </w:p>
        </w:tc>
        <w:tc>
          <w:tcPr>
            <w:tcW w:w="140" w:type="dxa"/>
            <w:vAlign w:val="bottom"/>
            <w:tcBorders>
              <w:top w:val="single" w:sz="8" w:color="auto"/>
            </w:tcBorders>
          </w:tcPr>
          <w:p>
            <w:pPr>
              <w:spacing w:after="0"/>
              <w:rPr>
                <w:sz w:val="20"/>
                <w:szCs w:val="20"/>
                <w:color w:val="auto"/>
              </w:rPr>
            </w:pPr>
          </w:p>
        </w:tc>
        <w:tc>
          <w:tcPr>
            <w:tcW w:w="960" w:type="dxa"/>
            <w:vAlign w:val="bottom"/>
            <w:tcBorders>
              <w:top w:val="single" w:sz="8" w:color="auto"/>
            </w:tcBorders>
          </w:tcPr>
          <w:p>
            <w:pPr>
              <w:jc w:val="right"/>
              <w:ind w:right="34"/>
              <w:spacing w:after="0"/>
              <w:rPr>
                <w:sz w:val="20"/>
                <w:szCs w:val="20"/>
                <w:color w:val="auto"/>
              </w:rPr>
            </w:pPr>
            <w:r>
              <w:rPr>
                <w:rFonts w:ascii="Arial" w:cs="Arial" w:eastAsia="Arial" w:hAnsi="Arial"/>
                <w:sz w:val="18"/>
                <w:szCs w:val="18"/>
                <w:color w:val="auto"/>
                <w:w w:val="90"/>
              </w:rPr>
              <w:t>10,553,859</w:t>
            </w:r>
          </w:p>
        </w:tc>
        <w:tc>
          <w:tcPr>
            <w:tcW w:w="0" w:type="dxa"/>
            <w:vAlign w:val="bottom"/>
          </w:tcPr>
          <w:p>
            <w:pPr>
              <w:spacing w:after="0"/>
              <w:rPr>
                <w:sz w:val="1"/>
                <w:szCs w:val="1"/>
                <w:color w:val="auto"/>
              </w:rPr>
            </w:pPr>
          </w:p>
        </w:tc>
      </w:tr>
      <w:tr>
        <w:trPr>
          <w:trHeight w:val="27"/>
        </w:trPr>
        <w:tc>
          <w:tcPr>
            <w:tcW w:w="260" w:type="dxa"/>
            <w:vAlign w:val="bottom"/>
          </w:tcPr>
          <w:p>
            <w:pPr>
              <w:spacing w:after="0"/>
              <w:rPr>
                <w:sz w:val="2"/>
                <w:szCs w:val="2"/>
                <w:color w:val="auto"/>
              </w:rPr>
            </w:pPr>
          </w:p>
        </w:tc>
        <w:tc>
          <w:tcPr>
            <w:tcW w:w="840" w:type="dxa"/>
            <w:vAlign w:val="bottom"/>
            <w:tcBorders>
              <w:bottom w:val="single" w:sz="8" w:color="CCEEFF"/>
            </w:tcBorders>
          </w:tcPr>
          <w:p>
            <w:pPr>
              <w:spacing w:after="0"/>
              <w:rPr>
                <w:sz w:val="2"/>
                <w:szCs w:val="2"/>
                <w:color w:val="auto"/>
              </w:rPr>
            </w:pPr>
          </w:p>
        </w:tc>
        <w:tc>
          <w:tcPr>
            <w:tcW w:w="264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260" w:type="dxa"/>
            <w:vAlign w:val="bottom"/>
          </w:tcPr>
          <w:p>
            <w:pPr>
              <w:spacing w:after="0"/>
              <w:rPr>
                <w:sz w:val="21"/>
                <w:szCs w:val="21"/>
                <w:color w:val="auto"/>
              </w:rPr>
            </w:pPr>
          </w:p>
        </w:tc>
        <w:tc>
          <w:tcPr>
            <w:tcW w:w="348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8"/>
                <w:szCs w:val="18"/>
                <w:color w:val="auto"/>
              </w:rPr>
              <w:t>Operating expense:</w:t>
            </w:r>
          </w:p>
        </w:tc>
        <w:tc>
          <w:tcPr>
            <w:tcW w:w="18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260" w:type="dxa"/>
            <w:vAlign w:val="bottom"/>
          </w:tcPr>
          <w:p>
            <w:pPr>
              <w:spacing w:after="0"/>
              <w:rPr>
                <w:sz w:val="21"/>
                <w:szCs w:val="21"/>
                <w:color w:val="auto"/>
              </w:rPr>
            </w:pPr>
          </w:p>
        </w:tc>
        <w:tc>
          <w:tcPr>
            <w:tcW w:w="3480" w:type="dxa"/>
            <w:vAlign w:val="bottom"/>
            <w:gridSpan w:val="2"/>
          </w:tcPr>
          <w:p>
            <w:pPr>
              <w:ind w:left="160"/>
              <w:spacing w:after="0"/>
              <w:rPr>
                <w:sz w:val="20"/>
                <w:szCs w:val="20"/>
                <w:color w:val="auto"/>
              </w:rPr>
            </w:pPr>
            <w:r>
              <w:rPr>
                <w:rFonts w:ascii="Arial" w:cs="Arial" w:eastAsia="Arial" w:hAnsi="Arial"/>
                <w:sz w:val="18"/>
                <w:szCs w:val="18"/>
                <w:color w:val="auto"/>
              </w:rPr>
              <w:t>Selling, general and administrative</w:t>
            </w:r>
          </w:p>
        </w:tc>
        <w:tc>
          <w:tcPr>
            <w:tcW w:w="180" w:type="dxa"/>
            <w:vAlign w:val="bottom"/>
          </w:tcPr>
          <w:p>
            <w:pPr>
              <w:spacing w:after="0"/>
              <w:rPr>
                <w:sz w:val="21"/>
                <w:szCs w:val="21"/>
                <w:color w:val="auto"/>
              </w:rPr>
            </w:pPr>
          </w:p>
        </w:tc>
        <w:tc>
          <w:tcPr>
            <w:tcW w:w="1040" w:type="dxa"/>
            <w:vAlign w:val="bottom"/>
          </w:tcPr>
          <w:p>
            <w:pPr>
              <w:jc w:val="right"/>
              <w:ind w:right="33"/>
              <w:spacing w:after="0"/>
              <w:rPr>
                <w:sz w:val="20"/>
                <w:szCs w:val="20"/>
                <w:color w:val="auto"/>
              </w:rPr>
            </w:pPr>
            <w:r>
              <w:rPr>
                <w:rFonts w:ascii="Arial" w:cs="Arial" w:eastAsia="Arial" w:hAnsi="Arial"/>
                <w:sz w:val="18"/>
                <w:szCs w:val="18"/>
                <w:color w:val="auto"/>
              </w:rPr>
              <w:t>3,767,456</w:t>
            </w: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960" w:type="dxa"/>
            <w:vAlign w:val="bottom"/>
          </w:tcPr>
          <w:p>
            <w:pPr>
              <w:jc w:val="right"/>
              <w:ind w:right="32"/>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020" w:type="dxa"/>
            <w:vAlign w:val="bottom"/>
          </w:tcPr>
          <w:p>
            <w:pPr>
              <w:jc w:val="right"/>
              <w:ind w:right="12"/>
              <w:spacing w:after="0"/>
              <w:rPr>
                <w:sz w:val="20"/>
                <w:szCs w:val="20"/>
                <w:color w:val="auto"/>
              </w:rPr>
            </w:pPr>
            <w:r>
              <w:rPr>
                <w:rFonts w:ascii="Arial" w:cs="Arial" w:eastAsia="Arial" w:hAnsi="Arial"/>
                <w:sz w:val="18"/>
                <w:szCs w:val="18"/>
                <w:color w:val="auto"/>
              </w:rPr>
              <w:t>3,767,456</w:t>
            </w: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040" w:type="dxa"/>
            <w:vAlign w:val="bottom"/>
          </w:tcPr>
          <w:p>
            <w:pPr>
              <w:jc w:val="right"/>
              <w:ind w:right="33"/>
              <w:spacing w:after="0"/>
              <w:rPr>
                <w:sz w:val="20"/>
                <w:szCs w:val="20"/>
                <w:color w:val="auto"/>
              </w:rPr>
            </w:pPr>
            <w:r>
              <w:rPr>
                <w:rFonts w:ascii="Arial" w:cs="Arial" w:eastAsia="Arial" w:hAnsi="Arial"/>
                <w:sz w:val="18"/>
                <w:szCs w:val="18"/>
                <w:color w:val="auto"/>
              </w:rPr>
              <w:t>7,577,072</w:t>
            </w: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06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21"/>
                <w:szCs w:val="21"/>
                <w:color w:val="auto"/>
              </w:rPr>
            </w:pPr>
          </w:p>
        </w:tc>
        <w:tc>
          <w:tcPr>
            <w:tcW w:w="960" w:type="dxa"/>
            <w:vAlign w:val="bottom"/>
          </w:tcPr>
          <w:p>
            <w:pPr>
              <w:jc w:val="right"/>
              <w:ind w:right="34"/>
              <w:spacing w:after="0"/>
              <w:rPr>
                <w:sz w:val="20"/>
                <w:szCs w:val="20"/>
                <w:color w:val="auto"/>
              </w:rPr>
            </w:pPr>
            <w:r>
              <w:rPr>
                <w:rFonts w:ascii="Arial" w:cs="Arial" w:eastAsia="Arial" w:hAnsi="Arial"/>
                <w:sz w:val="18"/>
                <w:szCs w:val="18"/>
                <w:color w:val="auto"/>
              </w:rPr>
              <w:t>7,577,072</w:t>
            </w:r>
          </w:p>
        </w:tc>
        <w:tc>
          <w:tcPr>
            <w:tcW w:w="0" w:type="dxa"/>
            <w:vAlign w:val="bottom"/>
          </w:tcPr>
          <w:p>
            <w:pPr>
              <w:spacing w:after="0"/>
              <w:rPr>
                <w:sz w:val="1"/>
                <w:szCs w:val="1"/>
                <w:color w:val="auto"/>
              </w:rPr>
            </w:pPr>
          </w:p>
        </w:tc>
      </w:tr>
      <w:tr>
        <w:trPr>
          <w:trHeight w:val="27"/>
        </w:trPr>
        <w:tc>
          <w:tcPr>
            <w:tcW w:w="260" w:type="dxa"/>
            <w:vAlign w:val="bottom"/>
          </w:tcPr>
          <w:p>
            <w:pPr>
              <w:spacing w:after="0"/>
              <w:rPr>
                <w:sz w:val="2"/>
                <w:szCs w:val="2"/>
                <w:color w:val="auto"/>
              </w:rPr>
            </w:pPr>
          </w:p>
        </w:tc>
        <w:tc>
          <w:tcPr>
            <w:tcW w:w="840" w:type="dxa"/>
            <w:vAlign w:val="bottom"/>
          </w:tcPr>
          <w:p>
            <w:pPr>
              <w:spacing w:after="0"/>
              <w:rPr>
                <w:sz w:val="2"/>
                <w:szCs w:val="2"/>
                <w:color w:val="auto"/>
              </w:rPr>
            </w:pPr>
          </w:p>
        </w:tc>
        <w:tc>
          <w:tcPr>
            <w:tcW w:w="264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9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9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9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260" w:type="dxa"/>
            <w:vAlign w:val="bottom"/>
          </w:tcPr>
          <w:p>
            <w:pPr>
              <w:spacing w:after="0"/>
              <w:rPr>
                <w:sz w:val="23"/>
                <w:szCs w:val="23"/>
                <w:color w:val="auto"/>
              </w:rPr>
            </w:pPr>
          </w:p>
        </w:tc>
        <w:tc>
          <w:tcPr>
            <w:tcW w:w="3480" w:type="dxa"/>
            <w:vAlign w:val="bottom"/>
            <w:tcBorders>
              <w:bottom w:val="single" w:sz="8" w:color="CCEEFF"/>
            </w:tcBorders>
            <w:gridSpan w:val="2"/>
            <w:shd w:val="clear" w:color="auto" w:fill="CCEEFF"/>
          </w:tcPr>
          <w:p>
            <w:pPr>
              <w:ind w:left="160"/>
              <w:spacing w:after="0"/>
              <w:rPr>
                <w:sz w:val="20"/>
                <w:szCs w:val="20"/>
                <w:color w:val="auto"/>
              </w:rPr>
            </w:pPr>
            <w:r>
              <w:rPr>
                <w:rFonts w:ascii="Arial" w:cs="Arial" w:eastAsia="Arial" w:hAnsi="Arial"/>
                <w:sz w:val="18"/>
                <w:szCs w:val="18"/>
                <w:color w:val="auto"/>
              </w:rPr>
              <w:t>Research, development and engineering</w:t>
            </w:r>
          </w:p>
        </w:tc>
        <w:tc>
          <w:tcPr>
            <w:tcW w:w="180" w:type="dxa"/>
            <w:vAlign w:val="bottom"/>
            <w:tcBorders>
              <w:bottom w:val="single" w:sz="8" w:color="CCEEFF"/>
            </w:tcBorders>
            <w:shd w:val="clear" w:color="auto" w:fill="CCEEFF"/>
          </w:tcPr>
          <w:p>
            <w:pPr>
              <w:spacing w:after="0"/>
              <w:rPr>
                <w:sz w:val="23"/>
                <w:szCs w:val="23"/>
                <w:color w:val="auto"/>
              </w:rPr>
            </w:pPr>
          </w:p>
        </w:tc>
        <w:tc>
          <w:tcPr>
            <w:tcW w:w="1040" w:type="dxa"/>
            <w:vAlign w:val="bottom"/>
            <w:tcBorders>
              <w:bottom w:val="single" w:sz="8" w:color="CCEEFF"/>
            </w:tcBorders>
            <w:shd w:val="clear" w:color="auto" w:fill="CCEEFF"/>
          </w:tcPr>
          <w:p>
            <w:pPr>
              <w:jc w:val="right"/>
              <w:ind w:right="33"/>
              <w:spacing w:after="0"/>
              <w:rPr>
                <w:sz w:val="20"/>
                <w:szCs w:val="20"/>
                <w:color w:val="auto"/>
              </w:rPr>
            </w:pPr>
            <w:r>
              <w:rPr>
                <w:rFonts w:ascii="Arial" w:cs="Arial" w:eastAsia="Arial" w:hAnsi="Arial"/>
                <w:sz w:val="18"/>
                <w:szCs w:val="18"/>
                <w:color w:val="auto"/>
              </w:rPr>
              <w:t>1,003,863</w:t>
            </w:r>
          </w:p>
        </w:tc>
        <w:tc>
          <w:tcPr>
            <w:tcW w:w="100" w:type="dxa"/>
            <w:vAlign w:val="bottom"/>
            <w:tcBorders>
              <w:bottom w:val="single" w:sz="8" w:color="CCEEFF"/>
            </w:tcBorders>
            <w:shd w:val="clear" w:color="auto" w:fill="CCEEFF"/>
          </w:tcPr>
          <w:p>
            <w:pPr>
              <w:spacing w:after="0"/>
              <w:rPr>
                <w:sz w:val="23"/>
                <w:szCs w:val="23"/>
                <w:color w:val="auto"/>
              </w:rPr>
            </w:pPr>
          </w:p>
        </w:tc>
        <w:tc>
          <w:tcPr>
            <w:tcW w:w="140" w:type="dxa"/>
            <w:vAlign w:val="bottom"/>
            <w:tcBorders>
              <w:bottom w:val="single" w:sz="8" w:color="CCEEFF"/>
            </w:tcBorders>
            <w:shd w:val="clear" w:color="auto" w:fill="CCEEFF"/>
          </w:tcPr>
          <w:p>
            <w:pPr>
              <w:spacing w:after="0"/>
              <w:rPr>
                <w:sz w:val="23"/>
                <w:szCs w:val="23"/>
                <w:color w:val="auto"/>
              </w:rPr>
            </w:pPr>
          </w:p>
        </w:tc>
        <w:tc>
          <w:tcPr>
            <w:tcW w:w="96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w:t>
            </w:r>
          </w:p>
        </w:tc>
        <w:tc>
          <w:tcPr>
            <w:tcW w:w="100" w:type="dxa"/>
            <w:vAlign w:val="bottom"/>
            <w:tcBorders>
              <w:bottom w:val="single" w:sz="8" w:color="CCEEFF"/>
            </w:tcBorders>
            <w:shd w:val="clear" w:color="auto" w:fill="CCEEFF"/>
          </w:tcPr>
          <w:p>
            <w:pPr>
              <w:spacing w:after="0"/>
              <w:rPr>
                <w:sz w:val="23"/>
                <w:szCs w:val="23"/>
                <w:color w:val="auto"/>
              </w:rPr>
            </w:pPr>
          </w:p>
        </w:tc>
        <w:tc>
          <w:tcPr>
            <w:tcW w:w="180" w:type="dxa"/>
            <w:vAlign w:val="bottom"/>
            <w:tcBorders>
              <w:bottom w:val="single" w:sz="8" w:color="CCEEFF"/>
            </w:tcBorders>
            <w:shd w:val="clear" w:color="auto" w:fill="CCEEFF"/>
          </w:tcPr>
          <w:p>
            <w:pPr>
              <w:spacing w:after="0"/>
              <w:rPr>
                <w:sz w:val="23"/>
                <w:szCs w:val="23"/>
                <w:color w:val="auto"/>
              </w:rPr>
            </w:pPr>
          </w:p>
        </w:tc>
        <w:tc>
          <w:tcPr>
            <w:tcW w:w="102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1,003,863</w:t>
            </w:r>
          </w:p>
        </w:tc>
        <w:tc>
          <w:tcPr>
            <w:tcW w:w="120" w:type="dxa"/>
            <w:vAlign w:val="bottom"/>
            <w:tcBorders>
              <w:bottom w:val="single" w:sz="8" w:color="CCEEFF"/>
            </w:tcBorders>
            <w:shd w:val="clear" w:color="auto" w:fill="CCEEFF"/>
          </w:tcPr>
          <w:p>
            <w:pPr>
              <w:spacing w:after="0"/>
              <w:rPr>
                <w:sz w:val="23"/>
                <w:szCs w:val="23"/>
                <w:color w:val="auto"/>
              </w:rPr>
            </w:pPr>
          </w:p>
        </w:tc>
        <w:tc>
          <w:tcPr>
            <w:tcW w:w="160" w:type="dxa"/>
            <w:vAlign w:val="bottom"/>
            <w:tcBorders>
              <w:bottom w:val="single" w:sz="8" w:color="CCEEFF"/>
            </w:tcBorders>
            <w:shd w:val="clear" w:color="auto" w:fill="CCEEFF"/>
          </w:tcPr>
          <w:p>
            <w:pPr>
              <w:spacing w:after="0"/>
              <w:rPr>
                <w:sz w:val="23"/>
                <w:szCs w:val="23"/>
                <w:color w:val="auto"/>
              </w:rPr>
            </w:pPr>
          </w:p>
        </w:tc>
        <w:tc>
          <w:tcPr>
            <w:tcW w:w="1040" w:type="dxa"/>
            <w:vAlign w:val="bottom"/>
            <w:tcBorders>
              <w:bottom w:val="single" w:sz="8" w:color="CCEEFF"/>
            </w:tcBorders>
            <w:shd w:val="clear" w:color="auto" w:fill="CCEEFF"/>
          </w:tcPr>
          <w:p>
            <w:pPr>
              <w:jc w:val="right"/>
              <w:ind w:right="33"/>
              <w:spacing w:after="0"/>
              <w:rPr>
                <w:sz w:val="20"/>
                <w:szCs w:val="20"/>
                <w:color w:val="auto"/>
              </w:rPr>
            </w:pPr>
            <w:r>
              <w:rPr>
                <w:rFonts w:ascii="Arial" w:cs="Arial" w:eastAsia="Arial" w:hAnsi="Arial"/>
                <w:sz w:val="18"/>
                <w:szCs w:val="18"/>
                <w:color w:val="auto"/>
              </w:rPr>
              <w:t>2,105,352</w:t>
            </w:r>
          </w:p>
        </w:tc>
        <w:tc>
          <w:tcPr>
            <w:tcW w:w="100" w:type="dxa"/>
            <w:vAlign w:val="bottom"/>
            <w:tcBorders>
              <w:bottom w:val="single" w:sz="8" w:color="CCEEFF"/>
            </w:tcBorders>
            <w:shd w:val="clear" w:color="auto" w:fill="CCEEFF"/>
          </w:tcPr>
          <w:p>
            <w:pPr>
              <w:spacing w:after="0"/>
              <w:rPr>
                <w:sz w:val="23"/>
                <w:szCs w:val="23"/>
                <w:color w:val="auto"/>
              </w:rPr>
            </w:pPr>
          </w:p>
        </w:tc>
        <w:tc>
          <w:tcPr>
            <w:tcW w:w="140" w:type="dxa"/>
            <w:vAlign w:val="bottom"/>
            <w:tcBorders>
              <w:bottom w:val="single" w:sz="8" w:color="CCEEFF"/>
            </w:tcBorders>
            <w:shd w:val="clear" w:color="auto" w:fill="CCEEFF"/>
          </w:tcPr>
          <w:p>
            <w:pPr>
              <w:spacing w:after="0"/>
              <w:rPr>
                <w:sz w:val="23"/>
                <w:szCs w:val="23"/>
                <w:color w:val="auto"/>
              </w:rPr>
            </w:pPr>
          </w:p>
        </w:tc>
        <w:tc>
          <w:tcPr>
            <w:tcW w:w="106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40" w:type="dxa"/>
            <w:vAlign w:val="bottom"/>
            <w:tcBorders>
              <w:bottom w:val="single" w:sz="8" w:color="CCEEFF"/>
            </w:tcBorders>
            <w:shd w:val="clear" w:color="auto" w:fill="CCEEFF"/>
          </w:tcPr>
          <w:p>
            <w:pPr>
              <w:spacing w:after="0"/>
              <w:rPr>
                <w:sz w:val="23"/>
                <w:szCs w:val="23"/>
                <w:color w:val="auto"/>
              </w:rPr>
            </w:pPr>
          </w:p>
        </w:tc>
        <w:tc>
          <w:tcPr>
            <w:tcW w:w="960" w:type="dxa"/>
            <w:vAlign w:val="bottom"/>
            <w:tcBorders>
              <w:bottom w:val="single" w:sz="8" w:color="CCEEFF"/>
            </w:tcBorders>
            <w:shd w:val="clear" w:color="auto" w:fill="CCEEFF"/>
          </w:tcPr>
          <w:p>
            <w:pPr>
              <w:jc w:val="right"/>
              <w:ind w:right="34"/>
              <w:spacing w:after="0"/>
              <w:rPr>
                <w:sz w:val="20"/>
                <w:szCs w:val="20"/>
                <w:color w:val="auto"/>
              </w:rPr>
            </w:pPr>
            <w:r>
              <w:rPr>
                <w:rFonts w:ascii="Arial" w:cs="Arial" w:eastAsia="Arial" w:hAnsi="Arial"/>
                <w:sz w:val="18"/>
                <w:szCs w:val="18"/>
                <w:color w:val="auto"/>
              </w:rPr>
              <w:t>2,105,352</w:t>
            </w:r>
          </w:p>
        </w:tc>
        <w:tc>
          <w:tcPr>
            <w:tcW w:w="0" w:type="dxa"/>
            <w:vAlign w:val="bottom"/>
          </w:tcPr>
          <w:p>
            <w:pPr>
              <w:spacing w:after="0"/>
              <w:rPr>
                <w:sz w:val="1"/>
                <w:szCs w:val="1"/>
                <w:color w:val="auto"/>
              </w:rPr>
            </w:pPr>
          </w:p>
        </w:tc>
      </w:tr>
      <w:tr>
        <w:trPr>
          <w:trHeight w:val="237"/>
        </w:trPr>
        <w:tc>
          <w:tcPr>
            <w:tcW w:w="260" w:type="dxa"/>
            <w:vAlign w:val="bottom"/>
          </w:tcPr>
          <w:p>
            <w:pPr>
              <w:spacing w:after="0"/>
              <w:rPr>
                <w:sz w:val="20"/>
                <w:szCs w:val="20"/>
                <w:color w:val="auto"/>
              </w:rPr>
            </w:pPr>
          </w:p>
        </w:tc>
        <w:tc>
          <w:tcPr>
            <w:tcW w:w="3480" w:type="dxa"/>
            <w:vAlign w:val="bottom"/>
            <w:gridSpan w:val="2"/>
          </w:tcPr>
          <w:p>
            <w:pPr>
              <w:ind w:left="320"/>
              <w:spacing w:after="0"/>
              <w:rPr>
                <w:sz w:val="20"/>
                <w:szCs w:val="20"/>
                <w:color w:val="auto"/>
              </w:rPr>
            </w:pPr>
            <w:r>
              <w:rPr>
                <w:rFonts w:ascii="Arial" w:cs="Arial" w:eastAsia="Arial" w:hAnsi="Arial"/>
                <w:sz w:val="18"/>
                <w:szCs w:val="18"/>
                <w:color w:val="auto"/>
              </w:rPr>
              <w:t>Total operating expense</w:t>
            </w:r>
          </w:p>
        </w:tc>
        <w:tc>
          <w:tcPr>
            <w:tcW w:w="180" w:type="dxa"/>
            <w:vAlign w:val="bottom"/>
            <w:tcBorders>
              <w:top w:val="single" w:sz="8" w:color="auto"/>
            </w:tcBorders>
          </w:tcPr>
          <w:p>
            <w:pPr>
              <w:spacing w:after="0"/>
              <w:rPr>
                <w:sz w:val="20"/>
                <w:szCs w:val="20"/>
                <w:color w:val="auto"/>
              </w:rPr>
            </w:pPr>
          </w:p>
        </w:tc>
        <w:tc>
          <w:tcPr>
            <w:tcW w:w="1040" w:type="dxa"/>
            <w:vAlign w:val="bottom"/>
            <w:tcBorders>
              <w:top w:val="single" w:sz="8" w:color="auto"/>
            </w:tcBorders>
          </w:tcPr>
          <w:p>
            <w:pPr>
              <w:jc w:val="right"/>
              <w:ind w:right="33"/>
              <w:spacing w:after="0"/>
              <w:rPr>
                <w:sz w:val="20"/>
                <w:szCs w:val="20"/>
                <w:color w:val="auto"/>
              </w:rPr>
            </w:pPr>
            <w:r>
              <w:rPr>
                <w:rFonts w:ascii="Arial" w:cs="Arial" w:eastAsia="Arial" w:hAnsi="Arial"/>
                <w:sz w:val="18"/>
                <w:szCs w:val="18"/>
                <w:color w:val="auto"/>
              </w:rPr>
              <w:t>4,771,319</w:t>
            </w:r>
          </w:p>
        </w:tc>
        <w:tc>
          <w:tcPr>
            <w:tcW w:w="100" w:type="dxa"/>
            <w:vAlign w:val="bottom"/>
          </w:tcPr>
          <w:p>
            <w:pPr>
              <w:spacing w:after="0"/>
              <w:rPr>
                <w:sz w:val="20"/>
                <w:szCs w:val="20"/>
                <w:color w:val="auto"/>
              </w:rPr>
            </w:pPr>
          </w:p>
        </w:tc>
        <w:tc>
          <w:tcPr>
            <w:tcW w:w="140" w:type="dxa"/>
            <w:vAlign w:val="bottom"/>
            <w:tcBorders>
              <w:top w:val="single" w:sz="8" w:color="auto"/>
            </w:tcBorders>
          </w:tcPr>
          <w:p>
            <w:pPr>
              <w:spacing w:after="0"/>
              <w:rPr>
                <w:sz w:val="20"/>
                <w:szCs w:val="20"/>
                <w:color w:val="auto"/>
              </w:rPr>
            </w:pPr>
          </w:p>
        </w:tc>
        <w:tc>
          <w:tcPr>
            <w:tcW w:w="960" w:type="dxa"/>
            <w:vAlign w:val="bottom"/>
            <w:tcBorders>
              <w:top w:val="single" w:sz="8" w:color="auto"/>
            </w:tcBorders>
          </w:tcPr>
          <w:p>
            <w:pPr>
              <w:jc w:val="right"/>
              <w:ind w:right="32"/>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20"/>
                <w:szCs w:val="20"/>
                <w:color w:val="auto"/>
              </w:rPr>
            </w:pPr>
          </w:p>
        </w:tc>
        <w:tc>
          <w:tcPr>
            <w:tcW w:w="180" w:type="dxa"/>
            <w:vAlign w:val="bottom"/>
            <w:tcBorders>
              <w:top w:val="single" w:sz="8" w:color="auto"/>
            </w:tcBorders>
          </w:tcPr>
          <w:p>
            <w:pPr>
              <w:spacing w:after="0"/>
              <w:rPr>
                <w:sz w:val="20"/>
                <w:szCs w:val="20"/>
                <w:color w:val="auto"/>
              </w:rPr>
            </w:pPr>
          </w:p>
        </w:tc>
        <w:tc>
          <w:tcPr>
            <w:tcW w:w="1020" w:type="dxa"/>
            <w:vAlign w:val="bottom"/>
            <w:tcBorders>
              <w:top w:val="single" w:sz="8" w:color="auto"/>
            </w:tcBorders>
          </w:tcPr>
          <w:p>
            <w:pPr>
              <w:jc w:val="right"/>
              <w:ind w:right="12"/>
              <w:spacing w:after="0"/>
              <w:rPr>
                <w:sz w:val="20"/>
                <w:szCs w:val="20"/>
                <w:color w:val="auto"/>
              </w:rPr>
            </w:pPr>
            <w:r>
              <w:rPr>
                <w:rFonts w:ascii="Arial" w:cs="Arial" w:eastAsia="Arial" w:hAnsi="Arial"/>
                <w:sz w:val="18"/>
                <w:szCs w:val="18"/>
                <w:color w:val="auto"/>
              </w:rPr>
              <w:t>4,771,319</w:t>
            </w:r>
          </w:p>
        </w:tc>
        <w:tc>
          <w:tcPr>
            <w:tcW w:w="120" w:type="dxa"/>
            <w:vAlign w:val="bottom"/>
          </w:tcPr>
          <w:p>
            <w:pPr>
              <w:spacing w:after="0"/>
              <w:rPr>
                <w:sz w:val="20"/>
                <w:szCs w:val="20"/>
                <w:color w:val="auto"/>
              </w:rPr>
            </w:pPr>
          </w:p>
        </w:tc>
        <w:tc>
          <w:tcPr>
            <w:tcW w:w="160" w:type="dxa"/>
            <w:vAlign w:val="bottom"/>
            <w:tcBorders>
              <w:top w:val="single" w:sz="8" w:color="auto"/>
            </w:tcBorders>
          </w:tcPr>
          <w:p>
            <w:pPr>
              <w:spacing w:after="0"/>
              <w:rPr>
                <w:sz w:val="20"/>
                <w:szCs w:val="20"/>
                <w:color w:val="auto"/>
              </w:rPr>
            </w:pPr>
          </w:p>
        </w:tc>
        <w:tc>
          <w:tcPr>
            <w:tcW w:w="1040" w:type="dxa"/>
            <w:vAlign w:val="bottom"/>
            <w:tcBorders>
              <w:top w:val="single" w:sz="8" w:color="auto"/>
            </w:tcBorders>
          </w:tcPr>
          <w:p>
            <w:pPr>
              <w:jc w:val="right"/>
              <w:ind w:right="33"/>
              <w:spacing w:after="0"/>
              <w:rPr>
                <w:sz w:val="20"/>
                <w:szCs w:val="20"/>
                <w:color w:val="auto"/>
              </w:rPr>
            </w:pPr>
            <w:r>
              <w:rPr>
                <w:rFonts w:ascii="Arial" w:cs="Arial" w:eastAsia="Arial" w:hAnsi="Arial"/>
                <w:sz w:val="18"/>
                <w:szCs w:val="18"/>
                <w:color w:val="auto"/>
              </w:rPr>
              <w:t>9,682,424</w:t>
            </w:r>
          </w:p>
        </w:tc>
        <w:tc>
          <w:tcPr>
            <w:tcW w:w="100" w:type="dxa"/>
            <w:vAlign w:val="bottom"/>
          </w:tcPr>
          <w:p>
            <w:pPr>
              <w:spacing w:after="0"/>
              <w:rPr>
                <w:sz w:val="20"/>
                <w:szCs w:val="20"/>
                <w:color w:val="auto"/>
              </w:rPr>
            </w:pPr>
          </w:p>
        </w:tc>
        <w:tc>
          <w:tcPr>
            <w:tcW w:w="140" w:type="dxa"/>
            <w:vAlign w:val="bottom"/>
            <w:tcBorders>
              <w:top w:val="single" w:sz="8" w:color="auto"/>
            </w:tcBorders>
          </w:tcPr>
          <w:p>
            <w:pPr>
              <w:spacing w:after="0"/>
              <w:rPr>
                <w:sz w:val="20"/>
                <w:szCs w:val="20"/>
                <w:color w:val="auto"/>
              </w:rPr>
            </w:pPr>
          </w:p>
        </w:tc>
        <w:tc>
          <w:tcPr>
            <w:tcW w:w="960" w:type="dxa"/>
            <w:vAlign w:val="bottom"/>
            <w:tcBorders>
              <w:top w:val="single" w:sz="8" w:color="auto"/>
            </w:tcBorders>
          </w:tcPr>
          <w:p>
            <w:pPr>
              <w:jc w:val="right"/>
              <w:ind w:right="32"/>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20"/>
                <w:szCs w:val="20"/>
                <w:color w:val="auto"/>
              </w:rPr>
            </w:pPr>
          </w:p>
        </w:tc>
        <w:tc>
          <w:tcPr>
            <w:tcW w:w="140" w:type="dxa"/>
            <w:vAlign w:val="bottom"/>
            <w:tcBorders>
              <w:top w:val="single" w:sz="8" w:color="auto"/>
            </w:tcBorders>
          </w:tcPr>
          <w:p>
            <w:pPr>
              <w:spacing w:after="0"/>
              <w:rPr>
                <w:sz w:val="20"/>
                <w:szCs w:val="20"/>
                <w:color w:val="auto"/>
              </w:rPr>
            </w:pPr>
          </w:p>
        </w:tc>
        <w:tc>
          <w:tcPr>
            <w:tcW w:w="960" w:type="dxa"/>
            <w:vAlign w:val="bottom"/>
            <w:tcBorders>
              <w:top w:val="single" w:sz="8" w:color="auto"/>
            </w:tcBorders>
          </w:tcPr>
          <w:p>
            <w:pPr>
              <w:jc w:val="right"/>
              <w:ind w:right="34"/>
              <w:spacing w:after="0"/>
              <w:rPr>
                <w:sz w:val="20"/>
                <w:szCs w:val="20"/>
                <w:color w:val="auto"/>
              </w:rPr>
            </w:pPr>
            <w:r>
              <w:rPr>
                <w:rFonts w:ascii="Arial" w:cs="Arial" w:eastAsia="Arial" w:hAnsi="Arial"/>
                <w:sz w:val="18"/>
                <w:szCs w:val="18"/>
                <w:color w:val="auto"/>
              </w:rPr>
              <w:t>9,682,424</w:t>
            </w:r>
          </w:p>
        </w:tc>
        <w:tc>
          <w:tcPr>
            <w:tcW w:w="0" w:type="dxa"/>
            <w:vAlign w:val="bottom"/>
          </w:tcPr>
          <w:p>
            <w:pPr>
              <w:spacing w:after="0"/>
              <w:rPr>
                <w:sz w:val="1"/>
                <w:szCs w:val="1"/>
                <w:color w:val="auto"/>
              </w:rPr>
            </w:pPr>
          </w:p>
        </w:tc>
      </w:tr>
      <w:tr>
        <w:trPr>
          <w:trHeight w:val="27"/>
        </w:trPr>
        <w:tc>
          <w:tcPr>
            <w:tcW w:w="260" w:type="dxa"/>
            <w:vAlign w:val="bottom"/>
          </w:tcPr>
          <w:p>
            <w:pPr>
              <w:spacing w:after="0"/>
              <w:rPr>
                <w:sz w:val="2"/>
                <w:szCs w:val="2"/>
                <w:color w:val="auto"/>
              </w:rPr>
            </w:pPr>
          </w:p>
        </w:tc>
        <w:tc>
          <w:tcPr>
            <w:tcW w:w="840" w:type="dxa"/>
            <w:vAlign w:val="bottom"/>
            <w:tcBorders>
              <w:bottom w:val="single" w:sz="8" w:color="CCEEFF"/>
            </w:tcBorders>
          </w:tcPr>
          <w:p>
            <w:pPr>
              <w:spacing w:after="0"/>
              <w:rPr>
                <w:sz w:val="2"/>
                <w:szCs w:val="2"/>
                <w:color w:val="auto"/>
              </w:rPr>
            </w:pPr>
          </w:p>
        </w:tc>
        <w:tc>
          <w:tcPr>
            <w:tcW w:w="264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4"/>
        </w:trPr>
        <w:tc>
          <w:tcPr>
            <w:tcW w:w="260" w:type="dxa"/>
            <w:vAlign w:val="bottom"/>
          </w:tcPr>
          <w:p>
            <w:pPr>
              <w:spacing w:after="0"/>
              <w:rPr>
                <w:sz w:val="22"/>
                <w:szCs w:val="22"/>
                <w:color w:val="auto"/>
              </w:rPr>
            </w:pPr>
          </w:p>
        </w:tc>
        <w:tc>
          <w:tcPr>
            <w:tcW w:w="348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8"/>
                <w:szCs w:val="18"/>
                <w:color w:val="auto"/>
              </w:rPr>
              <w:t>Operating income</w:t>
            </w:r>
          </w:p>
        </w:tc>
        <w:tc>
          <w:tcPr>
            <w:tcW w:w="180" w:type="dxa"/>
            <w:vAlign w:val="bottom"/>
            <w:tcBorders>
              <w:bottom w:val="single" w:sz="8" w:color="CCEEFF"/>
            </w:tcBorders>
            <w:shd w:val="clear" w:color="auto" w:fill="CCEEFF"/>
          </w:tcPr>
          <w:p>
            <w:pPr>
              <w:spacing w:after="0"/>
              <w:rPr>
                <w:sz w:val="22"/>
                <w:szCs w:val="22"/>
                <w:color w:val="auto"/>
              </w:rPr>
            </w:pPr>
          </w:p>
        </w:tc>
        <w:tc>
          <w:tcPr>
            <w:tcW w:w="1040" w:type="dxa"/>
            <w:vAlign w:val="bottom"/>
            <w:tcBorders>
              <w:bottom w:val="single" w:sz="8" w:color="CCEEFF"/>
            </w:tcBorders>
            <w:shd w:val="clear" w:color="auto" w:fill="CCEEFF"/>
          </w:tcPr>
          <w:p>
            <w:pPr>
              <w:jc w:val="right"/>
              <w:ind w:right="33"/>
              <w:spacing w:after="0"/>
              <w:rPr>
                <w:sz w:val="20"/>
                <w:szCs w:val="20"/>
                <w:color w:val="auto"/>
              </w:rPr>
            </w:pPr>
            <w:r>
              <w:rPr>
                <w:rFonts w:ascii="Arial" w:cs="Arial" w:eastAsia="Arial" w:hAnsi="Arial"/>
                <w:sz w:val="18"/>
                <w:szCs w:val="18"/>
                <w:color w:val="auto"/>
              </w:rPr>
              <w:t>901,149</w:t>
            </w:r>
          </w:p>
        </w:tc>
        <w:tc>
          <w:tcPr>
            <w:tcW w:w="100" w:type="dxa"/>
            <w:vAlign w:val="bottom"/>
            <w:tcBorders>
              <w:bottom w:val="single" w:sz="8" w:color="CCEEFF"/>
            </w:tcBorders>
            <w:shd w:val="clear" w:color="auto" w:fill="CCEEFF"/>
          </w:tcPr>
          <w:p>
            <w:pPr>
              <w:spacing w:after="0"/>
              <w:rPr>
                <w:sz w:val="22"/>
                <w:szCs w:val="22"/>
                <w:color w:val="auto"/>
              </w:rPr>
            </w:pPr>
          </w:p>
        </w:tc>
        <w:tc>
          <w:tcPr>
            <w:tcW w:w="140" w:type="dxa"/>
            <w:vAlign w:val="bottom"/>
            <w:tcBorders>
              <w:bottom w:val="single" w:sz="8" w:color="CCEEFF"/>
            </w:tcBorders>
            <w:shd w:val="clear" w:color="auto" w:fill="CCEEFF"/>
          </w:tcPr>
          <w:p>
            <w:pPr>
              <w:spacing w:after="0"/>
              <w:rPr>
                <w:sz w:val="22"/>
                <w:szCs w:val="22"/>
                <w:color w:val="auto"/>
              </w:rPr>
            </w:pPr>
          </w:p>
        </w:tc>
        <w:tc>
          <w:tcPr>
            <w:tcW w:w="9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(168,295)</w:t>
            </w:r>
          </w:p>
        </w:tc>
        <w:tc>
          <w:tcPr>
            <w:tcW w:w="10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CCEEFF"/>
            </w:tcBorders>
            <w:shd w:val="clear" w:color="auto" w:fill="CCEEFF"/>
          </w:tcPr>
          <w:p>
            <w:pPr>
              <w:spacing w:after="0"/>
              <w:rPr>
                <w:sz w:val="22"/>
                <w:szCs w:val="22"/>
                <w:color w:val="auto"/>
              </w:rPr>
            </w:pPr>
          </w:p>
        </w:tc>
        <w:tc>
          <w:tcPr>
            <w:tcW w:w="102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732,854</w:t>
            </w:r>
          </w:p>
        </w:tc>
        <w:tc>
          <w:tcPr>
            <w:tcW w:w="120" w:type="dxa"/>
            <w:vAlign w:val="bottom"/>
            <w:tcBorders>
              <w:bottom w:val="single" w:sz="8" w:color="CCEEFF"/>
            </w:tcBorders>
            <w:shd w:val="clear" w:color="auto" w:fill="CCEEFF"/>
          </w:tcPr>
          <w:p>
            <w:pPr>
              <w:spacing w:after="0"/>
              <w:rPr>
                <w:sz w:val="22"/>
                <w:szCs w:val="22"/>
                <w:color w:val="auto"/>
              </w:rPr>
            </w:pPr>
          </w:p>
        </w:tc>
        <w:tc>
          <w:tcPr>
            <w:tcW w:w="160" w:type="dxa"/>
            <w:vAlign w:val="bottom"/>
            <w:tcBorders>
              <w:bottom w:val="single" w:sz="8" w:color="CCEEFF"/>
            </w:tcBorders>
            <w:shd w:val="clear" w:color="auto" w:fill="CCEEFF"/>
          </w:tcPr>
          <w:p>
            <w:pPr>
              <w:spacing w:after="0"/>
              <w:rPr>
                <w:sz w:val="22"/>
                <w:szCs w:val="22"/>
                <w:color w:val="auto"/>
              </w:rPr>
            </w:pPr>
          </w:p>
        </w:tc>
        <w:tc>
          <w:tcPr>
            <w:tcW w:w="1040" w:type="dxa"/>
            <w:vAlign w:val="bottom"/>
            <w:tcBorders>
              <w:bottom w:val="single" w:sz="8" w:color="CCEEFF"/>
            </w:tcBorders>
            <w:shd w:val="clear" w:color="auto" w:fill="CCEEFF"/>
          </w:tcPr>
          <w:p>
            <w:pPr>
              <w:jc w:val="right"/>
              <w:ind w:right="33"/>
              <w:spacing w:after="0"/>
              <w:rPr>
                <w:sz w:val="20"/>
                <w:szCs w:val="20"/>
                <w:color w:val="auto"/>
              </w:rPr>
            </w:pPr>
            <w:r>
              <w:rPr>
                <w:rFonts w:ascii="Arial" w:cs="Arial" w:eastAsia="Arial" w:hAnsi="Arial"/>
                <w:sz w:val="18"/>
                <w:szCs w:val="18"/>
                <w:color w:val="auto"/>
              </w:rPr>
              <w:t>1,016,162</w:t>
            </w:r>
          </w:p>
        </w:tc>
        <w:tc>
          <w:tcPr>
            <w:tcW w:w="100" w:type="dxa"/>
            <w:vAlign w:val="bottom"/>
            <w:tcBorders>
              <w:bottom w:val="single" w:sz="8" w:color="CCEEFF"/>
            </w:tcBorders>
            <w:shd w:val="clear" w:color="auto" w:fill="CCEEFF"/>
          </w:tcPr>
          <w:p>
            <w:pPr>
              <w:spacing w:after="0"/>
              <w:rPr>
                <w:sz w:val="22"/>
                <w:szCs w:val="22"/>
                <w:color w:val="auto"/>
              </w:rPr>
            </w:pPr>
          </w:p>
        </w:tc>
        <w:tc>
          <w:tcPr>
            <w:tcW w:w="140" w:type="dxa"/>
            <w:vAlign w:val="bottom"/>
            <w:tcBorders>
              <w:bottom w:val="single" w:sz="8" w:color="CCEEFF"/>
            </w:tcBorders>
            <w:shd w:val="clear" w:color="auto" w:fill="CCEEFF"/>
          </w:tcPr>
          <w:p>
            <w:pPr>
              <w:spacing w:after="0"/>
              <w:rPr>
                <w:sz w:val="22"/>
                <w:szCs w:val="22"/>
                <w:color w:val="auto"/>
              </w:rPr>
            </w:pPr>
          </w:p>
        </w:tc>
        <w:tc>
          <w:tcPr>
            <w:tcW w:w="9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(144,727)</w:t>
            </w:r>
          </w:p>
        </w:tc>
        <w:tc>
          <w:tcPr>
            <w:tcW w:w="100" w:type="dxa"/>
            <w:vAlign w:val="bottom"/>
            <w:tcBorders>
              <w:bottom w:val="single" w:sz="8" w:color="CCEEFF"/>
            </w:tcBorders>
            <w:shd w:val="clear" w:color="auto" w:fill="CCEEFF"/>
          </w:tcPr>
          <w:p>
            <w:pPr>
              <w:spacing w:after="0"/>
              <w:rPr>
                <w:sz w:val="22"/>
                <w:szCs w:val="22"/>
                <w:color w:val="auto"/>
              </w:rPr>
            </w:pPr>
          </w:p>
        </w:tc>
        <w:tc>
          <w:tcPr>
            <w:tcW w:w="140" w:type="dxa"/>
            <w:vAlign w:val="bottom"/>
            <w:tcBorders>
              <w:bottom w:val="single" w:sz="8" w:color="CCEEFF"/>
            </w:tcBorders>
            <w:shd w:val="clear" w:color="auto" w:fill="CCEEFF"/>
          </w:tcPr>
          <w:p>
            <w:pPr>
              <w:spacing w:after="0"/>
              <w:rPr>
                <w:sz w:val="22"/>
                <w:szCs w:val="22"/>
                <w:color w:val="auto"/>
              </w:rPr>
            </w:pPr>
          </w:p>
        </w:tc>
        <w:tc>
          <w:tcPr>
            <w:tcW w:w="960" w:type="dxa"/>
            <w:vAlign w:val="bottom"/>
            <w:tcBorders>
              <w:bottom w:val="single" w:sz="8" w:color="CCEEFF"/>
            </w:tcBorders>
            <w:shd w:val="clear" w:color="auto" w:fill="CCEEFF"/>
          </w:tcPr>
          <w:p>
            <w:pPr>
              <w:jc w:val="right"/>
              <w:ind w:right="34"/>
              <w:spacing w:after="0"/>
              <w:rPr>
                <w:sz w:val="20"/>
                <w:szCs w:val="20"/>
                <w:color w:val="auto"/>
              </w:rPr>
            </w:pPr>
            <w:r>
              <w:rPr>
                <w:rFonts w:ascii="Arial" w:cs="Arial" w:eastAsia="Arial" w:hAnsi="Arial"/>
                <w:sz w:val="18"/>
                <w:szCs w:val="18"/>
                <w:color w:val="auto"/>
              </w:rPr>
              <w:t>871,435</w:t>
            </w:r>
          </w:p>
        </w:tc>
        <w:tc>
          <w:tcPr>
            <w:tcW w:w="0" w:type="dxa"/>
            <w:vAlign w:val="bottom"/>
          </w:tcPr>
          <w:p>
            <w:pPr>
              <w:spacing w:after="0"/>
              <w:rPr>
                <w:sz w:val="1"/>
                <w:szCs w:val="1"/>
                <w:color w:val="auto"/>
              </w:rPr>
            </w:pPr>
          </w:p>
        </w:tc>
      </w:tr>
      <w:tr>
        <w:trPr>
          <w:trHeight w:val="223"/>
        </w:trPr>
        <w:tc>
          <w:tcPr>
            <w:tcW w:w="260" w:type="dxa"/>
            <w:vAlign w:val="bottom"/>
          </w:tcPr>
          <w:p>
            <w:pPr>
              <w:spacing w:after="0"/>
              <w:rPr>
                <w:sz w:val="19"/>
                <w:szCs w:val="19"/>
                <w:color w:val="auto"/>
              </w:rPr>
            </w:pPr>
          </w:p>
        </w:tc>
        <w:tc>
          <w:tcPr>
            <w:tcW w:w="3480" w:type="dxa"/>
            <w:vAlign w:val="bottom"/>
            <w:gridSpan w:val="2"/>
          </w:tcPr>
          <w:p>
            <w:pPr>
              <w:ind w:left="20"/>
              <w:spacing w:after="0"/>
              <w:rPr>
                <w:sz w:val="20"/>
                <w:szCs w:val="20"/>
                <w:color w:val="auto"/>
              </w:rPr>
            </w:pPr>
            <w:r>
              <w:rPr>
                <w:rFonts w:ascii="Arial" w:cs="Arial" w:eastAsia="Arial" w:hAnsi="Arial"/>
                <w:sz w:val="18"/>
                <w:szCs w:val="18"/>
                <w:color w:val="auto"/>
              </w:rPr>
              <w:t>Other income:</w:t>
            </w:r>
          </w:p>
        </w:tc>
        <w:tc>
          <w:tcPr>
            <w:tcW w:w="180" w:type="dxa"/>
            <w:vAlign w:val="bottom"/>
            <w:tcBorders>
              <w:top w:val="single" w:sz="8" w:color="auto"/>
            </w:tcBorders>
          </w:tcPr>
          <w:p>
            <w:pPr>
              <w:spacing w:after="0"/>
              <w:rPr>
                <w:sz w:val="19"/>
                <w:szCs w:val="19"/>
                <w:color w:val="auto"/>
              </w:rPr>
            </w:pPr>
          </w:p>
        </w:tc>
        <w:tc>
          <w:tcPr>
            <w:tcW w:w="1040" w:type="dxa"/>
            <w:vAlign w:val="bottom"/>
            <w:tcBorders>
              <w:top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140" w:type="dxa"/>
            <w:vAlign w:val="bottom"/>
            <w:tcBorders>
              <w:top w:val="single" w:sz="8" w:color="auto"/>
            </w:tcBorders>
          </w:tcPr>
          <w:p>
            <w:pPr>
              <w:spacing w:after="0"/>
              <w:rPr>
                <w:sz w:val="19"/>
                <w:szCs w:val="19"/>
                <w:color w:val="auto"/>
              </w:rPr>
            </w:pPr>
          </w:p>
        </w:tc>
        <w:tc>
          <w:tcPr>
            <w:tcW w:w="960" w:type="dxa"/>
            <w:vAlign w:val="bottom"/>
            <w:tcBorders>
              <w:top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180" w:type="dxa"/>
            <w:vAlign w:val="bottom"/>
            <w:tcBorders>
              <w:top w:val="single" w:sz="8" w:color="auto"/>
            </w:tcBorders>
          </w:tcPr>
          <w:p>
            <w:pPr>
              <w:spacing w:after="0"/>
              <w:rPr>
                <w:sz w:val="19"/>
                <w:szCs w:val="19"/>
                <w:color w:val="auto"/>
              </w:rPr>
            </w:pPr>
          </w:p>
        </w:tc>
        <w:tc>
          <w:tcPr>
            <w:tcW w:w="1020" w:type="dxa"/>
            <w:vAlign w:val="bottom"/>
            <w:tcBorders>
              <w:top w:val="single" w:sz="8" w:color="auto"/>
            </w:tcBorders>
          </w:tcPr>
          <w:p>
            <w:pPr>
              <w:spacing w:after="0"/>
              <w:rPr>
                <w:sz w:val="19"/>
                <w:szCs w:val="19"/>
                <w:color w:val="auto"/>
              </w:rPr>
            </w:pPr>
          </w:p>
        </w:tc>
        <w:tc>
          <w:tcPr>
            <w:tcW w:w="120" w:type="dxa"/>
            <w:vAlign w:val="bottom"/>
          </w:tcPr>
          <w:p>
            <w:pPr>
              <w:spacing w:after="0"/>
              <w:rPr>
                <w:sz w:val="19"/>
                <w:szCs w:val="19"/>
                <w:color w:val="auto"/>
              </w:rPr>
            </w:pPr>
          </w:p>
        </w:tc>
        <w:tc>
          <w:tcPr>
            <w:tcW w:w="160" w:type="dxa"/>
            <w:vAlign w:val="bottom"/>
            <w:tcBorders>
              <w:top w:val="single" w:sz="8" w:color="auto"/>
            </w:tcBorders>
          </w:tcPr>
          <w:p>
            <w:pPr>
              <w:spacing w:after="0"/>
              <w:rPr>
                <w:sz w:val="19"/>
                <w:szCs w:val="19"/>
                <w:color w:val="auto"/>
              </w:rPr>
            </w:pPr>
          </w:p>
        </w:tc>
        <w:tc>
          <w:tcPr>
            <w:tcW w:w="1040" w:type="dxa"/>
            <w:vAlign w:val="bottom"/>
            <w:tcBorders>
              <w:top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140" w:type="dxa"/>
            <w:vAlign w:val="bottom"/>
            <w:tcBorders>
              <w:top w:val="single" w:sz="8" w:color="auto"/>
            </w:tcBorders>
          </w:tcPr>
          <w:p>
            <w:pPr>
              <w:spacing w:after="0"/>
              <w:rPr>
                <w:sz w:val="19"/>
                <w:szCs w:val="19"/>
                <w:color w:val="auto"/>
              </w:rPr>
            </w:pPr>
          </w:p>
        </w:tc>
        <w:tc>
          <w:tcPr>
            <w:tcW w:w="960" w:type="dxa"/>
            <w:vAlign w:val="bottom"/>
            <w:tcBorders>
              <w:top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140" w:type="dxa"/>
            <w:vAlign w:val="bottom"/>
            <w:tcBorders>
              <w:top w:val="single" w:sz="8" w:color="auto"/>
            </w:tcBorders>
          </w:tcPr>
          <w:p>
            <w:pPr>
              <w:spacing w:after="0"/>
              <w:rPr>
                <w:sz w:val="19"/>
                <w:szCs w:val="19"/>
                <w:color w:val="auto"/>
              </w:rPr>
            </w:pPr>
          </w:p>
        </w:tc>
        <w:tc>
          <w:tcPr>
            <w:tcW w:w="960" w:type="dxa"/>
            <w:vAlign w:val="bottom"/>
            <w:tcBorders>
              <w:top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41"/>
        </w:trPr>
        <w:tc>
          <w:tcPr>
            <w:tcW w:w="260" w:type="dxa"/>
            <w:vAlign w:val="bottom"/>
          </w:tcPr>
          <w:p>
            <w:pPr>
              <w:spacing w:after="0"/>
              <w:rPr>
                <w:sz w:val="3"/>
                <w:szCs w:val="3"/>
                <w:color w:val="auto"/>
              </w:rPr>
            </w:pPr>
          </w:p>
        </w:tc>
        <w:tc>
          <w:tcPr>
            <w:tcW w:w="840" w:type="dxa"/>
            <w:vAlign w:val="bottom"/>
          </w:tcPr>
          <w:p>
            <w:pPr>
              <w:spacing w:after="0"/>
              <w:rPr>
                <w:sz w:val="3"/>
                <w:szCs w:val="3"/>
                <w:color w:val="auto"/>
              </w:rPr>
            </w:pPr>
          </w:p>
        </w:tc>
        <w:tc>
          <w:tcPr>
            <w:tcW w:w="2640" w:type="dxa"/>
            <w:vAlign w:val="bottom"/>
          </w:tcPr>
          <w:p>
            <w:pPr>
              <w:spacing w:after="0"/>
              <w:rPr>
                <w:sz w:val="3"/>
                <w:szCs w:val="3"/>
                <w:color w:val="auto"/>
              </w:rPr>
            </w:pPr>
          </w:p>
        </w:tc>
        <w:tc>
          <w:tcPr>
            <w:tcW w:w="180" w:type="dxa"/>
            <w:vAlign w:val="bottom"/>
          </w:tcPr>
          <w:p>
            <w:pPr>
              <w:spacing w:after="0"/>
              <w:rPr>
                <w:sz w:val="3"/>
                <w:szCs w:val="3"/>
                <w:color w:val="auto"/>
              </w:rPr>
            </w:pPr>
          </w:p>
        </w:tc>
        <w:tc>
          <w:tcPr>
            <w:tcW w:w="1040" w:type="dxa"/>
            <w:vAlign w:val="bottom"/>
          </w:tcPr>
          <w:p>
            <w:pPr>
              <w:spacing w:after="0"/>
              <w:rPr>
                <w:sz w:val="3"/>
                <w:szCs w:val="3"/>
                <w:color w:val="auto"/>
              </w:rPr>
            </w:pPr>
          </w:p>
        </w:tc>
        <w:tc>
          <w:tcPr>
            <w:tcW w:w="100" w:type="dxa"/>
            <w:vAlign w:val="bottom"/>
          </w:tcPr>
          <w:p>
            <w:pPr>
              <w:spacing w:after="0"/>
              <w:rPr>
                <w:sz w:val="3"/>
                <w:szCs w:val="3"/>
                <w:color w:val="auto"/>
              </w:rPr>
            </w:pPr>
          </w:p>
        </w:tc>
        <w:tc>
          <w:tcPr>
            <w:tcW w:w="140" w:type="dxa"/>
            <w:vAlign w:val="bottom"/>
          </w:tcPr>
          <w:p>
            <w:pPr>
              <w:spacing w:after="0"/>
              <w:rPr>
                <w:sz w:val="3"/>
                <w:szCs w:val="3"/>
                <w:color w:val="auto"/>
              </w:rPr>
            </w:pPr>
          </w:p>
        </w:tc>
        <w:tc>
          <w:tcPr>
            <w:tcW w:w="960" w:type="dxa"/>
            <w:vAlign w:val="bottom"/>
          </w:tcPr>
          <w:p>
            <w:pPr>
              <w:spacing w:after="0"/>
              <w:rPr>
                <w:sz w:val="3"/>
                <w:szCs w:val="3"/>
                <w:color w:val="auto"/>
              </w:rPr>
            </w:pPr>
          </w:p>
        </w:tc>
        <w:tc>
          <w:tcPr>
            <w:tcW w:w="100" w:type="dxa"/>
            <w:vAlign w:val="bottom"/>
          </w:tcPr>
          <w:p>
            <w:pPr>
              <w:spacing w:after="0"/>
              <w:rPr>
                <w:sz w:val="3"/>
                <w:szCs w:val="3"/>
                <w:color w:val="auto"/>
              </w:rPr>
            </w:pPr>
          </w:p>
        </w:tc>
        <w:tc>
          <w:tcPr>
            <w:tcW w:w="180" w:type="dxa"/>
            <w:vAlign w:val="bottom"/>
          </w:tcPr>
          <w:p>
            <w:pPr>
              <w:spacing w:after="0"/>
              <w:rPr>
                <w:sz w:val="3"/>
                <w:szCs w:val="3"/>
                <w:color w:val="auto"/>
              </w:rPr>
            </w:pPr>
          </w:p>
        </w:tc>
        <w:tc>
          <w:tcPr>
            <w:tcW w:w="1020" w:type="dxa"/>
            <w:vAlign w:val="bottom"/>
          </w:tcPr>
          <w:p>
            <w:pPr>
              <w:spacing w:after="0"/>
              <w:rPr>
                <w:sz w:val="3"/>
                <w:szCs w:val="3"/>
                <w:color w:val="auto"/>
              </w:rPr>
            </w:pPr>
          </w:p>
        </w:tc>
        <w:tc>
          <w:tcPr>
            <w:tcW w:w="120" w:type="dxa"/>
            <w:vAlign w:val="bottom"/>
          </w:tcPr>
          <w:p>
            <w:pPr>
              <w:spacing w:after="0"/>
              <w:rPr>
                <w:sz w:val="3"/>
                <w:szCs w:val="3"/>
                <w:color w:val="auto"/>
              </w:rPr>
            </w:pPr>
          </w:p>
        </w:tc>
        <w:tc>
          <w:tcPr>
            <w:tcW w:w="160" w:type="dxa"/>
            <w:vAlign w:val="bottom"/>
          </w:tcPr>
          <w:p>
            <w:pPr>
              <w:spacing w:after="0"/>
              <w:rPr>
                <w:sz w:val="3"/>
                <w:szCs w:val="3"/>
                <w:color w:val="auto"/>
              </w:rPr>
            </w:pPr>
          </w:p>
        </w:tc>
        <w:tc>
          <w:tcPr>
            <w:tcW w:w="1040" w:type="dxa"/>
            <w:vAlign w:val="bottom"/>
          </w:tcPr>
          <w:p>
            <w:pPr>
              <w:spacing w:after="0"/>
              <w:rPr>
                <w:sz w:val="3"/>
                <w:szCs w:val="3"/>
                <w:color w:val="auto"/>
              </w:rPr>
            </w:pPr>
          </w:p>
        </w:tc>
        <w:tc>
          <w:tcPr>
            <w:tcW w:w="100" w:type="dxa"/>
            <w:vAlign w:val="bottom"/>
          </w:tcPr>
          <w:p>
            <w:pPr>
              <w:spacing w:after="0"/>
              <w:rPr>
                <w:sz w:val="3"/>
                <w:szCs w:val="3"/>
                <w:color w:val="auto"/>
              </w:rPr>
            </w:pPr>
          </w:p>
        </w:tc>
        <w:tc>
          <w:tcPr>
            <w:tcW w:w="140" w:type="dxa"/>
            <w:vAlign w:val="bottom"/>
          </w:tcPr>
          <w:p>
            <w:pPr>
              <w:spacing w:after="0"/>
              <w:rPr>
                <w:sz w:val="3"/>
                <w:szCs w:val="3"/>
                <w:color w:val="auto"/>
              </w:rPr>
            </w:pPr>
          </w:p>
        </w:tc>
        <w:tc>
          <w:tcPr>
            <w:tcW w:w="960" w:type="dxa"/>
            <w:vAlign w:val="bottom"/>
          </w:tcPr>
          <w:p>
            <w:pPr>
              <w:spacing w:after="0"/>
              <w:rPr>
                <w:sz w:val="3"/>
                <w:szCs w:val="3"/>
                <w:color w:val="auto"/>
              </w:rPr>
            </w:pPr>
          </w:p>
        </w:tc>
        <w:tc>
          <w:tcPr>
            <w:tcW w:w="100" w:type="dxa"/>
            <w:vAlign w:val="bottom"/>
          </w:tcPr>
          <w:p>
            <w:pPr>
              <w:spacing w:after="0"/>
              <w:rPr>
                <w:sz w:val="3"/>
                <w:szCs w:val="3"/>
                <w:color w:val="auto"/>
              </w:rPr>
            </w:pPr>
          </w:p>
        </w:tc>
        <w:tc>
          <w:tcPr>
            <w:tcW w:w="140" w:type="dxa"/>
            <w:vAlign w:val="bottom"/>
          </w:tcPr>
          <w:p>
            <w:pPr>
              <w:spacing w:after="0"/>
              <w:rPr>
                <w:sz w:val="3"/>
                <w:szCs w:val="3"/>
                <w:color w:val="auto"/>
              </w:rPr>
            </w:pPr>
          </w:p>
        </w:tc>
        <w:tc>
          <w:tcPr>
            <w:tcW w:w="96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50"/>
        </w:trPr>
        <w:tc>
          <w:tcPr>
            <w:tcW w:w="260" w:type="dxa"/>
            <w:vAlign w:val="bottom"/>
          </w:tcPr>
          <w:p>
            <w:pPr>
              <w:spacing w:after="0"/>
              <w:rPr>
                <w:sz w:val="21"/>
                <w:szCs w:val="21"/>
                <w:color w:val="auto"/>
              </w:rPr>
            </w:pPr>
          </w:p>
        </w:tc>
        <w:tc>
          <w:tcPr>
            <w:tcW w:w="3480" w:type="dxa"/>
            <w:vAlign w:val="bottom"/>
            <w:tcBorders>
              <w:bottom w:val="single" w:sz="8" w:color="CCEEFF"/>
            </w:tcBorders>
            <w:gridSpan w:val="2"/>
            <w:shd w:val="clear" w:color="auto" w:fill="CCEEFF"/>
          </w:tcPr>
          <w:p>
            <w:pPr>
              <w:ind w:left="160"/>
              <w:spacing w:after="0"/>
              <w:rPr>
                <w:sz w:val="20"/>
                <w:szCs w:val="20"/>
                <w:color w:val="auto"/>
              </w:rPr>
            </w:pPr>
            <w:r>
              <w:rPr>
                <w:rFonts w:ascii="Arial" w:cs="Arial" w:eastAsia="Arial" w:hAnsi="Arial"/>
                <w:sz w:val="18"/>
                <w:szCs w:val="18"/>
                <w:color w:val="auto"/>
              </w:rPr>
              <w:t>Investment income</w:t>
            </w:r>
          </w:p>
        </w:tc>
        <w:tc>
          <w:tcPr>
            <w:tcW w:w="18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ind w:right="33"/>
              <w:spacing w:after="0"/>
              <w:rPr>
                <w:sz w:val="20"/>
                <w:szCs w:val="20"/>
                <w:color w:val="auto"/>
              </w:rPr>
            </w:pPr>
            <w:r>
              <w:rPr>
                <w:rFonts w:ascii="Arial" w:cs="Arial" w:eastAsia="Arial" w:hAnsi="Arial"/>
                <w:sz w:val="18"/>
                <w:szCs w:val="18"/>
                <w:color w:val="auto"/>
              </w:rPr>
              <w:t>100,846</w:t>
            </w: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100,846</w:t>
            </w: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ind w:right="33"/>
              <w:spacing w:after="0"/>
              <w:rPr>
                <w:sz w:val="20"/>
                <w:szCs w:val="20"/>
                <w:color w:val="auto"/>
              </w:rPr>
            </w:pPr>
            <w:r>
              <w:rPr>
                <w:rFonts w:ascii="Arial" w:cs="Arial" w:eastAsia="Arial" w:hAnsi="Arial"/>
                <w:sz w:val="18"/>
                <w:szCs w:val="18"/>
                <w:color w:val="auto"/>
              </w:rPr>
              <w:t>175,756</w:t>
            </w: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4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jc w:val="right"/>
              <w:ind w:right="34"/>
              <w:spacing w:after="0"/>
              <w:rPr>
                <w:sz w:val="20"/>
                <w:szCs w:val="20"/>
                <w:color w:val="auto"/>
              </w:rPr>
            </w:pPr>
            <w:r>
              <w:rPr>
                <w:rFonts w:ascii="Arial" w:cs="Arial" w:eastAsia="Arial" w:hAnsi="Arial"/>
                <w:sz w:val="18"/>
                <w:szCs w:val="18"/>
                <w:color w:val="auto"/>
              </w:rPr>
              <w:t>175,756</w:t>
            </w:r>
          </w:p>
        </w:tc>
        <w:tc>
          <w:tcPr>
            <w:tcW w:w="0" w:type="dxa"/>
            <w:vAlign w:val="bottom"/>
          </w:tcPr>
          <w:p>
            <w:pPr>
              <w:spacing w:after="0"/>
              <w:rPr>
                <w:sz w:val="1"/>
                <w:szCs w:val="1"/>
                <w:color w:val="auto"/>
              </w:rPr>
            </w:pPr>
          </w:p>
        </w:tc>
      </w:tr>
      <w:tr>
        <w:trPr>
          <w:trHeight w:val="243"/>
        </w:trPr>
        <w:tc>
          <w:tcPr>
            <w:tcW w:w="260" w:type="dxa"/>
            <w:vAlign w:val="bottom"/>
          </w:tcPr>
          <w:p>
            <w:pPr>
              <w:spacing w:after="0"/>
              <w:rPr>
                <w:sz w:val="21"/>
                <w:szCs w:val="21"/>
                <w:color w:val="auto"/>
              </w:rPr>
            </w:pPr>
          </w:p>
        </w:tc>
        <w:tc>
          <w:tcPr>
            <w:tcW w:w="3480" w:type="dxa"/>
            <w:vAlign w:val="bottom"/>
            <w:gridSpan w:val="2"/>
          </w:tcPr>
          <w:p>
            <w:pPr>
              <w:ind w:left="160"/>
              <w:spacing w:after="0"/>
              <w:rPr>
                <w:sz w:val="20"/>
                <w:szCs w:val="20"/>
                <w:color w:val="auto"/>
              </w:rPr>
            </w:pPr>
            <w:r>
              <w:rPr>
                <w:rFonts w:ascii="Arial" w:cs="Arial" w:eastAsia="Arial" w:hAnsi="Arial"/>
                <w:sz w:val="18"/>
                <w:szCs w:val="18"/>
                <w:color w:val="auto"/>
              </w:rPr>
              <w:t>Other income</w:t>
            </w:r>
          </w:p>
        </w:tc>
        <w:tc>
          <w:tcPr>
            <w:tcW w:w="180" w:type="dxa"/>
            <w:vAlign w:val="bottom"/>
          </w:tcPr>
          <w:p>
            <w:pPr>
              <w:spacing w:after="0"/>
              <w:rPr>
                <w:sz w:val="21"/>
                <w:szCs w:val="21"/>
                <w:color w:val="auto"/>
              </w:rPr>
            </w:pPr>
          </w:p>
        </w:tc>
        <w:tc>
          <w:tcPr>
            <w:tcW w:w="1040" w:type="dxa"/>
            <w:vAlign w:val="bottom"/>
          </w:tcPr>
          <w:p>
            <w:pPr>
              <w:jc w:val="right"/>
              <w:ind w:right="33"/>
              <w:spacing w:after="0"/>
              <w:rPr>
                <w:sz w:val="20"/>
                <w:szCs w:val="20"/>
                <w:color w:val="auto"/>
              </w:rPr>
            </w:pPr>
            <w:r>
              <w:rPr>
                <w:rFonts w:ascii="Arial" w:cs="Arial" w:eastAsia="Arial" w:hAnsi="Arial"/>
                <w:sz w:val="18"/>
                <w:szCs w:val="18"/>
                <w:color w:val="auto"/>
              </w:rPr>
              <w:t>1,187</w:t>
            </w: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960" w:type="dxa"/>
            <w:vAlign w:val="bottom"/>
          </w:tcPr>
          <w:p>
            <w:pPr>
              <w:jc w:val="right"/>
              <w:ind w:right="32"/>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020" w:type="dxa"/>
            <w:vAlign w:val="bottom"/>
          </w:tcPr>
          <w:p>
            <w:pPr>
              <w:jc w:val="right"/>
              <w:ind w:right="12"/>
              <w:spacing w:after="0"/>
              <w:rPr>
                <w:sz w:val="20"/>
                <w:szCs w:val="20"/>
                <w:color w:val="auto"/>
              </w:rPr>
            </w:pPr>
            <w:r>
              <w:rPr>
                <w:rFonts w:ascii="Arial" w:cs="Arial" w:eastAsia="Arial" w:hAnsi="Arial"/>
                <w:sz w:val="18"/>
                <w:szCs w:val="18"/>
                <w:color w:val="auto"/>
              </w:rPr>
              <w:t>1,187</w:t>
            </w: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040" w:type="dxa"/>
            <w:vAlign w:val="bottom"/>
          </w:tcPr>
          <w:p>
            <w:pPr>
              <w:jc w:val="right"/>
              <w:ind w:right="33"/>
              <w:spacing w:after="0"/>
              <w:rPr>
                <w:sz w:val="20"/>
                <w:szCs w:val="20"/>
                <w:color w:val="auto"/>
              </w:rPr>
            </w:pPr>
            <w:r>
              <w:rPr>
                <w:rFonts w:ascii="Arial" w:cs="Arial" w:eastAsia="Arial" w:hAnsi="Arial"/>
                <w:sz w:val="18"/>
                <w:szCs w:val="18"/>
                <w:color w:val="auto"/>
              </w:rPr>
              <w:t>2,583</w:t>
            </w: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06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21"/>
                <w:szCs w:val="21"/>
                <w:color w:val="auto"/>
              </w:rPr>
            </w:pPr>
          </w:p>
        </w:tc>
        <w:tc>
          <w:tcPr>
            <w:tcW w:w="960" w:type="dxa"/>
            <w:vAlign w:val="bottom"/>
          </w:tcPr>
          <w:p>
            <w:pPr>
              <w:jc w:val="right"/>
              <w:ind w:right="34"/>
              <w:spacing w:after="0"/>
              <w:rPr>
                <w:sz w:val="20"/>
                <w:szCs w:val="20"/>
                <w:color w:val="auto"/>
              </w:rPr>
            </w:pPr>
            <w:r>
              <w:rPr>
                <w:rFonts w:ascii="Arial" w:cs="Arial" w:eastAsia="Arial" w:hAnsi="Arial"/>
                <w:sz w:val="18"/>
                <w:szCs w:val="18"/>
                <w:color w:val="auto"/>
              </w:rPr>
              <w:t>2,583</w:t>
            </w:r>
          </w:p>
        </w:tc>
        <w:tc>
          <w:tcPr>
            <w:tcW w:w="0" w:type="dxa"/>
            <w:vAlign w:val="bottom"/>
          </w:tcPr>
          <w:p>
            <w:pPr>
              <w:spacing w:after="0"/>
              <w:rPr>
                <w:sz w:val="1"/>
                <w:szCs w:val="1"/>
                <w:color w:val="auto"/>
              </w:rPr>
            </w:pPr>
          </w:p>
        </w:tc>
      </w:tr>
      <w:tr>
        <w:trPr>
          <w:trHeight w:val="27"/>
        </w:trPr>
        <w:tc>
          <w:tcPr>
            <w:tcW w:w="260" w:type="dxa"/>
            <w:vAlign w:val="bottom"/>
          </w:tcPr>
          <w:p>
            <w:pPr>
              <w:spacing w:after="0"/>
              <w:rPr>
                <w:sz w:val="2"/>
                <w:szCs w:val="2"/>
                <w:color w:val="auto"/>
              </w:rPr>
            </w:pPr>
          </w:p>
        </w:tc>
        <w:tc>
          <w:tcPr>
            <w:tcW w:w="840" w:type="dxa"/>
            <w:vAlign w:val="bottom"/>
          </w:tcPr>
          <w:p>
            <w:pPr>
              <w:spacing w:after="0"/>
              <w:rPr>
                <w:sz w:val="2"/>
                <w:szCs w:val="2"/>
                <w:color w:val="auto"/>
              </w:rPr>
            </w:pPr>
          </w:p>
        </w:tc>
        <w:tc>
          <w:tcPr>
            <w:tcW w:w="264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9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9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9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260" w:type="dxa"/>
            <w:vAlign w:val="bottom"/>
          </w:tcPr>
          <w:p>
            <w:pPr>
              <w:spacing w:after="0"/>
              <w:rPr>
                <w:sz w:val="23"/>
                <w:szCs w:val="23"/>
                <w:color w:val="auto"/>
              </w:rPr>
            </w:pPr>
          </w:p>
        </w:tc>
        <w:tc>
          <w:tcPr>
            <w:tcW w:w="3480" w:type="dxa"/>
            <w:vAlign w:val="bottom"/>
            <w:tcBorders>
              <w:bottom w:val="single" w:sz="8" w:color="CCEEFF"/>
            </w:tcBorders>
            <w:gridSpan w:val="2"/>
            <w:shd w:val="clear" w:color="auto" w:fill="CCEEFF"/>
          </w:tcPr>
          <w:p>
            <w:pPr>
              <w:ind w:left="160"/>
              <w:spacing w:after="0"/>
              <w:rPr>
                <w:sz w:val="20"/>
                <w:szCs w:val="20"/>
                <w:color w:val="auto"/>
              </w:rPr>
            </w:pPr>
            <w:r>
              <w:rPr>
                <w:rFonts w:ascii="Arial" w:cs="Arial" w:eastAsia="Arial" w:hAnsi="Arial"/>
                <w:sz w:val="18"/>
                <w:szCs w:val="18"/>
                <w:color w:val="auto"/>
              </w:rPr>
              <w:t>Interest expense</w:t>
            </w:r>
          </w:p>
        </w:tc>
        <w:tc>
          <w:tcPr>
            <w:tcW w:w="180" w:type="dxa"/>
            <w:vAlign w:val="bottom"/>
            <w:tcBorders>
              <w:bottom w:val="single" w:sz="8" w:color="CCEEFF"/>
            </w:tcBorders>
            <w:shd w:val="clear" w:color="auto" w:fill="CCEEFF"/>
          </w:tcPr>
          <w:p>
            <w:pPr>
              <w:spacing w:after="0"/>
              <w:rPr>
                <w:sz w:val="23"/>
                <w:szCs w:val="23"/>
                <w:color w:val="auto"/>
              </w:rPr>
            </w:pPr>
          </w:p>
        </w:tc>
        <w:tc>
          <w:tcPr>
            <w:tcW w:w="10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(33,988)</w:t>
            </w:r>
          </w:p>
        </w:tc>
        <w:tc>
          <w:tcPr>
            <w:tcW w:w="100" w:type="dxa"/>
            <w:vAlign w:val="bottom"/>
            <w:tcBorders>
              <w:bottom w:val="single" w:sz="8" w:color="CCEEFF"/>
            </w:tcBorders>
            <w:shd w:val="clear" w:color="auto" w:fill="CCEEFF"/>
          </w:tcPr>
          <w:p>
            <w:pPr>
              <w:spacing w:after="0"/>
              <w:rPr>
                <w:sz w:val="23"/>
                <w:szCs w:val="23"/>
                <w:color w:val="auto"/>
              </w:rPr>
            </w:pPr>
          </w:p>
        </w:tc>
        <w:tc>
          <w:tcPr>
            <w:tcW w:w="140" w:type="dxa"/>
            <w:vAlign w:val="bottom"/>
            <w:tcBorders>
              <w:bottom w:val="single" w:sz="8" w:color="CCEEFF"/>
            </w:tcBorders>
            <w:shd w:val="clear" w:color="auto" w:fill="CCEEFF"/>
          </w:tcPr>
          <w:p>
            <w:pPr>
              <w:spacing w:after="0"/>
              <w:rPr>
                <w:sz w:val="23"/>
                <w:szCs w:val="23"/>
                <w:color w:val="auto"/>
              </w:rPr>
            </w:pPr>
          </w:p>
        </w:tc>
        <w:tc>
          <w:tcPr>
            <w:tcW w:w="96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w:t>
            </w:r>
          </w:p>
        </w:tc>
        <w:tc>
          <w:tcPr>
            <w:tcW w:w="100" w:type="dxa"/>
            <w:vAlign w:val="bottom"/>
            <w:tcBorders>
              <w:bottom w:val="single" w:sz="8" w:color="CCEEFF"/>
            </w:tcBorders>
            <w:shd w:val="clear" w:color="auto" w:fill="CCEEFF"/>
          </w:tcPr>
          <w:p>
            <w:pPr>
              <w:spacing w:after="0"/>
              <w:rPr>
                <w:sz w:val="23"/>
                <w:szCs w:val="23"/>
                <w:color w:val="auto"/>
              </w:rPr>
            </w:pPr>
          </w:p>
        </w:tc>
        <w:tc>
          <w:tcPr>
            <w:tcW w:w="180" w:type="dxa"/>
            <w:vAlign w:val="bottom"/>
            <w:tcBorders>
              <w:bottom w:val="single" w:sz="8" w:color="CCEEFF"/>
            </w:tcBorders>
            <w:shd w:val="clear" w:color="auto" w:fill="CCEEFF"/>
          </w:tcPr>
          <w:p>
            <w:pPr>
              <w:spacing w:after="0"/>
              <w:rPr>
                <w:sz w:val="23"/>
                <w:szCs w:val="23"/>
                <w:color w:val="auto"/>
              </w:rPr>
            </w:pPr>
          </w:p>
        </w:tc>
        <w:tc>
          <w:tcPr>
            <w:tcW w:w="10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(33,988)</w:t>
            </w:r>
          </w:p>
        </w:tc>
        <w:tc>
          <w:tcPr>
            <w:tcW w:w="120" w:type="dxa"/>
            <w:vAlign w:val="bottom"/>
            <w:tcBorders>
              <w:bottom w:val="single" w:sz="8" w:color="CCEEFF"/>
            </w:tcBorders>
            <w:shd w:val="clear" w:color="auto" w:fill="CCEEFF"/>
          </w:tcPr>
          <w:p>
            <w:pPr>
              <w:spacing w:after="0"/>
              <w:rPr>
                <w:sz w:val="23"/>
                <w:szCs w:val="23"/>
                <w:color w:val="auto"/>
              </w:rPr>
            </w:pPr>
          </w:p>
        </w:tc>
        <w:tc>
          <w:tcPr>
            <w:tcW w:w="160" w:type="dxa"/>
            <w:vAlign w:val="bottom"/>
            <w:tcBorders>
              <w:bottom w:val="single" w:sz="8" w:color="CCEEFF"/>
            </w:tcBorders>
            <w:shd w:val="clear" w:color="auto" w:fill="CCEEFF"/>
          </w:tcPr>
          <w:p>
            <w:pPr>
              <w:spacing w:after="0"/>
              <w:rPr>
                <w:sz w:val="23"/>
                <w:szCs w:val="23"/>
                <w:color w:val="auto"/>
              </w:rPr>
            </w:pPr>
          </w:p>
        </w:tc>
        <w:tc>
          <w:tcPr>
            <w:tcW w:w="10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(75,234)</w:t>
            </w:r>
          </w:p>
        </w:tc>
        <w:tc>
          <w:tcPr>
            <w:tcW w:w="100" w:type="dxa"/>
            <w:vAlign w:val="bottom"/>
            <w:tcBorders>
              <w:bottom w:val="single" w:sz="8" w:color="CCEEFF"/>
            </w:tcBorders>
            <w:shd w:val="clear" w:color="auto" w:fill="CCEEFF"/>
          </w:tcPr>
          <w:p>
            <w:pPr>
              <w:spacing w:after="0"/>
              <w:rPr>
                <w:sz w:val="23"/>
                <w:szCs w:val="23"/>
                <w:color w:val="auto"/>
              </w:rPr>
            </w:pPr>
          </w:p>
        </w:tc>
        <w:tc>
          <w:tcPr>
            <w:tcW w:w="140" w:type="dxa"/>
            <w:vAlign w:val="bottom"/>
            <w:tcBorders>
              <w:bottom w:val="single" w:sz="8" w:color="CCEEFF"/>
            </w:tcBorders>
            <w:shd w:val="clear" w:color="auto" w:fill="CCEEFF"/>
          </w:tcPr>
          <w:p>
            <w:pPr>
              <w:spacing w:after="0"/>
              <w:rPr>
                <w:sz w:val="23"/>
                <w:szCs w:val="23"/>
                <w:color w:val="auto"/>
              </w:rPr>
            </w:pPr>
          </w:p>
        </w:tc>
        <w:tc>
          <w:tcPr>
            <w:tcW w:w="106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40" w:type="dxa"/>
            <w:vAlign w:val="bottom"/>
            <w:tcBorders>
              <w:bottom w:val="single" w:sz="8" w:color="CCEEFF"/>
            </w:tcBorders>
            <w:shd w:val="clear" w:color="auto" w:fill="CCEEFF"/>
          </w:tcPr>
          <w:p>
            <w:pPr>
              <w:spacing w:after="0"/>
              <w:rPr>
                <w:sz w:val="23"/>
                <w:szCs w:val="23"/>
                <w:color w:val="auto"/>
              </w:rPr>
            </w:pPr>
          </w:p>
        </w:tc>
        <w:tc>
          <w:tcPr>
            <w:tcW w:w="9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(75,234)</w:t>
            </w:r>
          </w:p>
        </w:tc>
        <w:tc>
          <w:tcPr>
            <w:tcW w:w="0" w:type="dxa"/>
            <w:vAlign w:val="bottom"/>
          </w:tcPr>
          <w:p>
            <w:pPr>
              <w:spacing w:after="0"/>
              <w:rPr>
                <w:sz w:val="1"/>
                <w:szCs w:val="1"/>
                <w:color w:val="auto"/>
              </w:rPr>
            </w:pPr>
          </w:p>
        </w:tc>
      </w:tr>
      <w:tr>
        <w:trPr>
          <w:trHeight w:val="237"/>
        </w:trPr>
        <w:tc>
          <w:tcPr>
            <w:tcW w:w="260" w:type="dxa"/>
            <w:vAlign w:val="bottom"/>
          </w:tcPr>
          <w:p>
            <w:pPr>
              <w:spacing w:after="0"/>
              <w:rPr>
                <w:sz w:val="20"/>
                <w:szCs w:val="20"/>
                <w:color w:val="auto"/>
              </w:rPr>
            </w:pPr>
          </w:p>
        </w:tc>
        <w:tc>
          <w:tcPr>
            <w:tcW w:w="3480" w:type="dxa"/>
            <w:vAlign w:val="bottom"/>
            <w:gridSpan w:val="2"/>
          </w:tcPr>
          <w:p>
            <w:pPr>
              <w:ind w:left="20"/>
              <w:spacing w:after="0"/>
              <w:rPr>
                <w:sz w:val="20"/>
                <w:szCs w:val="20"/>
                <w:color w:val="auto"/>
              </w:rPr>
            </w:pPr>
            <w:r>
              <w:rPr>
                <w:rFonts w:ascii="Arial" w:cs="Arial" w:eastAsia="Arial" w:hAnsi="Arial"/>
                <w:sz w:val="18"/>
                <w:szCs w:val="18"/>
                <w:color w:val="auto"/>
              </w:rPr>
              <w:t>Total other income</w:t>
            </w:r>
          </w:p>
        </w:tc>
        <w:tc>
          <w:tcPr>
            <w:tcW w:w="180" w:type="dxa"/>
            <w:vAlign w:val="bottom"/>
            <w:tcBorders>
              <w:top w:val="single" w:sz="8" w:color="auto"/>
            </w:tcBorders>
          </w:tcPr>
          <w:p>
            <w:pPr>
              <w:spacing w:after="0"/>
              <w:rPr>
                <w:sz w:val="20"/>
                <w:szCs w:val="20"/>
                <w:color w:val="auto"/>
              </w:rPr>
            </w:pPr>
          </w:p>
        </w:tc>
        <w:tc>
          <w:tcPr>
            <w:tcW w:w="1040" w:type="dxa"/>
            <w:vAlign w:val="bottom"/>
            <w:tcBorders>
              <w:top w:val="single" w:sz="8" w:color="auto"/>
            </w:tcBorders>
          </w:tcPr>
          <w:p>
            <w:pPr>
              <w:jc w:val="right"/>
              <w:ind w:right="33"/>
              <w:spacing w:after="0"/>
              <w:rPr>
                <w:sz w:val="20"/>
                <w:szCs w:val="20"/>
                <w:color w:val="auto"/>
              </w:rPr>
            </w:pPr>
            <w:r>
              <w:rPr>
                <w:rFonts w:ascii="Arial" w:cs="Arial" w:eastAsia="Arial" w:hAnsi="Arial"/>
                <w:sz w:val="18"/>
                <w:szCs w:val="18"/>
                <w:color w:val="auto"/>
              </w:rPr>
              <w:t>68,045</w:t>
            </w:r>
          </w:p>
        </w:tc>
        <w:tc>
          <w:tcPr>
            <w:tcW w:w="100" w:type="dxa"/>
            <w:vAlign w:val="bottom"/>
          </w:tcPr>
          <w:p>
            <w:pPr>
              <w:spacing w:after="0"/>
              <w:rPr>
                <w:sz w:val="20"/>
                <w:szCs w:val="20"/>
                <w:color w:val="auto"/>
              </w:rPr>
            </w:pPr>
          </w:p>
        </w:tc>
        <w:tc>
          <w:tcPr>
            <w:tcW w:w="140" w:type="dxa"/>
            <w:vAlign w:val="bottom"/>
            <w:tcBorders>
              <w:top w:val="single" w:sz="8" w:color="auto"/>
            </w:tcBorders>
          </w:tcPr>
          <w:p>
            <w:pPr>
              <w:spacing w:after="0"/>
              <w:rPr>
                <w:sz w:val="20"/>
                <w:szCs w:val="20"/>
                <w:color w:val="auto"/>
              </w:rPr>
            </w:pPr>
          </w:p>
        </w:tc>
        <w:tc>
          <w:tcPr>
            <w:tcW w:w="960" w:type="dxa"/>
            <w:vAlign w:val="bottom"/>
            <w:tcBorders>
              <w:top w:val="single" w:sz="8" w:color="auto"/>
            </w:tcBorders>
          </w:tcPr>
          <w:p>
            <w:pPr>
              <w:jc w:val="right"/>
              <w:ind w:right="32"/>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20"/>
                <w:szCs w:val="20"/>
                <w:color w:val="auto"/>
              </w:rPr>
            </w:pPr>
          </w:p>
        </w:tc>
        <w:tc>
          <w:tcPr>
            <w:tcW w:w="180" w:type="dxa"/>
            <w:vAlign w:val="bottom"/>
            <w:tcBorders>
              <w:top w:val="single" w:sz="8" w:color="auto"/>
            </w:tcBorders>
          </w:tcPr>
          <w:p>
            <w:pPr>
              <w:spacing w:after="0"/>
              <w:rPr>
                <w:sz w:val="20"/>
                <w:szCs w:val="20"/>
                <w:color w:val="auto"/>
              </w:rPr>
            </w:pPr>
          </w:p>
        </w:tc>
        <w:tc>
          <w:tcPr>
            <w:tcW w:w="1020" w:type="dxa"/>
            <w:vAlign w:val="bottom"/>
            <w:tcBorders>
              <w:top w:val="single" w:sz="8" w:color="auto"/>
            </w:tcBorders>
          </w:tcPr>
          <w:p>
            <w:pPr>
              <w:jc w:val="right"/>
              <w:ind w:right="12"/>
              <w:spacing w:after="0"/>
              <w:rPr>
                <w:sz w:val="20"/>
                <w:szCs w:val="20"/>
                <w:color w:val="auto"/>
              </w:rPr>
            </w:pPr>
            <w:r>
              <w:rPr>
                <w:rFonts w:ascii="Arial" w:cs="Arial" w:eastAsia="Arial" w:hAnsi="Arial"/>
                <w:sz w:val="18"/>
                <w:szCs w:val="18"/>
                <w:color w:val="auto"/>
              </w:rPr>
              <w:t>68,045</w:t>
            </w:r>
          </w:p>
        </w:tc>
        <w:tc>
          <w:tcPr>
            <w:tcW w:w="120" w:type="dxa"/>
            <w:vAlign w:val="bottom"/>
          </w:tcPr>
          <w:p>
            <w:pPr>
              <w:spacing w:after="0"/>
              <w:rPr>
                <w:sz w:val="20"/>
                <w:szCs w:val="20"/>
                <w:color w:val="auto"/>
              </w:rPr>
            </w:pPr>
          </w:p>
        </w:tc>
        <w:tc>
          <w:tcPr>
            <w:tcW w:w="160" w:type="dxa"/>
            <w:vAlign w:val="bottom"/>
            <w:tcBorders>
              <w:top w:val="single" w:sz="8" w:color="auto"/>
            </w:tcBorders>
          </w:tcPr>
          <w:p>
            <w:pPr>
              <w:spacing w:after="0"/>
              <w:rPr>
                <w:sz w:val="20"/>
                <w:szCs w:val="20"/>
                <w:color w:val="auto"/>
              </w:rPr>
            </w:pPr>
          </w:p>
        </w:tc>
        <w:tc>
          <w:tcPr>
            <w:tcW w:w="1040" w:type="dxa"/>
            <w:vAlign w:val="bottom"/>
            <w:tcBorders>
              <w:top w:val="single" w:sz="8" w:color="auto"/>
            </w:tcBorders>
          </w:tcPr>
          <w:p>
            <w:pPr>
              <w:jc w:val="right"/>
              <w:ind w:right="33"/>
              <w:spacing w:after="0"/>
              <w:rPr>
                <w:sz w:val="20"/>
                <w:szCs w:val="20"/>
                <w:color w:val="auto"/>
              </w:rPr>
            </w:pPr>
            <w:r>
              <w:rPr>
                <w:rFonts w:ascii="Arial" w:cs="Arial" w:eastAsia="Arial" w:hAnsi="Arial"/>
                <w:sz w:val="18"/>
                <w:szCs w:val="18"/>
                <w:color w:val="auto"/>
              </w:rPr>
              <w:t>103,105</w:t>
            </w:r>
          </w:p>
        </w:tc>
        <w:tc>
          <w:tcPr>
            <w:tcW w:w="100" w:type="dxa"/>
            <w:vAlign w:val="bottom"/>
          </w:tcPr>
          <w:p>
            <w:pPr>
              <w:spacing w:after="0"/>
              <w:rPr>
                <w:sz w:val="20"/>
                <w:szCs w:val="20"/>
                <w:color w:val="auto"/>
              </w:rPr>
            </w:pPr>
          </w:p>
        </w:tc>
        <w:tc>
          <w:tcPr>
            <w:tcW w:w="140" w:type="dxa"/>
            <w:vAlign w:val="bottom"/>
            <w:tcBorders>
              <w:top w:val="single" w:sz="8" w:color="auto"/>
            </w:tcBorders>
          </w:tcPr>
          <w:p>
            <w:pPr>
              <w:spacing w:after="0"/>
              <w:rPr>
                <w:sz w:val="20"/>
                <w:szCs w:val="20"/>
                <w:color w:val="auto"/>
              </w:rPr>
            </w:pPr>
          </w:p>
        </w:tc>
        <w:tc>
          <w:tcPr>
            <w:tcW w:w="960" w:type="dxa"/>
            <w:vAlign w:val="bottom"/>
            <w:tcBorders>
              <w:top w:val="single" w:sz="8" w:color="auto"/>
            </w:tcBorders>
          </w:tcPr>
          <w:p>
            <w:pPr>
              <w:jc w:val="right"/>
              <w:ind w:right="32"/>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20"/>
                <w:szCs w:val="20"/>
                <w:color w:val="auto"/>
              </w:rPr>
            </w:pPr>
          </w:p>
        </w:tc>
        <w:tc>
          <w:tcPr>
            <w:tcW w:w="140" w:type="dxa"/>
            <w:vAlign w:val="bottom"/>
            <w:tcBorders>
              <w:top w:val="single" w:sz="8" w:color="auto"/>
            </w:tcBorders>
          </w:tcPr>
          <w:p>
            <w:pPr>
              <w:spacing w:after="0"/>
              <w:rPr>
                <w:sz w:val="20"/>
                <w:szCs w:val="20"/>
                <w:color w:val="auto"/>
              </w:rPr>
            </w:pPr>
          </w:p>
        </w:tc>
        <w:tc>
          <w:tcPr>
            <w:tcW w:w="960" w:type="dxa"/>
            <w:vAlign w:val="bottom"/>
            <w:tcBorders>
              <w:top w:val="single" w:sz="8" w:color="auto"/>
            </w:tcBorders>
          </w:tcPr>
          <w:p>
            <w:pPr>
              <w:jc w:val="right"/>
              <w:ind w:right="34"/>
              <w:spacing w:after="0"/>
              <w:rPr>
                <w:sz w:val="20"/>
                <w:szCs w:val="20"/>
                <w:color w:val="auto"/>
              </w:rPr>
            </w:pPr>
            <w:r>
              <w:rPr>
                <w:rFonts w:ascii="Arial" w:cs="Arial" w:eastAsia="Arial" w:hAnsi="Arial"/>
                <w:sz w:val="18"/>
                <w:szCs w:val="18"/>
                <w:color w:val="auto"/>
              </w:rPr>
              <w:t>103,105</w:t>
            </w:r>
          </w:p>
        </w:tc>
        <w:tc>
          <w:tcPr>
            <w:tcW w:w="0" w:type="dxa"/>
            <w:vAlign w:val="bottom"/>
          </w:tcPr>
          <w:p>
            <w:pPr>
              <w:spacing w:after="0"/>
              <w:rPr>
                <w:sz w:val="1"/>
                <w:szCs w:val="1"/>
                <w:color w:val="auto"/>
              </w:rPr>
            </w:pPr>
          </w:p>
        </w:tc>
      </w:tr>
      <w:tr>
        <w:trPr>
          <w:trHeight w:val="27"/>
        </w:trPr>
        <w:tc>
          <w:tcPr>
            <w:tcW w:w="260" w:type="dxa"/>
            <w:vAlign w:val="bottom"/>
          </w:tcPr>
          <w:p>
            <w:pPr>
              <w:spacing w:after="0"/>
              <w:rPr>
                <w:sz w:val="2"/>
                <w:szCs w:val="2"/>
                <w:color w:val="auto"/>
              </w:rPr>
            </w:pPr>
          </w:p>
        </w:tc>
        <w:tc>
          <w:tcPr>
            <w:tcW w:w="840" w:type="dxa"/>
            <w:vAlign w:val="bottom"/>
            <w:tcBorders>
              <w:bottom w:val="single" w:sz="8" w:color="CCEEFF"/>
            </w:tcBorders>
          </w:tcPr>
          <w:p>
            <w:pPr>
              <w:spacing w:after="0"/>
              <w:rPr>
                <w:sz w:val="2"/>
                <w:szCs w:val="2"/>
                <w:color w:val="auto"/>
              </w:rPr>
            </w:pPr>
          </w:p>
        </w:tc>
        <w:tc>
          <w:tcPr>
            <w:tcW w:w="264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09"/>
        </w:trPr>
        <w:tc>
          <w:tcPr>
            <w:tcW w:w="260" w:type="dxa"/>
            <w:vAlign w:val="bottom"/>
          </w:tcPr>
          <w:p>
            <w:pPr>
              <w:spacing w:after="0"/>
              <w:rPr>
                <w:sz w:val="18"/>
                <w:szCs w:val="18"/>
                <w:color w:val="auto"/>
              </w:rPr>
            </w:pPr>
          </w:p>
        </w:tc>
        <w:tc>
          <w:tcPr>
            <w:tcW w:w="3480" w:type="dxa"/>
            <w:vAlign w:val="bottom"/>
            <w:gridSpan w:val="2"/>
            <w:shd w:val="clear" w:color="auto" w:fill="CCEEFF"/>
          </w:tcPr>
          <w:p>
            <w:pPr>
              <w:ind w:left="20"/>
              <w:spacing w:after="0"/>
              <w:rPr>
                <w:sz w:val="20"/>
                <w:szCs w:val="20"/>
                <w:color w:val="auto"/>
              </w:rPr>
            </w:pPr>
            <w:r>
              <w:rPr>
                <w:rFonts w:ascii="Arial" w:cs="Arial" w:eastAsia="Arial" w:hAnsi="Arial"/>
                <w:sz w:val="18"/>
                <w:szCs w:val="18"/>
                <w:color w:val="auto"/>
              </w:rPr>
              <w:t>Income from continuing operations before</w:t>
            </w:r>
          </w:p>
        </w:tc>
        <w:tc>
          <w:tcPr>
            <w:tcW w:w="180" w:type="dxa"/>
            <w:vAlign w:val="bottom"/>
            <w:shd w:val="clear" w:color="auto" w:fill="CCEEFF"/>
          </w:tcPr>
          <w:p>
            <w:pPr>
              <w:spacing w:after="0"/>
              <w:rPr>
                <w:sz w:val="18"/>
                <w:szCs w:val="18"/>
                <w:color w:val="auto"/>
              </w:rPr>
            </w:pPr>
          </w:p>
        </w:tc>
        <w:tc>
          <w:tcPr>
            <w:tcW w:w="10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9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9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9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37"/>
        </w:trPr>
        <w:tc>
          <w:tcPr>
            <w:tcW w:w="260" w:type="dxa"/>
            <w:vAlign w:val="bottom"/>
          </w:tcPr>
          <w:p>
            <w:pPr>
              <w:spacing w:after="0"/>
              <w:rPr>
                <w:sz w:val="20"/>
                <w:szCs w:val="20"/>
                <w:color w:val="auto"/>
              </w:rPr>
            </w:pPr>
          </w:p>
        </w:tc>
        <w:tc>
          <w:tcPr>
            <w:tcW w:w="348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8"/>
                <w:szCs w:val="18"/>
                <w:color w:val="auto"/>
              </w:rPr>
              <w:t>income taxes</w:t>
            </w:r>
          </w:p>
        </w:tc>
        <w:tc>
          <w:tcPr>
            <w:tcW w:w="180" w:type="dxa"/>
            <w:vAlign w:val="bottom"/>
            <w:tcBorders>
              <w:bottom w:val="single" w:sz="8" w:color="CCEEFF"/>
            </w:tcBorders>
            <w:shd w:val="clear" w:color="auto" w:fill="CCEEFF"/>
          </w:tcPr>
          <w:p>
            <w:pPr>
              <w:spacing w:after="0"/>
              <w:rPr>
                <w:sz w:val="20"/>
                <w:szCs w:val="20"/>
                <w:color w:val="auto"/>
              </w:rPr>
            </w:pPr>
          </w:p>
        </w:tc>
        <w:tc>
          <w:tcPr>
            <w:tcW w:w="1040" w:type="dxa"/>
            <w:vAlign w:val="bottom"/>
            <w:tcBorders>
              <w:bottom w:val="single" w:sz="8" w:color="CCEEFF"/>
            </w:tcBorders>
            <w:shd w:val="clear" w:color="auto" w:fill="CCEEFF"/>
          </w:tcPr>
          <w:p>
            <w:pPr>
              <w:jc w:val="right"/>
              <w:ind w:right="33"/>
              <w:spacing w:after="0"/>
              <w:rPr>
                <w:sz w:val="20"/>
                <w:szCs w:val="20"/>
                <w:color w:val="auto"/>
              </w:rPr>
            </w:pPr>
            <w:r>
              <w:rPr>
                <w:rFonts w:ascii="Arial" w:cs="Arial" w:eastAsia="Arial" w:hAnsi="Arial"/>
                <w:sz w:val="18"/>
                <w:szCs w:val="18"/>
                <w:color w:val="auto"/>
              </w:rPr>
              <w:t>969,194</w:t>
            </w:r>
          </w:p>
        </w:tc>
        <w:tc>
          <w:tcPr>
            <w:tcW w:w="100" w:type="dxa"/>
            <w:vAlign w:val="bottom"/>
            <w:tcBorders>
              <w:bottom w:val="single" w:sz="8" w:color="CCEEFF"/>
            </w:tcBorders>
            <w:shd w:val="clear" w:color="auto" w:fill="CCEEFF"/>
          </w:tcPr>
          <w:p>
            <w:pPr>
              <w:spacing w:after="0"/>
              <w:rPr>
                <w:sz w:val="20"/>
                <w:szCs w:val="20"/>
                <w:color w:val="auto"/>
              </w:rPr>
            </w:pPr>
          </w:p>
        </w:tc>
        <w:tc>
          <w:tcPr>
            <w:tcW w:w="140" w:type="dxa"/>
            <w:vAlign w:val="bottom"/>
            <w:tcBorders>
              <w:bottom w:val="single" w:sz="8" w:color="CCEEFF"/>
            </w:tcBorders>
            <w:shd w:val="clear" w:color="auto" w:fill="CCEEFF"/>
          </w:tcPr>
          <w:p>
            <w:pPr>
              <w:spacing w:after="0"/>
              <w:rPr>
                <w:sz w:val="20"/>
                <w:szCs w:val="20"/>
                <w:color w:val="auto"/>
              </w:rPr>
            </w:pPr>
          </w:p>
        </w:tc>
        <w:tc>
          <w:tcPr>
            <w:tcW w:w="9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(168,295)</w:t>
            </w:r>
          </w:p>
        </w:tc>
        <w:tc>
          <w:tcPr>
            <w:tcW w:w="100" w:type="dxa"/>
            <w:vAlign w:val="bottom"/>
            <w:tcBorders>
              <w:bottom w:val="single" w:sz="8" w:color="CCEEFF"/>
            </w:tcBorders>
            <w:shd w:val="clear" w:color="auto" w:fill="CCEEFF"/>
          </w:tcPr>
          <w:p>
            <w:pPr>
              <w:spacing w:after="0"/>
              <w:rPr>
                <w:sz w:val="20"/>
                <w:szCs w:val="20"/>
                <w:color w:val="auto"/>
              </w:rPr>
            </w:pPr>
          </w:p>
        </w:tc>
        <w:tc>
          <w:tcPr>
            <w:tcW w:w="180" w:type="dxa"/>
            <w:vAlign w:val="bottom"/>
            <w:tcBorders>
              <w:bottom w:val="single" w:sz="8" w:color="CCEEFF"/>
            </w:tcBorders>
            <w:shd w:val="clear" w:color="auto" w:fill="CCEEFF"/>
          </w:tcPr>
          <w:p>
            <w:pPr>
              <w:spacing w:after="0"/>
              <w:rPr>
                <w:sz w:val="20"/>
                <w:szCs w:val="20"/>
                <w:color w:val="auto"/>
              </w:rPr>
            </w:pPr>
          </w:p>
        </w:tc>
        <w:tc>
          <w:tcPr>
            <w:tcW w:w="102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800,899</w:t>
            </w:r>
          </w:p>
        </w:tc>
        <w:tc>
          <w:tcPr>
            <w:tcW w:w="120" w:type="dxa"/>
            <w:vAlign w:val="bottom"/>
            <w:tcBorders>
              <w:bottom w:val="single" w:sz="8" w:color="CCEEFF"/>
            </w:tcBorders>
            <w:shd w:val="clear" w:color="auto" w:fill="CCEEFF"/>
          </w:tcPr>
          <w:p>
            <w:pPr>
              <w:spacing w:after="0"/>
              <w:rPr>
                <w:sz w:val="20"/>
                <w:szCs w:val="20"/>
                <w:color w:val="auto"/>
              </w:rPr>
            </w:pPr>
          </w:p>
        </w:tc>
        <w:tc>
          <w:tcPr>
            <w:tcW w:w="160" w:type="dxa"/>
            <w:vAlign w:val="bottom"/>
            <w:tcBorders>
              <w:bottom w:val="single" w:sz="8" w:color="CCEEFF"/>
            </w:tcBorders>
            <w:shd w:val="clear" w:color="auto" w:fill="CCEEFF"/>
          </w:tcPr>
          <w:p>
            <w:pPr>
              <w:spacing w:after="0"/>
              <w:rPr>
                <w:sz w:val="20"/>
                <w:szCs w:val="20"/>
                <w:color w:val="auto"/>
              </w:rPr>
            </w:pPr>
          </w:p>
        </w:tc>
        <w:tc>
          <w:tcPr>
            <w:tcW w:w="1040" w:type="dxa"/>
            <w:vAlign w:val="bottom"/>
            <w:tcBorders>
              <w:bottom w:val="single" w:sz="8" w:color="CCEEFF"/>
            </w:tcBorders>
            <w:shd w:val="clear" w:color="auto" w:fill="CCEEFF"/>
          </w:tcPr>
          <w:p>
            <w:pPr>
              <w:jc w:val="right"/>
              <w:ind w:right="33"/>
              <w:spacing w:after="0"/>
              <w:rPr>
                <w:sz w:val="20"/>
                <w:szCs w:val="20"/>
                <w:color w:val="auto"/>
              </w:rPr>
            </w:pPr>
            <w:r>
              <w:rPr>
                <w:rFonts w:ascii="Arial" w:cs="Arial" w:eastAsia="Arial" w:hAnsi="Arial"/>
                <w:sz w:val="18"/>
                <w:szCs w:val="18"/>
                <w:color w:val="auto"/>
              </w:rPr>
              <w:t>1,119,267</w:t>
            </w:r>
          </w:p>
        </w:tc>
        <w:tc>
          <w:tcPr>
            <w:tcW w:w="100" w:type="dxa"/>
            <w:vAlign w:val="bottom"/>
            <w:tcBorders>
              <w:bottom w:val="single" w:sz="8" w:color="CCEEFF"/>
            </w:tcBorders>
            <w:shd w:val="clear" w:color="auto" w:fill="CCEEFF"/>
          </w:tcPr>
          <w:p>
            <w:pPr>
              <w:spacing w:after="0"/>
              <w:rPr>
                <w:sz w:val="20"/>
                <w:szCs w:val="20"/>
                <w:color w:val="auto"/>
              </w:rPr>
            </w:pPr>
          </w:p>
        </w:tc>
        <w:tc>
          <w:tcPr>
            <w:tcW w:w="140" w:type="dxa"/>
            <w:vAlign w:val="bottom"/>
            <w:tcBorders>
              <w:bottom w:val="single" w:sz="8" w:color="CCEEFF"/>
            </w:tcBorders>
            <w:shd w:val="clear" w:color="auto" w:fill="CCEEFF"/>
          </w:tcPr>
          <w:p>
            <w:pPr>
              <w:spacing w:after="0"/>
              <w:rPr>
                <w:sz w:val="20"/>
                <w:szCs w:val="20"/>
                <w:color w:val="auto"/>
              </w:rPr>
            </w:pPr>
          </w:p>
        </w:tc>
        <w:tc>
          <w:tcPr>
            <w:tcW w:w="9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(144,727)</w:t>
            </w:r>
          </w:p>
        </w:tc>
        <w:tc>
          <w:tcPr>
            <w:tcW w:w="100" w:type="dxa"/>
            <w:vAlign w:val="bottom"/>
            <w:tcBorders>
              <w:bottom w:val="single" w:sz="8" w:color="CCEEFF"/>
            </w:tcBorders>
            <w:shd w:val="clear" w:color="auto" w:fill="CCEEFF"/>
          </w:tcPr>
          <w:p>
            <w:pPr>
              <w:spacing w:after="0"/>
              <w:rPr>
                <w:sz w:val="20"/>
                <w:szCs w:val="20"/>
                <w:color w:val="auto"/>
              </w:rPr>
            </w:pPr>
          </w:p>
        </w:tc>
        <w:tc>
          <w:tcPr>
            <w:tcW w:w="140" w:type="dxa"/>
            <w:vAlign w:val="bottom"/>
            <w:tcBorders>
              <w:bottom w:val="single" w:sz="8" w:color="CCEEFF"/>
            </w:tcBorders>
            <w:shd w:val="clear" w:color="auto" w:fill="CCEEFF"/>
          </w:tcPr>
          <w:p>
            <w:pPr>
              <w:spacing w:after="0"/>
              <w:rPr>
                <w:sz w:val="20"/>
                <w:szCs w:val="20"/>
                <w:color w:val="auto"/>
              </w:rPr>
            </w:pPr>
          </w:p>
        </w:tc>
        <w:tc>
          <w:tcPr>
            <w:tcW w:w="960" w:type="dxa"/>
            <w:vAlign w:val="bottom"/>
            <w:tcBorders>
              <w:bottom w:val="single" w:sz="8" w:color="CCEEFF"/>
            </w:tcBorders>
            <w:shd w:val="clear" w:color="auto" w:fill="CCEEFF"/>
          </w:tcPr>
          <w:p>
            <w:pPr>
              <w:jc w:val="right"/>
              <w:ind w:right="34"/>
              <w:spacing w:after="0"/>
              <w:rPr>
                <w:sz w:val="20"/>
                <w:szCs w:val="20"/>
                <w:color w:val="auto"/>
              </w:rPr>
            </w:pPr>
            <w:r>
              <w:rPr>
                <w:rFonts w:ascii="Arial" w:cs="Arial" w:eastAsia="Arial" w:hAnsi="Arial"/>
                <w:sz w:val="18"/>
                <w:szCs w:val="18"/>
                <w:color w:val="auto"/>
              </w:rPr>
              <w:t>974,540</w:t>
            </w:r>
          </w:p>
        </w:tc>
        <w:tc>
          <w:tcPr>
            <w:tcW w:w="0" w:type="dxa"/>
            <w:vAlign w:val="bottom"/>
          </w:tcPr>
          <w:p>
            <w:pPr>
              <w:spacing w:after="0"/>
              <w:rPr>
                <w:sz w:val="1"/>
                <w:szCs w:val="1"/>
                <w:color w:val="auto"/>
              </w:rPr>
            </w:pPr>
          </w:p>
        </w:tc>
      </w:tr>
      <w:tr>
        <w:trPr>
          <w:trHeight w:val="243"/>
        </w:trPr>
        <w:tc>
          <w:tcPr>
            <w:tcW w:w="260" w:type="dxa"/>
            <w:vAlign w:val="bottom"/>
          </w:tcPr>
          <w:p>
            <w:pPr>
              <w:spacing w:after="0"/>
              <w:rPr>
                <w:sz w:val="21"/>
                <w:szCs w:val="21"/>
                <w:color w:val="auto"/>
              </w:rPr>
            </w:pPr>
          </w:p>
        </w:tc>
        <w:tc>
          <w:tcPr>
            <w:tcW w:w="3480" w:type="dxa"/>
            <w:vAlign w:val="bottom"/>
            <w:gridSpan w:val="2"/>
          </w:tcPr>
          <w:p>
            <w:pPr>
              <w:ind w:left="20"/>
              <w:spacing w:after="0"/>
              <w:rPr>
                <w:sz w:val="20"/>
                <w:szCs w:val="20"/>
                <w:color w:val="auto"/>
              </w:rPr>
            </w:pPr>
            <w:r>
              <w:rPr>
                <w:rFonts w:ascii="Arial" w:cs="Arial" w:eastAsia="Arial" w:hAnsi="Arial"/>
                <w:sz w:val="18"/>
                <w:szCs w:val="18"/>
                <w:color w:val="auto"/>
              </w:rPr>
              <w:t>Income tax expense</w:t>
            </w:r>
          </w:p>
        </w:tc>
        <w:tc>
          <w:tcPr>
            <w:tcW w:w="180" w:type="dxa"/>
            <w:vAlign w:val="bottom"/>
          </w:tcPr>
          <w:p>
            <w:pPr>
              <w:spacing w:after="0"/>
              <w:rPr>
                <w:sz w:val="21"/>
                <w:szCs w:val="21"/>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(98,133)</w:t>
            </w: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960" w:type="dxa"/>
            <w:vAlign w:val="bottom"/>
          </w:tcPr>
          <w:p>
            <w:pPr>
              <w:jc w:val="right"/>
              <w:ind w:right="32"/>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020" w:type="dxa"/>
            <w:vAlign w:val="bottom"/>
          </w:tcPr>
          <w:p>
            <w:pPr>
              <w:jc w:val="right"/>
              <w:spacing w:after="0"/>
              <w:rPr>
                <w:sz w:val="20"/>
                <w:szCs w:val="20"/>
                <w:color w:val="auto"/>
              </w:rPr>
            </w:pPr>
            <w:r>
              <w:rPr>
                <w:rFonts w:ascii="Arial" w:cs="Arial" w:eastAsia="Arial" w:hAnsi="Arial"/>
                <w:sz w:val="18"/>
                <w:szCs w:val="18"/>
                <w:color w:val="auto"/>
              </w:rPr>
              <w:t>(98,133)</w:t>
            </w: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(96,736)</w:t>
            </w: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06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21"/>
                <w:szCs w:val="21"/>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rPr>
              <w:t>(96,736)</w:t>
            </w:r>
          </w:p>
        </w:tc>
        <w:tc>
          <w:tcPr>
            <w:tcW w:w="0" w:type="dxa"/>
            <w:vAlign w:val="bottom"/>
          </w:tcPr>
          <w:p>
            <w:pPr>
              <w:spacing w:after="0"/>
              <w:rPr>
                <w:sz w:val="1"/>
                <w:szCs w:val="1"/>
                <w:color w:val="auto"/>
              </w:rPr>
            </w:pPr>
          </w:p>
        </w:tc>
      </w:tr>
      <w:tr>
        <w:trPr>
          <w:trHeight w:val="27"/>
        </w:trPr>
        <w:tc>
          <w:tcPr>
            <w:tcW w:w="260" w:type="dxa"/>
            <w:vAlign w:val="bottom"/>
          </w:tcPr>
          <w:p>
            <w:pPr>
              <w:spacing w:after="0"/>
              <w:rPr>
                <w:sz w:val="2"/>
                <w:szCs w:val="2"/>
                <w:color w:val="auto"/>
              </w:rPr>
            </w:pPr>
          </w:p>
        </w:tc>
        <w:tc>
          <w:tcPr>
            <w:tcW w:w="840" w:type="dxa"/>
            <w:vAlign w:val="bottom"/>
            <w:tcBorders>
              <w:bottom w:val="single" w:sz="8" w:color="CCEEFF"/>
            </w:tcBorders>
          </w:tcPr>
          <w:p>
            <w:pPr>
              <w:spacing w:after="0"/>
              <w:rPr>
                <w:sz w:val="2"/>
                <w:szCs w:val="2"/>
                <w:color w:val="auto"/>
              </w:rPr>
            </w:pPr>
          </w:p>
        </w:tc>
        <w:tc>
          <w:tcPr>
            <w:tcW w:w="264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77"/>
        </w:trPr>
        <w:tc>
          <w:tcPr>
            <w:tcW w:w="260" w:type="dxa"/>
            <w:vAlign w:val="bottom"/>
          </w:tcPr>
          <w:p>
            <w:pPr>
              <w:spacing w:after="0"/>
              <w:rPr>
                <w:sz w:val="24"/>
                <w:szCs w:val="24"/>
                <w:color w:val="auto"/>
              </w:rPr>
            </w:pPr>
          </w:p>
        </w:tc>
        <w:tc>
          <w:tcPr>
            <w:tcW w:w="348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8"/>
                <w:szCs w:val="18"/>
                <w:color w:val="auto"/>
              </w:rPr>
              <w:t>Net income from continuing operations</w:t>
            </w:r>
          </w:p>
        </w:tc>
        <w:tc>
          <w:tcPr>
            <w:tcW w:w="1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040" w:type="dxa"/>
            <w:vAlign w:val="bottom"/>
            <w:tcBorders>
              <w:bottom w:val="single" w:sz="8" w:color="auto"/>
            </w:tcBorders>
            <w:shd w:val="clear" w:color="auto" w:fill="CCEEFF"/>
          </w:tcPr>
          <w:p>
            <w:pPr>
              <w:jc w:val="right"/>
              <w:ind w:right="33"/>
              <w:spacing w:after="0"/>
              <w:rPr>
                <w:sz w:val="20"/>
                <w:szCs w:val="20"/>
                <w:color w:val="auto"/>
              </w:rPr>
            </w:pPr>
            <w:r>
              <w:rPr>
                <w:rFonts w:ascii="Arial" w:cs="Arial" w:eastAsia="Arial" w:hAnsi="Arial"/>
                <w:sz w:val="18"/>
                <w:szCs w:val="18"/>
                <w:color w:val="auto"/>
              </w:rPr>
              <w:t>1,067,327</w:t>
            </w:r>
          </w:p>
        </w:tc>
        <w:tc>
          <w:tcPr>
            <w:tcW w:w="100" w:type="dxa"/>
            <w:vAlign w:val="bottom"/>
            <w:tcBorders>
              <w:bottom w:val="single" w:sz="8" w:color="CCEEFF"/>
            </w:tcBorders>
            <w:shd w:val="clear" w:color="auto" w:fill="CCEEFF"/>
          </w:tcPr>
          <w:p>
            <w:pPr>
              <w:spacing w:after="0"/>
              <w:rPr>
                <w:sz w:val="24"/>
                <w:szCs w:val="24"/>
                <w:color w:val="auto"/>
              </w:rPr>
            </w:pP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9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(168,295)</w:t>
            </w:r>
          </w:p>
        </w:tc>
        <w:tc>
          <w:tcPr>
            <w:tcW w:w="100" w:type="dxa"/>
            <w:vAlign w:val="bottom"/>
            <w:tcBorders>
              <w:bottom w:val="single" w:sz="8" w:color="CCEEFF"/>
            </w:tcBorders>
            <w:shd w:val="clear" w:color="auto" w:fill="CCEEFF"/>
          </w:tcPr>
          <w:p>
            <w:pPr>
              <w:spacing w:after="0"/>
              <w:rPr>
                <w:sz w:val="24"/>
                <w:szCs w:val="24"/>
                <w:color w:val="auto"/>
              </w:rPr>
            </w:pP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02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899,032</w:t>
            </w:r>
          </w:p>
        </w:tc>
        <w:tc>
          <w:tcPr>
            <w:tcW w:w="120" w:type="dxa"/>
            <w:vAlign w:val="bottom"/>
            <w:tcBorders>
              <w:bottom w:val="single" w:sz="8" w:color="CCEEFF"/>
            </w:tcBorders>
            <w:shd w:val="clear" w:color="auto" w:fill="CCEEFF"/>
          </w:tcPr>
          <w:p>
            <w:pPr>
              <w:spacing w:after="0"/>
              <w:rPr>
                <w:sz w:val="24"/>
                <w:szCs w:val="24"/>
                <w:color w:val="auto"/>
              </w:rPr>
            </w:pP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040" w:type="dxa"/>
            <w:vAlign w:val="bottom"/>
            <w:tcBorders>
              <w:bottom w:val="single" w:sz="8" w:color="CCEEFF"/>
            </w:tcBorders>
            <w:shd w:val="clear" w:color="auto" w:fill="CCEEFF"/>
          </w:tcPr>
          <w:p>
            <w:pPr>
              <w:jc w:val="right"/>
              <w:ind w:right="33"/>
              <w:spacing w:after="0"/>
              <w:rPr>
                <w:sz w:val="20"/>
                <w:szCs w:val="20"/>
                <w:color w:val="auto"/>
              </w:rPr>
            </w:pPr>
            <w:r>
              <w:rPr>
                <w:rFonts w:ascii="Arial" w:cs="Arial" w:eastAsia="Arial" w:hAnsi="Arial"/>
                <w:sz w:val="18"/>
                <w:szCs w:val="18"/>
                <w:color w:val="auto"/>
              </w:rPr>
              <w:t>1,216,003</w:t>
            </w:r>
          </w:p>
        </w:tc>
        <w:tc>
          <w:tcPr>
            <w:tcW w:w="100" w:type="dxa"/>
            <w:vAlign w:val="bottom"/>
            <w:tcBorders>
              <w:bottom w:val="single" w:sz="8" w:color="CCEEFF"/>
            </w:tcBorders>
            <w:shd w:val="clear" w:color="auto" w:fill="CCEEFF"/>
          </w:tcPr>
          <w:p>
            <w:pPr>
              <w:spacing w:after="0"/>
              <w:rPr>
                <w:sz w:val="24"/>
                <w:szCs w:val="24"/>
                <w:color w:val="auto"/>
              </w:rPr>
            </w:pP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9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(144,727)</w:t>
            </w:r>
          </w:p>
        </w:tc>
        <w:tc>
          <w:tcPr>
            <w:tcW w:w="100" w:type="dxa"/>
            <w:vAlign w:val="bottom"/>
            <w:tcBorders>
              <w:bottom w:val="single" w:sz="8" w:color="CCEEFF"/>
            </w:tcBorders>
            <w:shd w:val="clear" w:color="auto" w:fill="CCEEFF"/>
          </w:tcPr>
          <w:p>
            <w:pPr>
              <w:spacing w:after="0"/>
              <w:rPr>
                <w:sz w:val="24"/>
                <w:szCs w:val="24"/>
                <w:color w:val="auto"/>
              </w:rPr>
            </w:pP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960" w:type="dxa"/>
            <w:vAlign w:val="bottom"/>
            <w:tcBorders>
              <w:bottom w:val="single" w:sz="8" w:color="CCEEFF"/>
            </w:tcBorders>
            <w:shd w:val="clear" w:color="auto" w:fill="CCEEFF"/>
          </w:tcPr>
          <w:p>
            <w:pPr>
              <w:jc w:val="right"/>
              <w:ind w:right="34"/>
              <w:spacing w:after="0"/>
              <w:rPr>
                <w:sz w:val="20"/>
                <w:szCs w:val="20"/>
                <w:color w:val="auto"/>
              </w:rPr>
            </w:pPr>
            <w:r>
              <w:rPr>
                <w:rFonts w:ascii="Arial" w:cs="Arial" w:eastAsia="Arial" w:hAnsi="Arial"/>
                <w:sz w:val="18"/>
                <w:szCs w:val="18"/>
                <w:color w:val="auto"/>
              </w:rPr>
              <w:t>1,071,276</w:t>
            </w:r>
          </w:p>
        </w:tc>
        <w:tc>
          <w:tcPr>
            <w:tcW w:w="0" w:type="dxa"/>
            <w:vAlign w:val="bottom"/>
          </w:tcPr>
          <w:p>
            <w:pPr>
              <w:spacing w:after="0"/>
              <w:rPr>
                <w:sz w:val="1"/>
                <w:szCs w:val="1"/>
                <w:color w:val="auto"/>
              </w:rPr>
            </w:pPr>
          </w:p>
        </w:tc>
      </w:tr>
      <w:tr>
        <w:trPr>
          <w:trHeight w:val="20"/>
        </w:trPr>
        <w:tc>
          <w:tcPr>
            <w:tcW w:w="260" w:type="dxa"/>
            <w:vAlign w:val="bottom"/>
          </w:tcPr>
          <w:p>
            <w:pPr>
              <w:spacing w:after="0" w:line="20" w:lineRule="exact"/>
              <w:rPr>
                <w:sz w:val="1"/>
                <w:szCs w:val="1"/>
                <w:color w:val="auto"/>
              </w:rPr>
            </w:pPr>
          </w:p>
        </w:tc>
        <w:tc>
          <w:tcPr>
            <w:tcW w:w="840" w:type="dxa"/>
            <w:vAlign w:val="bottom"/>
          </w:tcPr>
          <w:p>
            <w:pPr>
              <w:spacing w:after="0" w:line="20" w:lineRule="exact"/>
              <w:rPr>
                <w:sz w:val="1"/>
                <w:szCs w:val="1"/>
                <w:color w:val="auto"/>
              </w:rPr>
            </w:pPr>
          </w:p>
        </w:tc>
        <w:tc>
          <w:tcPr>
            <w:tcW w:w="2640" w:type="dxa"/>
            <w:vAlign w:val="bottom"/>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104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96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Borders>
              <w:top w:val="single" w:sz="8" w:color="auto"/>
            </w:tcBorders>
          </w:tcPr>
          <w:p>
            <w:pPr>
              <w:spacing w:after="0" w:line="20" w:lineRule="exact"/>
              <w:rPr>
                <w:sz w:val="1"/>
                <w:szCs w:val="1"/>
                <w:color w:val="auto"/>
              </w:rPr>
            </w:pPr>
          </w:p>
        </w:tc>
        <w:tc>
          <w:tcPr>
            <w:tcW w:w="1020" w:type="dxa"/>
            <w:vAlign w:val="bottom"/>
            <w:tcBorders>
              <w:top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tcBorders>
              <w:top w:val="single" w:sz="8" w:color="auto"/>
            </w:tcBorders>
          </w:tcPr>
          <w:p>
            <w:pPr>
              <w:spacing w:after="0" w:line="20" w:lineRule="exact"/>
              <w:rPr>
                <w:sz w:val="1"/>
                <w:szCs w:val="1"/>
                <w:color w:val="auto"/>
              </w:rPr>
            </w:pPr>
          </w:p>
        </w:tc>
        <w:tc>
          <w:tcPr>
            <w:tcW w:w="1040" w:type="dxa"/>
            <w:vAlign w:val="bottom"/>
            <w:tcBorders>
              <w:top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Borders>
              <w:top w:val="single" w:sz="8" w:color="auto"/>
            </w:tcBorders>
          </w:tcPr>
          <w:p>
            <w:pPr>
              <w:spacing w:after="0" w:line="20" w:lineRule="exact"/>
              <w:rPr>
                <w:sz w:val="1"/>
                <w:szCs w:val="1"/>
                <w:color w:val="auto"/>
              </w:rPr>
            </w:pPr>
          </w:p>
        </w:tc>
        <w:tc>
          <w:tcPr>
            <w:tcW w:w="960" w:type="dxa"/>
            <w:vAlign w:val="bottom"/>
            <w:tcBorders>
              <w:top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Borders>
              <w:top w:val="single" w:sz="8" w:color="auto"/>
            </w:tcBorders>
          </w:tcPr>
          <w:p>
            <w:pPr>
              <w:spacing w:after="0" w:line="20" w:lineRule="exact"/>
              <w:rPr>
                <w:sz w:val="1"/>
                <w:szCs w:val="1"/>
                <w:color w:val="auto"/>
              </w:rPr>
            </w:pPr>
          </w:p>
        </w:tc>
        <w:tc>
          <w:tcPr>
            <w:tcW w:w="960" w:type="dxa"/>
            <w:vAlign w:val="bottom"/>
            <w:tcBorders>
              <w:top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326" w:lineRule="exact"/>
        <w:rPr>
          <w:sz w:val="20"/>
          <w:szCs w:val="20"/>
          <w:color w:val="auto"/>
        </w:rPr>
      </w:pPr>
    </w:p>
    <w:p>
      <w:pPr>
        <w:jc w:val="both"/>
        <w:ind w:right="260" w:firstLine="432"/>
        <w:spacing w:after="0" w:line="312" w:lineRule="auto"/>
        <w:rPr>
          <w:sz w:val="20"/>
          <w:szCs w:val="20"/>
          <w:color w:val="auto"/>
        </w:rPr>
      </w:pPr>
      <w:r>
        <w:rPr>
          <w:rFonts w:ascii="Arial" w:cs="Arial" w:eastAsia="Arial" w:hAnsi="Arial"/>
          <w:sz w:val="16"/>
          <w:szCs w:val="16"/>
          <w:color w:val="auto"/>
        </w:rPr>
        <w:t xml:space="preserve">Effective January 1, 2018, we adopted Accounting Standards Update ("ASU") No. 2016-15, </w:t>
      </w:r>
      <w:r>
        <w:rPr>
          <w:rFonts w:ascii="Arial" w:cs="Arial" w:eastAsia="Arial" w:hAnsi="Arial"/>
          <w:sz w:val="16"/>
          <w:szCs w:val="16"/>
          <w:i w:val="1"/>
          <w:iCs w:val="1"/>
          <w:color w:val="auto"/>
        </w:rPr>
        <w:t>Statement of Cash Flows (Topic 230)</w:t>
      </w:r>
      <w:r>
        <w:rPr>
          <w:rFonts w:ascii="Arial" w:cs="Arial" w:eastAsia="Arial" w:hAnsi="Arial"/>
          <w:sz w:val="16"/>
          <w:szCs w:val="16"/>
          <w:color w:val="auto"/>
        </w:rPr>
        <w:t>, which addresses eight specific cash flow issues with the objective of reducing the existing diversity in practice in how cash receipts and cash payments are presented in the statement of cash flows. The adoption of ASU No. 2016-15 did not have a significant impact on our consolidated financial statements.</w:t>
      </w:r>
    </w:p>
    <w:p>
      <w:pPr>
        <w:spacing w:after="0" w:line="39" w:lineRule="exact"/>
        <w:rPr>
          <w:sz w:val="20"/>
          <w:szCs w:val="20"/>
          <w:color w:val="auto"/>
        </w:rPr>
      </w:pPr>
    </w:p>
    <w:p>
      <w:pPr>
        <w:ind w:firstLine="432"/>
        <w:spacing w:after="0" w:line="302" w:lineRule="auto"/>
        <w:rPr>
          <w:sz w:val="20"/>
          <w:szCs w:val="20"/>
          <w:color w:val="auto"/>
        </w:rPr>
      </w:pPr>
      <w:r>
        <w:rPr>
          <w:rFonts w:ascii="Arial" w:cs="Arial" w:eastAsia="Arial" w:hAnsi="Arial"/>
          <w:sz w:val="16"/>
          <w:szCs w:val="16"/>
          <w:color w:val="auto"/>
        </w:rPr>
        <w:t xml:space="preserve">In February 2016, the FASB issued ASU No. 2016-02, </w:t>
      </w:r>
      <w:r>
        <w:rPr>
          <w:rFonts w:ascii="Arial" w:cs="Arial" w:eastAsia="Arial" w:hAnsi="Arial"/>
          <w:sz w:val="16"/>
          <w:szCs w:val="16"/>
          <w:i w:val="1"/>
          <w:iCs w:val="1"/>
          <w:color w:val="auto"/>
        </w:rPr>
        <w:t>Leases</w:t>
      </w:r>
      <w:r>
        <w:rPr>
          <w:rFonts w:ascii="Arial" w:cs="Arial" w:eastAsia="Arial" w:hAnsi="Arial"/>
          <w:sz w:val="16"/>
          <w:szCs w:val="16"/>
          <w:color w:val="auto"/>
        </w:rPr>
        <w:t>, which requires a lessee to recognize in its statement of financial position an asset and liability for most leases with a term greater than 12 months. Lessees should recognize a liability to make lease payments and a right-of-use asset representing the lessee's right to use the underlying asset for the lease term. The amendment is effective for fiscal years ending after December 15, 2018, including interim periods within those fiscal years. We are currently evaluating the impact the adoption of this standard will have on our consolidated financial statements.</w:t>
      </w:r>
    </w:p>
    <w:p>
      <w:pPr>
        <w:spacing w:after="0" w:line="154" w:lineRule="exact"/>
        <w:rPr>
          <w:sz w:val="20"/>
          <w:szCs w:val="20"/>
          <w:color w:val="auto"/>
        </w:rPr>
      </w:pPr>
    </w:p>
    <w:p>
      <w:pPr>
        <w:ind w:right="20" w:firstLine="405"/>
        <w:spacing w:after="0" w:line="293" w:lineRule="auto"/>
        <w:rPr>
          <w:sz w:val="20"/>
          <w:szCs w:val="20"/>
          <w:color w:val="auto"/>
        </w:rPr>
      </w:pPr>
      <w:r>
        <w:rPr>
          <w:rFonts w:ascii="Arial" w:cs="Arial" w:eastAsia="Arial" w:hAnsi="Arial"/>
          <w:sz w:val="16"/>
          <w:szCs w:val="16"/>
          <w:color w:val="auto"/>
        </w:rPr>
        <w:t>In February 2018, the FASB issued ASU 2018-02: Income Statement – Reporting Comprehensive Income (Topic 220) (ASU 2018-02). Under current accounting guidance, the income tax effects for changes in income tax rates and certain other transactions are recognized in income from continuing operations resulting in income tax effects recognized in AOCI that do not reflect the current tax rate of the entity (“stranded tax effects”). The new guidance allows us the option to reclassify these stranded tax effects to accumulated deficit that relate to the change in the federal tax rate resulting from the passage of the Tax Cuts and Jobs Act. This update is effective for fiscal years beginning after December 15, 2018, including interim periods therein, and early adoption is permitted. We do not expect the adoption of this standard will have a significant impact on our consolidated financial statements.</w:t>
      </w:r>
    </w:p>
    <w:p>
      <w:pPr>
        <w:spacing w:after="0" w:line="192" w:lineRule="exact"/>
        <w:rPr>
          <w:sz w:val="20"/>
          <w:szCs w:val="20"/>
          <w:color w:val="auto"/>
        </w:rPr>
      </w:pPr>
    </w:p>
    <w:p>
      <w:pPr>
        <w:jc w:val="center"/>
        <w:ind w:right="-79"/>
        <w:spacing w:after="0"/>
        <w:rPr>
          <w:sz w:val="20"/>
          <w:szCs w:val="20"/>
          <w:color w:val="auto"/>
        </w:rPr>
      </w:pPr>
      <w:r>
        <w:rPr>
          <w:rFonts w:ascii="Arial" w:cs="Arial" w:eastAsia="Arial" w:hAnsi="Arial"/>
          <w:sz w:val="18"/>
          <w:szCs w:val="18"/>
          <w:color w:val="auto"/>
        </w:rPr>
        <w:t>13</w:t>
      </w:r>
    </w:p>
    <w:p>
      <w:pPr>
        <w:sectPr>
          <w:pgSz w:w="11900" w:h="16838" w:orient="portrait"/>
          <w:cols w:equalWidth="0" w:num="1">
            <w:col w:w="11360"/>
          </w:cols>
          <w:pgMar w:left="240" w:top="114" w:right="299" w:bottom="1440" w:gutter="0" w:footer="0" w:header="0"/>
        </w:sectPr>
      </w:pPr>
    </w:p>
    <w:bookmarkStart w:id="13" w:name="page14"/>
    <w:bookmarkEnd w:id="13"/>
    <w:p>
      <w:pPr>
        <w:spacing w:after="0"/>
        <w:rPr>
          <w:rFonts w:ascii="Arial" w:cs="Arial" w:eastAsia="Arial" w:hAnsi="Arial"/>
          <w:sz w:val="14"/>
          <w:szCs w:val="14"/>
          <w:b w:val="1"/>
          <w:bCs w:val="1"/>
          <w:u w:val="single" w:color="auto"/>
          <w:color w:val="0000EE"/>
        </w:rPr>
      </w:pPr>
      <w:hyperlink w:anchor="page2">
        <w:r>
          <w:rPr>
            <w:rFonts w:ascii="Arial" w:cs="Arial" w:eastAsia="Arial" w:hAnsi="Arial"/>
            <w:sz w:val="14"/>
            <w:szCs w:val="14"/>
            <w:b w:val="1"/>
            <w:bCs w:val="1"/>
            <w:u w:val="single" w:color="auto"/>
            <w:color w:val="0000EE"/>
          </w:rPr>
          <w:t>Table of Contents</w:t>
        </w:r>
      </w:hyperlink>
    </w:p>
    <w:p>
      <w:pPr>
        <w:spacing w:after="0" w:line="252" w:lineRule="exact"/>
        <w:rPr>
          <w:sz w:val="20"/>
          <w:szCs w:val="20"/>
          <w:color w:val="auto"/>
        </w:rPr>
      </w:pPr>
    </w:p>
    <w:p>
      <w:pPr>
        <w:ind w:right="80" w:firstLine="405"/>
        <w:spacing w:after="0" w:line="257" w:lineRule="auto"/>
        <w:rPr>
          <w:sz w:val="20"/>
          <w:szCs w:val="20"/>
          <w:color w:val="auto"/>
        </w:rPr>
      </w:pPr>
      <w:r>
        <w:rPr>
          <w:rFonts w:ascii="Arial" w:cs="Arial" w:eastAsia="Arial" w:hAnsi="Arial"/>
          <w:sz w:val="18"/>
          <w:szCs w:val="18"/>
          <w:color w:val="auto"/>
        </w:rPr>
        <w:t xml:space="preserve">In January 2017, the FASB issued ASU No. 2017-04, </w:t>
      </w:r>
      <w:r>
        <w:rPr>
          <w:rFonts w:ascii="Arial" w:cs="Arial" w:eastAsia="Arial" w:hAnsi="Arial"/>
          <w:sz w:val="18"/>
          <w:szCs w:val="18"/>
          <w:i w:val="1"/>
          <w:iCs w:val="1"/>
          <w:color w:val="auto"/>
        </w:rPr>
        <w:t>Intangibles-Goodwill and Other (Topic 350): Simplifying the Test for Goodwill Impairment.</w:t>
      </w:r>
      <w:r>
        <w:rPr>
          <w:rFonts w:ascii="Arial" w:cs="Arial" w:eastAsia="Arial" w:hAnsi="Arial"/>
          <w:sz w:val="18"/>
          <w:szCs w:val="18"/>
          <w:color w:val="auto"/>
        </w:rPr>
        <w:t xml:space="preserve"> This update simplifies the subsequent measurement of goodwill. The guidance removes Step 2 of the goodwill impairment test, which requires a hypothetical purchase price allocation. A goodwill impairment will now be the amount by which a reporting unit's carrying value exceeds its fair value, not to exceed the carrying amount of goodwill. The accounting standard will be effective for reporting periods beginning after December 15, 2019. We do not expect ASU 2017-04 will have a material impact on our financial statements.</w:t>
      </w:r>
    </w:p>
    <w:p>
      <w:pPr>
        <w:spacing w:after="0" w:line="200" w:lineRule="exact"/>
        <w:rPr>
          <w:sz w:val="20"/>
          <w:szCs w:val="20"/>
          <w:color w:val="auto"/>
        </w:rPr>
      </w:pPr>
    </w:p>
    <w:p>
      <w:pPr>
        <w:spacing w:after="0" w:line="308" w:lineRule="exact"/>
        <w:rPr>
          <w:sz w:val="20"/>
          <w:szCs w:val="20"/>
          <w:color w:val="auto"/>
        </w:rPr>
      </w:pPr>
    </w:p>
    <w:p>
      <w:pPr>
        <w:spacing w:after="0"/>
        <w:tabs>
          <w:tab w:leader="none" w:pos="300" w:val="left"/>
        </w:tabs>
        <w:rPr>
          <w:sz w:val="20"/>
          <w:szCs w:val="20"/>
          <w:color w:val="auto"/>
        </w:rPr>
      </w:pPr>
      <w:r>
        <w:rPr>
          <w:rFonts w:ascii="Arial" w:cs="Arial" w:eastAsia="Arial" w:hAnsi="Arial"/>
          <w:sz w:val="18"/>
          <w:szCs w:val="18"/>
          <w:b w:val="1"/>
          <w:bCs w:val="1"/>
          <w:color w:val="auto"/>
        </w:rPr>
        <w:t>2.</w:t>
      </w:r>
      <w:r>
        <w:rPr>
          <w:sz w:val="20"/>
          <w:szCs w:val="20"/>
          <w:color w:val="auto"/>
        </w:rPr>
        <w:tab/>
      </w:r>
      <w:r>
        <w:rPr>
          <w:rFonts w:ascii="Arial" w:cs="Arial" w:eastAsia="Arial" w:hAnsi="Arial"/>
          <w:sz w:val="16"/>
          <w:szCs w:val="16"/>
          <w:b w:val="1"/>
          <w:bCs w:val="1"/>
          <w:color w:val="auto"/>
        </w:rPr>
        <w:t>Discontinued Operations</w:t>
      </w:r>
    </w:p>
    <w:p>
      <w:pPr>
        <w:spacing w:after="0" w:line="229" w:lineRule="exact"/>
        <w:rPr>
          <w:sz w:val="20"/>
          <w:szCs w:val="20"/>
          <w:color w:val="auto"/>
        </w:rPr>
      </w:pPr>
    </w:p>
    <w:p>
      <w:pPr>
        <w:ind w:right="180" w:firstLine="432"/>
        <w:spacing w:after="0" w:line="255" w:lineRule="auto"/>
        <w:rPr>
          <w:sz w:val="20"/>
          <w:szCs w:val="20"/>
          <w:color w:val="auto"/>
        </w:rPr>
      </w:pPr>
      <w:r>
        <w:rPr>
          <w:rFonts w:ascii="Arial" w:cs="Arial" w:eastAsia="Arial" w:hAnsi="Arial"/>
          <w:sz w:val="18"/>
          <w:szCs w:val="18"/>
          <w:color w:val="auto"/>
        </w:rPr>
        <w:t>On August 9, 2017, we completed the sale of our high speed optical receivers ("HSOR") business, which was part of our Products and Licensing segment, to an unaffiliated third party for an initial purchase price of $33.5 million, of which $29.5 million in cash has been received, and $4.0 million was placed into escrow until December 15, 2018 for potential satisfaction of certain post-closing indemnification obligations (the "Transaction"). The HSOR business was a component of the operations of Advanced Photonix, Inc., which we acquired in May 2015. The HSOR business accounted for 16.8% of revenues and 18.5% of our cost of revenues for the three months ended June 30, 2017 and 17.0% of revenues and 19.9% of our cost of revenues for the six months ended June 30, 2017.</w:t>
      </w:r>
    </w:p>
    <w:p>
      <w:pPr>
        <w:spacing w:after="0" w:line="193" w:lineRule="exact"/>
        <w:rPr>
          <w:sz w:val="20"/>
          <w:szCs w:val="20"/>
          <w:color w:val="auto"/>
        </w:rPr>
      </w:pPr>
    </w:p>
    <w:p>
      <w:pPr>
        <w:ind w:right="40" w:firstLine="177"/>
        <w:spacing w:after="0" w:line="342" w:lineRule="auto"/>
        <w:rPr>
          <w:sz w:val="20"/>
          <w:szCs w:val="20"/>
          <w:color w:val="auto"/>
        </w:rPr>
      </w:pPr>
      <w:r>
        <w:rPr>
          <w:rFonts w:ascii="Arial" w:cs="Arial" w:eastAsia="Arial" w:hAnsi="Arial"/>
          <w:sz w:val="16"/>
          <w:szCs w:val="16"/>
          <w:color w:val="auto"/>
        </w:rPr>
        <w:t>We have reported the results of operations of our HSOR business as discontinued operations in our consolidated interim financial statements. We allocated a portion of the consolidated tax expense to discontinued operations based on the ratio of the discontinued business's loss before allocations.</w:t>
      </w:r>
    </w:p>
    <w:p>
      <w:pPr>
        <w:spacing w:after="0" w:line="124" w:lineRule="exact"/>
        <w:rPr>
          <w:sz w:val="20"/>
          <w:szCs w:val="20"/>
          <w:color w:val="auto"/>
        </w:rPr>
      </w:pPr>
    </w:p>
    <w:p>
      <w:pPr>
        <w:ind w:left="440"/>
        <w:spacing w:after="0"/>
        <w:rPr>
          <w:sz w:val="20"/>
          <w:szCs w:val="20"/>
          <w:color w:val="auto"/>
        </w:rPr>
      </w:pPr>
      <w:r>
        <w:rPr>
          <w:rFonts w:ascii="Arial" w:cs="Arial" w:eastAsia="Arial" w:hAnsi="Arial"/>
          <w:sz w:val="18"/>
          <w:szCs w:val="18"/>
          <w:color w:val="auto"/>
        </w:rPr>
        <w:t>The key components of net loss from discontinued operations were as follows:</w:t>
      </w:r>
    </w:p>
    <w:p>
      <w:pPr>
        <w:spacing w:after="0" w:line="200" w:lineRule="exact"/>
        <w:rPr>
          <w:sz w:val="20"/>
          <w:szCs w:val="20"/>
          <w:color w:val="auto"/>
        </w:rPr>
      </w:pPr>
    </w:p>
    <w:p>
      <w:pPr>
        <w:spacing w:after="0" w:line="242" w:lineRule="exact"/>
        <w:rPr>
          <w:sz w:val="20"/>
          <w:szCs w:val="20"/>
          <w:color w:val="auto"/>
        </w:rPr>
      </w:pPr>
    </w:p>
    <w:tbl>
      <w:tblPr>
        <w:tblLayout w:type="fixed"/>
        <w:tblInd w:w="80" w:type="dxa"/>
        <w:tblCellMar>
          <w:top w:w="0" w:type="dxa"/>
          <w:left w:w="0" w:type="dxa"/>
          <w:bottom w:w="0" w:type="dxa"/>
          <w:right w:w="0" w:type="dxa"/>
        </w:tblCellMar>
      </w:tblPr>
      <w:tr>
        <w:trPr>
          <w:trHeight w:val="210"/>
        </w:trPr>
        <w:tc>
          <w:tcPr>
            <w:tcW w:w="5540" w:type="dxa"/>
            <w:vAlign w:val="bottom"/>
          </w:tcPr>
          <w:p>
            <w:pPr>
              <w:spacing w:after="0"/>
              <w:rPr>
                <w:sz w:val="18"/>
                <w:szCs w:val="18"/>
                <w:color w:val="auto"/>
              </w:rPr>
            </w:pPr>
          </w:p>
        </w:tc>
        <w:tc>
          <w:tcPr>
            <w:tcW w:w="3040" w:type="dxa"/>
            <w:vAlign w:val="bottom"/>
            <w:gridSpan w:val="6"/>
          </w:tcPr>
          <w:p>
            <w:pPr>
              <w:ind w:left="380"/>
              <w:spacing w:after="0"/>
              <w:rPr>
                <w:sz w:val="20"/>
                <w:szCs w:val="20"/>
                <w:color w:val="auto"/>
              </w:rPr>
            </w:pPr>
            <w:r>
              <w:rPr>
                <w:rFonts w:ascii="Arial" w:cs="Arial" w:eastAsia="Arial" w:hAnsi="Arial"/>
                <w:sz w:val="16"/>
                <w:szCs w:val="16"/>
                <w:b w:val="1"/>
                <w:bCs w:val="1"/>
                <w:color w:val="auto"/>
              </w:rPr>
              <w:t>Three Months Ended June 30,</w:t>
            </w:r>
          </w:p>
        </w:tc>
        <w:tc>
          <w:tcPr>
            <w:tcW w:w="260" w:type="dxa"/>
            <w:vAlign w:val="bottom"/>
          </w:tcPr>
          <w:p>
            <w:pPr>
              <w:spacing w:after="0"/>
              <w:rPr>
                <w:sz w:val="18"/>
                <w:szCs w:val="18"/>
                <w:color w:val="auto"/>
              </w:rPr>
            </w:pPr>
          </w:p>
        </w:tc>
        <w:tc>
          <w:tcPr>
            <w:tcW w:w="2440" w:type="dxa"/>
            <w:vAlign w:val="bottom"/>
            <w:gridSpan w:val="4"/>
          </w:tcPr>
          <w:p>
            <w:pPr>
              <w:ind w:left="160"/>
              <w:spacing w:after="0"/>
              <w:rPr>
                <w:sz w:val="20"/>
                <w:szCs w:val="20"/>
                <w:color w:val="auto"/>
              </w:rPr>
            </w:pPr>
            <w:r>
              <w:rPr>
                <w:rFonts w:ascii="Arial" w:cs="Arial" w:eastAsia="Arial" w:hAnsi="Arial"/>
                <w:sz w:val="16"/>
                <w:szCs w:val="16"/>
                <w:b w:val="1"/>
                <w:bCs w:val="1"/>
                <w:color w:val="auto"/>
              </w:rPr>
              <w:t>Six Months Ended June 30,</w:t>
            </w:r>
          </w:p>
        </w:tc>
      </w:tr>
      <w:tr>
        <w:trPr>
          <w:trHeight w:val="33"/>
        </w:trPr>
        <w:tc>
          <w:tcPr>
            <w:tcW w:w="5540" w:type="dxa"/>
            <w:vAlign w:val="bottom"/>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460" w:type="dxa"/>
            <w:vAlign w:val="bottom"/>
            <w:tcBorders>
              <w:bottom w:val="single" w:sz="8" w:color="auto"/>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220" w:type="dxa"/>
            <w:vAlign w:val="bottom"/>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880" w:type="dxa"/>
            <w:vAlign w:val="bottom"/>
            <w:tcBorders>
              <w:bottom w:val="single" w:sz="8" w:color="auto"/>
            </w:tcBorders>
          </w:tcPr>
          <w:p>
            <w:pPr>
              <w:spacing w:after="0"/>
              <w:rPr>
                <w:sz w:val="2"/>
                <w:szCs w:val="2"/>
                <w:color w:val="auto"/>
              </w:rPr>
            </w:pPr>
          </w:p>
        </w:tc>
      </w:tr>
      <w:tr>
        <w:trPr>
          <w:trHeight w:val="258"/>
        </w:trPr>
        <w:tc>
          <w:tcPr>
            <w:tcW w:w="5540" w:type="dxa"/>
            <w:vAlign w:val="bottom"/>
            <w:tcBorders>
              <w:bottom w:val="single" w:sz="8" w:color="CCEEFF"/>
            </w:tcBorders>
          </w:tcPr>
          <w:p>
            <w:pPr>
              <w:spacing w:after="0"/>
              <w:rPr>
                <w:sz w:val="22"/>
                <w:szCs w:val="22"/>
                <w:color w:val="auto"/>
              </w:rPr>
            </w:pPr>
          </w:p>
        </w:tc>
        <w:tc>
          <w:tcPr>
            <w:tcW w:w="920" w:type="dxa"/>
            <w:vAlign w:val="bottom"/>
            <w:tcBorders>
              <w:bottom w:val="single" w:sz="8" w:color="auto"/>
            </w:tcBorders>
          </w:tcPr>
          <w:p>
            <w:pPr>
              <w:jc w:val="right"/>
              <w:ind w:right="19"/>
              <w:spacing w:after="0"/>
              <w:rPr>
                <w:sz w:val="20"/>
                <w:szCs w:val="20"/>
                <w:color w:val="auto"/>
              </w:rPr>
            </w:pPr>
            <w:r>
              <w:rPr>
                <w:rFonts w:ascii="Arial" w:cs="Arial" w:eastAsia="Arial" w:hAnsi="Arial"/>
                <w:sz w:val="14"/>
                <w:szCs w:val="14"/>
                <w:b w:val="1"/>
                <w:bCs w:val="1"/>
                <w:color w:val="auto"/>
              </w:rPr>
              <w:t>2018</w:t>
            </w:r>
          </w:p>
        </w:tc>
        <w:tc>
          <w:tcPr>
            <w:tcW w:w="460" w:type="dxa"/>
            <w:vAlign w:val="bottom"/>
            <w:tcBorders>
              <w:bottom w:val="single" w:sz="8" w:color="auto"/>
            </w:tcBorders>
          </w:tcPr>
          <w:p>
            <w:pPr>
              <w:spacing w:after="0"/>
              <w:rPr>
                <w:sz w:val="22"/>
                <w:szCs w:val="22"/>
                <w:color w:val="auto"/>
              </w:rPr>
            </w:pPr>
          </w:p>
        </w:tc>
        <w:tc>
          <w:tcPr>
            <w:tcW w:w="200" w:type="dxa"/>
            <w:vAlign w:val="bottom"/>
            <w:tcBorders>
              <w:bottom w:val="single" w:sz="8" w:color="auto"/>
            </w:tcBorders>
          </w:tcPr>
          <w:p>
            <w:pPr>
              <w:spacing w:after="0"/>
              <w:rPr>
                <w:sz w:val="22"/>
                <w:szCs w:val="22"/>
                <w:color w:val="auto"/>
              </w:rPr>
            </w:pPr>
          </w:p>
        </w:tc>
        <w:tc>
          <w:tcPr>
            <w:tcW w:w="340" w:type="dxa"/>
            <w:vAlign w:val="bottom"/>
            <w:tcBorders>
              <w:bottom w:val="single" w:sz="8" w:color="auto"/>
            </w:tcBorders>
          </w:tcPr>
          <w:p>
            <w:pPr>
              <w:spacing w:after="0"/>
              <w:rPr>
                <w:sz w:val="22"/>
                <w:szCs w:val="22"/>
                <w:color w:val="auto"/>
              </w:rPr>
            </w:pPr>
          </w:p>
        </w:tc>
        <w:tc>
          <w:tcPr>
            <w:tcW w:w="900" w:type="dxa"/>
            <w:vAlign w:val="bottom"/>
            <w:tcBorders>
              <w:bottom w:val="single" w:sz="8" w:color="auto"/>
            </w:tcBorders>
          </w:tcPr>
          <w:p>
            <w:pPr>
              <w:jc w:val="right"/>
              <w:ind w:right="392"/>
              <w:spacing w:after="0"/>
              <w:rPr>
                <w:sz w:val="20"/>
                <w:szCs w:val="20"/>
                <w:color w:val="auto"/>
              </w:rPr>
            </w:pPr>
            <w:r>
              <w:rPr>
                <w:rFonts w:ascii="Arial" w:cs="Arial" w:eastAsia="Arial" w:hAnsi="Arial"/>
                <w:sz w:val="14"/>
                <w:szCs w:val="14"/>
                <w:b w:val="1"/>
                <w:bCs w:val="1"/>
                <w:color w:val="auto"/>
              </w:rPr>
              <w:t>2017</w:t>
            </w:r>
          </w:p>
        </w:tc>
        <w:tc>
          <w:tcPr>
            <w:tcW w:w="220" w:type="dxa"/>
            <w:vAlign w:val="bottom"/>
            <w:tcBorders>
              <w:bottom w:val="single" w:sz="8" w:color="CCEEFF"/>
            </w:tcBorders>
          </w:tcPr>
          <w:p>
            <w:pPr>
              <w:spacing w:after="0"/>
              <w:rPr>
                <w:sz w:val="22"/>
                <w:szCs w:val="22"/>
                <w:color w:val="auto"/>
              </w:rPr>
            </w:pPr>
          </w:p>
        </w:tc>
        <w:tc>
          <w:tcPr>
            <w:tcW w:w="260" w:type="dxa"/>
            <w:vAlign w:val="bottom"/>
            <w:tcBorders>
              <w:bottom w:val="single" w:sz="8" w:color="auto"/>
            </w:tcBorders>
          </w:tcPr>
          <w:p>
            <w:pPr>
              <w:spacing w:after="0"/>
              <w:rPr>
                <w:sz w:val="22"/>
                <w:szCs w:val="22"/>
                <w:color w:val="auto"/>
              </w:rPr>
            </w:pPr>
          </w:p>
        </w:tc>
        <w:tc>
          <w:tcPr>
            <w:tcW w:w="980" w:type="dxa"/>
            <w:vAlign w:val="bottom"/>
            <w:tcBorders>
              <w:bottom w:val="single" w:sz="8" w:color="auto"/>
            </w:tcBorders>
          </w:tcPr>
          <w:p>
            <w:pPr>
              <w:ind w:left="220"/>
              <w:spacing w:after="0"/>
              <w:rPr>
                <w:sz w:val="20"/>
                <w:szCs w:val="20"/>
                <w:color w:val="auto"/>
              </w:rPr>
            </w:pPr>
            <w:r>
              <w:rPr>
                <w:rFonts w:ascii="Arial" w:cs="Arial" w:eastAsia="Arial" w:hAnsi="Arial"/>
                <w:sz w:val="14"/>
                <w:szCs w:val="14"/>
                <w:b w:val="1"/>
                <w:bCs w:val="1"/>
                <w:color w:val="auto"/>
              </w:rPr>
              <w:t>2018</w:t>
            </w:r>
          </w:p>
        </w:tc>
        <w:tc>
          <w:tcPr>
            <w:tcW w:w="220" w:type="dxa"/>
            <w:vAlign w:val="bottom"/>
            <w:tcBorders>
              <w:bottom w:val="single" w:sz="8" w:color="auto"/>
            </w:tcBorders>
          </w:tcPr>
          <w:p>
            <w:pPr>
              <w:spacing w:after="0"/>
              <w:rPr>
                <w:sz w:val="22"/>
                <w:szCs w:val="22"/>
                <w:color w:val="auto"/>
              </w:rPr>
            </w:pPr>
          </w:p>
        </w:tc>
        <w:tc>
          <w:tcPr>
            <w:tcW w:w="360" w:type="dxa"/>
            <w:vAlign w:val="bottom"/>
            <w:tcBorders>
              <w:bottom w:val="single" w:sz="8" w:color="auto"/>
            </w:tcBorders>
          </w:tcPr>
          <w:p>
            <w:pPr>
              <w:spacing w:after="0"/>
              <w:rPr>
                <w:sz w:val="22"/>
                <w:szCs w:val="22"/>
                <w:color w:val="auto"/>
              </w:rPr>
            </w:pPr>
          </w:p>
        </w:tc>
        <w:tc>
          <w:tcPr>
            <w:tcW w:w="880" w:type="dxa"/>
            <w:vAlign w:val="bottom"/>
            <w:tcBorders>
              <w:bottom w:val="single" w:sz="8" w:color="auto"/>
            </w:tcBorders>
          </w:tcPr>
          <w:p>
            <w:pPr>
              <w:jc w:val="right"/>
              <w:ind w:right="392"/>
              <w:spacing w:after="0"/>
              <w:rPr>
                <w:sz w:val="20"/>
                <w:szCs w:val="20"/>
                <w:color w:val="auto"/>
              </w:rPr>
            </w:pPr>
            <w:r>
              <w:rPr>
                <w:rFonts w:ascii="Arial" w:cs="Arial" w:eastAsia="Arial" w:hAnsi="Arial"/>
                <w:sz w:val="14"/>
                <w:szCs w:val="14"/>
                <w:b w:val="1"/>
                <w:bCs w:val="1"/>
                <w:color w:val="auto"/>
              </w:rPr>
              <w:t>2017</w:t>
            </w:r>
          </w:p>
        </w:tc>
      </w:tr>
      <w:tr>
        <w:trPr>
          <w:trHeight w:val="250"/>
        </w:trPr>
        <w:tc>
          <w:tcPr>
            <w:tcW w:w="554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gridSpan w:val="3"/>
            <w:shd w:val="clear" w:color="auto" w:fill="CCEEFF"/>
          </w:tcPr>
          <w:p>
            <w:pPr>
              <w:ind w:left="80"/>
              <w:spacing w:after="0"/>
              <w:rPr>
                <w:sz w:val="20"/>
                <w:szCs w:val="20"/>
                <w:color w:val="auto"/>
              </w:rPr>
            </w:pPr>
            <w:r>
              <w:rPr>
                <w:rFonts w:ascii="Arial" w:cs="Arial" w:eastAsia="Arial" w:hAnsi="Arial"/>
                <w:sz w:val="18"/>
                <w:szCs w:val="18"/>
                <w:color w:val="auto"/>
                <w:w w:val="98"/>
              </w:rPr>
              <w:t>(unaudited)</w:t>
            </w:r>
          </w:p>
        </w:tc>
        <w:tc>
          <w:tcPr>
            <w:tcW w:w="9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1560" w:type="dxa"/>
            <w:vAlign w:val="bottom"/>
            <w:tcBorders>
              <w:bottom w:val="single" w:sz="8" w:color="CCEEFF"/>
            </w:tcBorders>
            <w:gridSpan w:val="3"/>
            <w:shd w:val="clear" w:color="auto" w:fill="CCEEFF"/>
          </w:tcPr>
          <w:p>
            <w:pPr>
              <w:ind w:left="680"/>
              <w:spacing w:after="0"/>
              <w:rPr>
                <w:sz w:val="20"/>
                <w:szCs w:val="20"/>
                <w:color w:val="auto"/>
              </w:rPr>
            </w:pPr>
            <w:r>
              <w:rPr>
                <w:rFonts w:ascii="Arial" w:cs="Arial" w:eastAsia="Arial" w:hAnsi="Arial"/>
                <w:sz w:val="18"/>
                <w:szCs w:val="18"/>
                <w:color w:val="auto"/>
                <w:w w:val="94"/>
              </w:rPr>
              <w:t>(unaudited)</w:t>
            </w:r>
          </w:p>
        </w:tc>
        <w:tc>
          <w:tcPr>
            <w:tcW w:w="880" w:type="dxa"/>
            <w:vAlign w:val="bottom"/>
            <w:tcBorders>
              <w:bottom w:val="single" w:sz="8" w:color="CCEEFF"/>
            </w:tcBorders>
            <w:shd w:val="clear" w:color="auto" w:fill="CCEEFF"/>
          </w:tcPr>
          <w:p>
            <w:pPr>
              <w:spacing w:after="0"/>
              <w:rPr>
                <w:sz w:val="21"/>
                <w:szCs w:val="21"/>
                <w:color w:val="auto"/>
              </w:rPr>
            </w:pPr>
          </w:p>
        </w:tc>
      </w:tr>
      <w:tr>
        <w:trPr>
          <w:trHeight w:val="243"/>
        </w:trPr>
        <w:tc>
          <w:tcPr>
            <w:tcW w:w="5540" w:type="dxa"/>
            <w:vAlign w:val="bottom"/>
          </w:tcPr>
          <w:p>
            <w:pPr>
              <w:ind w:left="20"/>
              <w:spacing w:after="0"/>
              <w:rPr>
                <w:sz w:val="20"/>
                <w:szCs w:val="20"/>
                <w:color w:val="auto"/>
              </w:rPr>
            </w:pPr>
            <w:r>
              <w:rPr>
                <w:rFonts w:ascii="Arial" w:cs="Arial" w:eastAsia="Arial" w:hAnsi="Arial"/>
                <w:sz w:val="18"/>
                <w:szCs w:val="18"/>
                <w:color w:val="auto"/>
              </w:rPr>
              <w:t>Net revenues</w:t>
            </w:r>
          </w:p>
        </w:tc>
        <w:tc>
          <w:tcPr>
            <w:tcW w:w="920" w:type="dxa"/>
            <w:vAlign w:val="bottom"/>
          </w:tcPr>
          <w:p>
            <w:pPr>
              <w:spacing w:after="0"/>
              <w:rPr>
                <w:sz w:val="21"/>
                <w:szCs w:val="21"/>
                <w:color w:val="auto"/>
              </w:rPr>
            </w:pPr>
          </w:p>
        </w:tc>
        <w:tc>
          <w:tcPr>
            <w:tcW w:w="660" w:type="dxa"/>
            <w:vAlign w:val="bottom"/>
            <w:gridSpan w:val="2"/>
          </w:tcPr>
          <w:p>
            <w:pPr>
              <w:ind w:left="160"/>
              <w:spacing w:after="0"/>
              <w:rPr>
                <w:sz w:val="20"/>
                <w:szCs w:val="20"/>
                <w:color w:val="auto"/>
              </w:rPr>
            </w:pPr>
            <w:r>
              <w:rPr>
                <w:rFonts w:ascii="Arial" w:cs="Arial" w:eastAsia="Arial" w:hAnsi="Arial"/>
                <w:sz w:val="18"/>
                <w:szCs w:val="18"/>
                <w:color w:val="auto"/>
              </w:rPr>
              <w:t>—</w:t>
            </w:r>
          </w:p>
        </w:tc>
        <w:tc>
          <w:tcPr>
            <w:tcW w:w="340" w:type="dxa"/>
            <w:vAlign w:val="bottom"/>
          </w:tcPr>
          <w:p>
            <w:pPr>
              <w:jc w:val="right"/>
              <w:ind w:right="130"/>
              <w:spacing w:after="0"/>
              <w:rPr>
                <w:sz w:val="20"/>
                <w:szCs w:val="20"/>
                <w:color w:val="auto"/>
              </w:rPr>
            </w:pPr>
            <w:r>
              <w:rPr>
                <w:rFonts w:ascii="Arial" w:cs="Arial" w:eastAsia="Arial" w:hAnsi="Arial"/>
                <w:sz w:val="18"/>
                <w:szCs w:val="18"/>
                <w:color w:val="auto"/>
                <w:w w:val="99"/>
              </w:rPr>
              <w:t>$</w:t>
            </w:r>
          </w:p>
        </w:tc>
        <w:tc>
          <w:tcPr>
            <w:tcW w:w="900" w:type="dxa"/>
            <w:vAlign w:val="bottom"/>
          </w:tcPr>
          <w:p>
            <w:pPr>
              <w:jc w:val="right"/>
              <w:ind w:right="12"/>
              <w:spacing w:after="0"/>
              <w:rPr>
                <w:sz w:val="20"/>
                <w:szCs w:val="20"/>
                <w:color w:val="auto"/>
              </w:rPr>
            </w:pPr>
            <w:r>
              <w:rPr>
                <w:rFonts w:ascii="Arial" w:cs="Arial" w:eastAsia="Arial" w:hAnsi="Arial"/>
                <w:sz w:val="18"/>
                <w:szCs w:val="18"/>
                <w:color w:val="auto"/>
                <w:w w:val="97"/>
              </w:rPr>
              <w:t>2,283,440</w:t>
            </w:r>
          </w:p>
        </w:tc>
        <w:tc>
          <w:tcPr>
            <w:tcW w:w="22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200" w:type="dxa"/>
            <w:vAlign w:val="bottom"/>
            <w:gridSpan w:val="2"/>
          </w:tcPr>
          <w:p>
            <w:pPr>
              <w:ind w:left="700"/>
              <w:spacing w:after="0"/>
              <w:rPr>
                <w:sz w:val="20"/>
                <w:szCs w:val="20"/>
                <w:color w:val="auto"/>
              </w:rPr>
            </w:pPr>
            <w:r>
              <w:rPr>
                <w:rFonts w:ascii="Arial" w:cs="Arial" w:eastAsia="Arial" w:hAnsi="Arial"/>
                <w:sz w:val="18"/>
                <w:szCs w:val="18"/>
                <w:color w:val="auto"/>
              </w:rPr>
              <w:t>—</w:t>
            </w:r>
          </w:p>
        </w:tc>
        <w:tc>
          <w:tcPr>
            <w:tcW w:w="360" w:type="dxa"/>
            <w:vAlign w:val="bottom"/>
          </w:tcPr>
          <w:p>
            <w:pPr>
              <w:jc w:val="right"/>
              <w:ind w:right="150"/>
              <w:spacing w:after="0"/>
              <w:rPr>
                <w:sz w:val="20"/>
                <w:szCs w:val="20"/>
                <w:color w:val="auto"/>
              </w:rPr>
            </w:pPr>
            <w:r>
              <w:rPr>
                <w:rFonts w:ascii="Arial" w:cs="Arial" w:eastAsia="Arial" w:hAnsi="Arial"/>
                <w:sz w:val="18"/>
                <w:szCs w:val="18"/>
                <w:color w:val="auto"/>
                <w:w w:val="99"/>
              </w:rPr>
              <w:t>$</w:t>
            </w:r>
          </w:p>
        </w:tc>
        <w:tc>
          <w:tcPr>
            <w:tcW w:w="880" w:type="dxa"/>
            <w:vAlign w:val="bottom"/>
          </w:tcPr>
          <w:p>
            <w:pPr>
              <w:jc w:val="right"/>
              <w:ind w:right="12"/>
              <w:spacing w:after="0"/>
              <w:rPr>
                <w:sz w:val="20"/>
                <w:szCs w:val="20"/>
                <w:color w:val="auto"/>
              </w:rPr>
            </w:pPr>
            <w:r>
              <w:rPr>
                <w:rFonts w:ascii="Arial" w:cs="Arial" w:eastAsia="Arial" w:hAnsi="Arial"/>
                <w:sz w:val="18"/>
                <w:szCs w:val="18"/>
                <w:color w:val="auto"/>
                <w:w w:val="94"/>
              </w:rPr>
              <w:t>5,314,927</w:t>
            </w:r>
          </w:p>
        </w:tc>
      </w:tr>
      <w:tr>
        <w:trPr>
          <w:trHeight w:val="27"/>
        </w:trPr>
        <w:tc>
          <w:tcPr>
            <w:tcW w:w="5540" w:type="dxa"/>
            <w:vAlign w:val="bottom"/>
          </w:tcPr>
          <w:p>
            <w:pPr>
              <w:spacing w:after="0"/>
              <w:rPr>
                <w:sz w:val="2"/>
                <w:szCs w:val="2"/>
                <w:color w:val="auto"/>
              </w:rPr>
            </w:pPr>
          </w:p>
        </w:tc>
        <w:tc>
          <w:tcPr>
            <w:tcW w:w="920" w:type="dxa"/>
            <w:vAlign w:val="bottom"/>
          </w:tcPr>
          <w:p>
            <w:pPr>
              <w:spacing w:after="0"/>
              <w:rPr>
                <w:sz w:val="2"/>
                <w:szCs w:val="2"/>
                <w:color w:val="auto"/>
              </w:rPr>
            </w:pPr>
          </w:p>
        </w:tc>
        <w:tc>
          <w:tcPr>
            <w:tcW w:w="460" w:type="dxa"/>
            <w:vAlign w:val="bottom"/>
          </w:tcPr>
          <w:p>
            <w:pPr>
              <w:spacing w:after="0"/>
              <w:rPr>
                <w:sz w:val="2"/>
                <w:szCs w:val="2"/>
                <w:color w:val="auto"/>
              </w:rPr>
            </w:pPr>
          </w:p>
        </w:tc>
        <w:tc>
          <w:tcPr>
            <w:tcW w:w="200" w:type="dxa"/>
            <w:vAlign w:val="bottom"/>
          </w:tcPr>
          <w:p>
            <w:pPr>
              <w:spacing w:after="0"/>
              <w:rPr>
                <w:sz w:val="2"/>
                <w:szCs w:val="2"/>
                <w:color w:val="auto"/>
              </w:rPr>
            </w:pPr>
          </w:p>
        </w:tc>
        <w:tc>
          <w:tcPr>
            <w:tcW w:w="340" w:type="dxa"/>
            <w:vAlign w:val="bottom"/>
          </w:tcPr>
          <w:p>
            <w:pPr>
              <w:spacing w:after="0"/>
              <w:rPr>
                <w:sz w:val="2"/>
                <w:szCs w:val="2"/>
                <w:color w:val="auto"/>
              </w:rPr>
            </w:pPr>
          </w:p>
        </w:tc>
        <w:tc>
          <w:tcPr>
            <w:tcW w:w="900" w:type="dxa"/>
            <w:vAlign w:val="bottom"/>
          </w:tcPr>
          <w:p>
            <w:pPr>
              <w:spacing w:after="0"/>
              <w:rPr>
                <w:sz w:val="2"/>
                <w:szCs w:val="2"/>
                <w:color w:val="auto"/>
              </w:rPr>
            </w:pPr>
          </w:p>
        </w:tc>
        <w:tc>
          <w:tcPr>
            <w:tcW w:w="220" w:type="dxa"/>
            <w:vAlign w:val="bottom"/>
          </w:tcPr>
          <w:p>
            <w:pPr>
              <w:spacing w:after="0"/>
              <w:rPr>
                <w:sz w:val="2"/>
                <w:szCs w:val="2"/>
                <w:color w:val="auto"/>
              </w:rPr>
            </w:pPr>
          </w:p>
        </w:tc>
        <w:tc>
          <w:tcPr>
            <w:tcW w:w="260" w:type="dxa"/>
            <w:vAlign w:val="bottom"/>
          </w:tcPr>
          <w:p>
            <w:pPr>
              <w:spacing w:after="0"/>
              <w:rPr>
                <w:sz w:val="2"/>
                <w:szCs w:val="2"/>
                <w:color w:val="auto"/>
              </w:rPr>
            </w:pPr>
          </w:p>
        </w:tc>
        <w:tc>
          <w:tcPr>
            <w:tcW w:w="980" w:type="dxa"/>
            <w:vAlign w:val="bottom"/>
          </w:tcPr>
          <w:p>
            <w:pPr>
              <w:spacing w:after="0"/>
              <w:rPr>
                <w:sz w:val="2"/>
                <w:szCs w:val="2"/>
                <w:color w:val="auto"/>
              </w:rPr>
            </w:pPr>
          </w:p>
        </w:tc>
        <w:tc>
          <w:tcPr>
            <w:tcW w:w="220" w:type="dxa"/>
            <w:vAlign w:val="bottom"/>
          </w:tcPr>
          <w:p>
            <w:pPr>
              <w:spacing w:after="0"/>
              <w:rPr>
                <w:sz w:val="2"/>
                <w:szCs w:val="2"/>
                <w:color w:val="auto"/>
              </w:rPr>
            </w:pPr>
          </w:p>
        </w:tc>
        <w:tc>
          <w:tcPr>
            <w:tcW w:w="360" w:type="dxa"/>
            <w:vAlign w:val="bottom"/>
          </w:tcPr>
          <w:p>
            <w:pPr>
              <w:spacing w:after="0"/>
              <w:rPr>
                <w:sz w:val="2"/>
                <w:szCs w:val="2"/>
                <w:color w:val="auto"/>
              </w:rPr>
            </w:pPr>
          </w:p>
        </w:tc>
        <w:tc>
          <w:tcPr>
            <w:tcW w:w="880" w:type="dxa"/>
            <w:vAlign w:val="bottom"/>
          </w:tcPr>
          <w:p>
            <w:pPr>
              <w:spacing w:after="0"/>
              <w:rPr>
                <w:sz w:val="2"/>
                <w:szCs w:val="2"/>
                <w:color w:val="auto"/>
              </w:rPr>
            </w:pPr>
          </w:p>
        </w:tc>
      </w:tr>
      <w:tr>
        <w:trPr>
          <w:trHeight w:val="250"/>
        </w:trPr>
        <w:tc>
          <w:tcPr>
            <w:tcW w:w="55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Cost of revenues</w:t>
            </w:r>
          </w:p>
        </w:tc>
        <w:tc>
          <w:tcPr>
            <w:tcW w:w="920" w:type="dxa"/>
            <w:vAlign w:val="bottom"/>
            <w:tcBorders>
              <w:bottom w:val="single" w:sz="8" w:color="CCEEFF"/>
            </w:tcBorders>
            <w:shd w:val="clear" w:color="auto" w:fill="CCEEFF"/>
          </w:tcPr>
          <w:p>
            <w:pPr>
              <w:spacing w:after="0"/>
              <w:rPr>
                <w:sz w:val="21"/>
                <w:szCs w:val="21"/>
                <w:color w:val="auto"/>
              </w:rPr>
            </w:pPr>
          </w:p>
        </w:tc>
        <w:tc>
          <w:tcPr>
            <w:tcW w:w="660" w:type="dxa"/>
            <w:vAlign w:val="bottom"/>
            <w:tcBorders>
              <w:bottom w:val="single" w:sz="8" w:color="CCEEFF"/>
            </w:tcBorders>
            <w:gridSpan w:val="2"/>
            <w:shd w:val="clear" w:color="auto" w:fill="CCEEFF"/>
          </w:tcPr>
          <w:p>
            <w:pPr>
              <w:ind w:left="160"/>
              <w:spacing w:after="0"/>
              <w:rPr>
                <w:sz w:val="20"/>
                <w:szCs w:val="20"/>
                <w:color w:val="auto"/>
              </w:rPr>
            </w:pPr>
            <w:r>
              <w:rPr>
                <w:rFonts w:ascii="Arial" w:cs="Arial" w:eastAsia="Arial" w:hAnsi="Arial"/>
                <w:sz w:val="18"/>
                <w:szCs w:val="18"/>
                <w:color w:val="auto"/>
              </w:rPr>
              <w:t>—</w:t>
            </w:r>
          </w:p>
        </w:tc>
        <w:tc>
          <w:tcPr>
            <w:tcW w:w="340" w:type="dxa"/>
            <w:vAlign w:val="bottom"/>
            <w:tcBorders>
              <w:bottom w:val="single" w:sz="8" w:color="CCEEFF"/>
            </w:tcBorders>
            <w:shd w:val="clear" w:color="auto" w:fill="CCEEFF"/>
          </w:tcPr>
          <w:p>
            <w:pPr>
              <w:spacing w:after="0"/>
              <w:rPr>
                <w:sz w:val="21"/>
                <w:szCs w:val="21"/>
                <w:color w:val="auto"/>
              </w:rPr>
            </w:pPr>
          </w:p>
        </w:tc>
        <w:tc>
          <w:tcPr>
            <w:tcW w:w="90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w w:val="97"/>
              </w:rPr>
              <w:t>1,568,746</w:t>
            </w:r>
          </w:p>
        </w:tc>
        <w:tc>
          <w:tcPr>
            <w:tcW w:w="22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gridSpan w:val="2"/>
            <w:shd w:val="clear" w:color="auto" w:fill="CCEEFF"/>
          </w:tcPr>
          <w:p>
            <w:pPr>
              <w:ind w:left="700"/>
              <w:spacing w:after="0"/>
              <w:rPr>
                <w:sz w:val="20"/>
                <w:szCs w:val="20"/>
                <w:color w:val="auto"/>
              </w:rPr>
            </w:pPr>
            <w:r>
              <w:rPr>
                <w:rFonts w:ascii="Arial" w:cs="Arial" w:eastAsia="Arial" w:hAnsi="Arial"/>
                <w:sz w:val="18"/>
                <w:szCs w:val="18"/>
                <w:color w:val="auto"/>
              </w:rPr>
              <w:t>—</w:t>
            </w:r>
          </w:p>
        </w:tc>
        <w:tc>
          <w:tcPr>
            <w:tcW w:w="360" w:type="dxa"/>
            <w:vAlign w:val="bottom"/>
            <w:tcBorders>
              <w:bottom w:val="single" w:sz="8" w:color="CCEEFF"/>
            </w:tcBorders>
            <w:shd w:val="clear" w:color="auto" w:fill="CCEEFF"/>
          </w:tcPr>
          <w:p>
            <w:pPr>
              <w:spacing w:after="0"/>
              <w:rPr>
                <w:sz w:val="21"/>
                <w:szCs w:val="21"/>
                <w:color w:val="auto"/>
              </w:rPr>
            </w:pPr>
          </w:p>
        </w:tc>
        <w:tc>
          <w:tcPr>
            <w:tcW w:w="88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w w:val="94"/>
              </w:rPr>
              <w:t>3,801,363</w:t>
            </w:r>
          </w:p>
        </w:tc>
      </w:tr>
      <w:tr>
        <w:trPr>
          <w:trHeight w:val="243"/>
        </w:trPr>
        <w:tc>
          <w:tcPr>
            <w:tcW w:w="5540" w:type="dxa"/>
            <w:vAlign w:val="bottom"/>
          </w:tcPr>
          <w:p>
            <w:pPr>
              <w:ind w:left="20"/>
              <w:spacing w:after="0"/>
              <w:rPr>
                <w:sz w:val="20"/>
                <w:szCs w:val="20"/>
                <w:color w:val="auto"/>
              </w:rPr>
            </w:pPr>
            <w:r>
              <w:rPr>
                <w:rFonts w:ascii="Arial" w:cs="Arial" w:eastAsia="Arial" w:hAnsi="Arial"/>
                <w:sz w:val="18"/>
                <w:szCs w:val="18"/>
                <w:color w:val="auto"/>
              </w:rPr>
              <w:t>Operating expenses</w:t>
            </w:r>
          </w:p>
        </w:tc>
        <w:tc>
          <w:tcPr>
            <w:tcW w:w="920" w:type="dxa"/>
            <w:vAlign w:val="bottom"/>
          </w:tcPr>
          <w:p>
            <w:pPr>
              <w:spacing w:after="0"/>
              <w:rPr>
                <w:sz w:val="21"/>
                <w:szCs w:val="21"/>
                <w:color w:val="auto"/>
              </w:rPr>
            </w:pPr>
          </w:p>
        </w:tc>
        <w:tc>
          <w:tcPr>
            <w:tcW w:w="660" w:type="dxa"/>
            <w:vAlign w:val="bottom"/>
            <w:gridSpan w:val="2"/>
          </w:tcPr>
          <w:p>
            <w:pPr>
              <w:ind w:left="160"/>
              <w:spacing w:after="0"/>
              <w:rPr>
                <w:sz w:val="20"/>
                <w:szCs w:val="20"/>
                <w:color w:val="auto"/>
              </w:rPr>
            </w:pPr>
            <w:r>
              <w:rPr>
                <w:rFonts w:ascii="Arial" w:cs="Arial" w:eastAsia="Arial" w:hAnsi="Arial"/>
                <w:sz w:val="18"/>
                <w:szCs w:val="18"/>
                <w:color w:val="auto"/>
              </w:rPr>
              <w:t>—</w:t>
            </w:r>
          </w:p>
        </w:tc>
        <w:tc>
          <w:tcPr>
            <w:tcW w:w="340" w:type="dxa"/>
            <w:vAlign w:val="bottom"/>
          </w:tcPr>
          <w:p>
            <w:pPr>
              <w:spacing w:after="0"/>
              <w:rPr>
                <w:sz w:val="21"/>
                <w:szCs w:val="21"/>
                <w:color w:val="auto"/>
              </w:rPr>
            </w:pPr>
          </w:p>
        </w:tc>
        <w:tc>
          <w:tcPr>
            <w:tcW w:w="900" w:type="dxa"/>
            <w:vAlign w:val="bottom"/>
          </w:tcPr>
          <w:p>
            <w:pPr>
              <w:jc w:val="right"/>
              <w:ind w:right="12"/>
              <w:spacing w:after="0"/>
              <w:rPr>
                <w:sz w:val="20"/>
                <w:szCs w:val="20"/>
                <w:color w:val="auto"/>
              </w:rPr>
            </w:pPr>
            <w:r>
              <w:rPr>
                <w:rFonts w:ascii="Arial" w:cs="Arial" w:eastAsia="Arial" w:hAnsi="Arial"/>
                <w:sz w:val="18"/>
                <w:szCs w:val="18"/>
                <w:color w:val="auto"/>
                <w:w w:val="97"/>
              </w:rPr>
              <w:t>1,013,511</w:t>
            </w:r>
          </w:p>
        </w:tc>
        <w:tc>
          <w:tcPr>
            <w:tcW w:w="22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200" w:type="dxa"/>
            <w:vAlign w:val="bottom"/>
            <w:gridSpan w:val="2"/>
          </w:tcPr>
          <w:p>
            <w:pPr>
              <w:ind w:left="700"/>
              <w:spacing w:after="0"/>
              <w:rPr>
                <w:sz w:val="20"/>
                <w:szCs w:val="20"/>
                <w:color w:val="auto"/>
              </w:rPr>
            </w:pPr>
            <w:r>
              <w:rPr>
                <w:rFonts w:ascii="Arial" w:cs="Arial" w:eastAsia="Arial" w:hAnsi="Arial"/>
                <w:sz w:val="18"/>
                <w:szCs w:val="18"/>
                <w:color w:val="auto"/>
              </w:rPr>
              <w:t>—</w:t>
            </w:r>
          </w:p>
        </w:tc>
        <w:tc>
          <w:tcPr>
            <w:tcW w:w="360" w:type="dxa"/>
            <w:vAlign w:val="bottom"/>
          </w:tcPr>
          <w:p>
            <w:pPr>
              <w:spacing w:after="0"/>
              <w:rPr>
                <w:sz w:val="21"/>
                <w:szCs w:val="21"/>
                <w:color w:val="auto"/>
              </w:rPr>
            </w:pPr>
          </w:p>
        </w:tc>
        <w:tc>
          <w:tcPr>
            <w:tcW w:w="880" w:type="dxa"/>
            <w:vAlign w:val="bottom"/>
          </w:tcPr>
          <w:p>
            <w:pPr>
              <w:jc w:val="right"/>
              <w:ind w:right="12"/>
              <w:spacing w:after="0"/>
              <w:rPr>
                <w:sz w:val="20"/>
                <w:szCs w:val="20"/>
                <w:color w:val="auto"/>
              </w:rPr>
            </w:pPr>
            <w:r>
              <w:rPr>
                <w:rFonts w:ascii="Arial" w:cs="Arial" w:eastAsia="Arial" w:hAnsi="Arial"/>
                <w:sz w:val="18"/>
                <w:szCs w:val="18"/>
                <w:color w:val="auto"/>
                <w:w w:val="94"/>
              </w:rPr>
              <w:t>2,303,098</w:t>
            </w:r>
          </w:p>
        </w:tc>
      </w:tr>
      <w:tr>
        <w:trPr>
          <w:trHeight w:val="27"/>
        </w:trPr>
        <w:tc>
          <w:tcPr>
            <w:tcW w:w="5540" w:type="dxa"/>
            <w:vAlign w:val="bottom"/>
          </w:tcPr>
          <w:p>
            <w:pPr>
              <w:spacing w:after="0"/>
              <w:rPr>
                <w:sz w:val="2"/>
                <w:szCs w:val="2"/>
                <w:color w:val="auto"/>
              </w:rPr>
            </w:pPr>
          </w:p>
        </w:tc>
        <w:tc>
          <w:tcPr>
            <w:tcW w:w="920" w:type="dxa"/>
            <w:vAlign w:val="bottom"/>
          </w:tcPr>
          <w:p>
            <w:pPr>
              <w:spacing w:after="0"/>
              <w:rPr>
                <w:sz w:val="2"/>
                <w:szCs w:val="2"/>
                <w:color w:val="auto"/>
              </w:rPr>
            </w:pPr>
          </w:p>
        </w:tc>
        <w:tc>
          <w:tcPr>
            <w:tcW w:w="460" w:type="dxa"/>
            <w:vAlign w:val="bottom"/>
          </w:tcPr>
          <w:p>
            <w:pPr>
              <w:spacing w:after="0"/>
              <w:rPr>
                <w:sz w:val="2"/>
                <w:szCs w:val="2"/>
                <w:color w:val="auto"/>
              </w:rPr>
            </w:pPr>
          </w:p>
        </w:tc>
        <w:tc>
          <w:tcPr>
            <w:tcW w:w="200" w:type="dxa"/>
            <w:vAlign w:val="bottom"/>
          </w:tcPr>
          <w:p>
            <w:pPr>
              <w:spacing w:after="0"/>
              <w:rPr>
                <w:sz w:val="2"/>
                <w:szCs w:val="2"/>
                <w:color w:val="auto"/>
              </w:rPr>
            </w:pPr>
          </w:p>
        </w:tc>
        <w:tc>
          <w:tcPr>
            <w:tcW w:w="340" w:type="dxa"/>
            <w:vAlign w:val="bottom"/>
          </w:tcPr>
          <w:p>
            <w:pPr>
              <w:spacing w:after="0"/>
              <w:rPr>
                <w:sz w:val="2"/>
                <w:szCs w:val="2"/>
                <w:color w:val="auto"/>
              </w:rPr>
            </w:pPr>
          </w:p>
        </w:tc>
        <w:tc>
          <w:tcPr>
            <w:tcW w:w="900" w:type="dxa"/>
            <w:vAlign w:val="bottom"/>
          </w:tcPr>
          <w:p>
            <w:pPr>
              <w:spacing w:after="0"/>
              <w:rPr>
                <w:sz w:val="2"/>
                <w:szCs w:val="2"/>
                <w:color w:val="auto"/>
              </w:rPr>
            </w:pPr>
          </w:p>
        </w:tc>
        <w:tc>
          <w:tcPr>
            <w:tcW w:w="220" w:type="dxa"/>
            <w:vAlign w:val="bottom"/>
          </w:tcPr>
          <w:p>
            <w:pPr>
              <w:spacing w:after="0"/>
              <w:rPr>
                <w:sz w:val="2"/>
                <w:szCs w:val="2"/>
                <w:color w:val="auto"/>
              </w:rPr>
            </w:pPr>
          </w:p>
        </w:tc>
        <w:tc>
          <w:tcPr>
            <w:tcW w:w="260" w:type="dxa"/>
            <w:vAlign w:val="bottom"/>
          </w:tcPr>
          <w:p>
            <w:pPr>
              <w:spacing w:after="0"/>
              <w:rPr>
                <w:sz w:val="2"/>
                <w:szCs w:val="2"/>
                <w:color w:val="auto"/>
              </w:rPr>
            </w:pPr>
          </w:p>
        </w:tc>
        <w:tc>
          <w:tcPr>
            <w:tcW w:w="980" w:type="dxa"/>
            <w:vAlign w:val="bottom"/>
          </w:tcPr>
          <w:p>
            <w:pPr>
              <w:spacing w:after="0"/>
              <w:rPr>
                <w:sz w:val="2"/>
                <w:szCs w:val="2"/>
                <w:color w:val="auto"/>
              </w:rPr>
            </w:pPr>
          </w:p>
        </w:tc>
        <w:tc>
          <w:tcPr>
            <w:tcW w:w="220" w:type="dxa"/>
            <w:vAlign w:val="bottom"/>
          </w:tcPr>
          <w:p>
            <w:pPr>
              <w:spacing w:after="0"/>
              <w:rPr>
                <w:sz w:val="2"/>
                <w:szCs w:val="2"/>
                <w:color w:val="auto"/>
              </w:rPr>
            </w:pPr>
          </w:p>
        </w:tc>
        <w:tc>
          <w:tcPr>
            <w:tcW w:w="360" w:type="dxa"/>
            <w:vAlign w:val="bottom"/>
          </w:tcPr>
          <w:p>
            <w:pPr>
              <w:spacing w:after="0"/>
              <w:rPr>
                <w:sz w:val="2"/>
                <w:szCs w:val="2"/>
                <w:color w:val="auto"/>
              </w:rPr>
            </w:pPr>
          </w:p>
        </w:tc>
        <w:tc>
          <w:tcPr>
            <w:tcW w:w="880" w:type="dxa"/>
            <w:vAlign w:val="bottom"/>
          </w:tcPr>
          <w:p>
            <w:pPr>
              <w:spacing w:after="0"/>
              <w:rPr>
                <w:sz w:val="2"/>
                <w:szCs w:val="2"/>
                <w:color w:val="auto"/>
              </w:rPr>
            </w:pPr>
          </w:p>
        </w:tc>
      </w:tr>
      <w:tr>
        <w:trPr>
          <w:trHeight w:val="270"/>
        </w:trPr>
        <w:tc>
          <w:tcPr>
            <w:tcW w:w="55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Other expenses</w:t>
            </w:r>
          </w:p>
        </w:tc>
        <w:tc>
          <w:tcPr>
            <w:tcW w:w="920" w:type="dxa"/>
            <w:vAlign w:val="bottom"/>
            <w:tcBorders>
              <w:bottom w:val="single" w:sz="8" w:color="CCEEFF"/>
            </w:tcBorders>
            <w:shd w:val="clear" w:color="auto" w:fill="CCEEFF"/>
          </w:tcPr>
          <w:p>
            <w:pPr>
              <w:spacing w:after="0"/>
              <w:rPr>
                <w:sz w:val="23"/>
                <w:szCs w:val="23"/>
                <w:color w:val="auto"/>
              </w:rPr>
            </w:pPr>
          </w:p>
        </w:tc>
        <w:tc>
          <w:tcPr>
            <w:tcW w:w="660" w:type="dxa"/>
            <w:vAlign w:val="bottom"/>
            <w:tcBorders>
              <w:bottom w:val="single" w:sz="8" w:color="CCEEFF"/>
            </w:tcBorders>
            <w:gridSpan w:val="2"/>
            <w:shd w:val="clear" w:color="auto" w:fill="CCEEFF"/>
          </w:tcPr>
          <w:p>
            <w:pPr>
              <w:ind w:left="160"/>
              <w:spacing w:after="0"/>
              <w:rPr>
                <w:sz w:val="20"/>
                <w:szCs w:val="20"/>
                <w:color w:val="auto"/>
              </w:rPr>
            </w:pPr>
            <w:r>
              <w:rPr>
                <w:rFonts w:ascii="Arial" w:cs="Arial" w:eastAsia="Arial" w:hAnsi="Arial"/>
                <w:sz w:val="18"/>
                <w:szCs w:val="18"/>
                <w:color w:val="auto"/>
              </w:rPr>
              <w:t>—</w:t>
            </w:r>
          </w:p>
        </w:tc>
        <w:tc>
          <w:tcPr>
            <w:tcW w:w="340" w:type="dxa"/>
            <w:vAlign w:val="bottom"/>
            <w:tcBorders>
              <w:bottom w:val="single" w:sz="8" w:color="CCEEFF"/>
            </w:tcBorders>
            <w:shd w:val="clear" w:color="auto" w:fill="CCEEFF"/>
          </w:tcPr>
          <w:p>
            <w:pPr>
              <w:spacing w:after="0"/>
              <w:rPr>
                <w:sz w:val="23"/>
                <w:szCs w:val="23"/>
                <w:color w:val="auto"/>
              </w:rPr>
            </w:pPr>
          </w:p>
        </w:tc>
        <w:tc>
          <w:tcPr>
            <w:tcW w:w="1120" w:type="dxa"/>
            <w:vAlign w:val="bottom"/>
            <w:tcBorders>
              <w:bottom w:val="single" w:sz="8" w:color="CCEEFF"/>
            </w:tcBorders>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w:t>
            </w:r>
          </w:p>
        </w:tc>
        <w:tc>
          <w:tcPr>
            <w:tcW w:w="260" w:type="dxa"/>
            <w:vAlign w:val="bottom"/>
            <w:tcBorders>
              <w:bottom w:val="single" w:sz="8" w:color="CCEEFF"/>
            </w:tcBorders>
            <w:shd w:val="clear" w:color="auto" w:fill="CCEEFF"/>
          </w:tcPr>
          <w:p>
            <w:pPr>
              <w:spacing w:after="0"/>
              <w:rPr>
                <w:sz w:val="23"/>
                <w:szCs w:val="23"/>
                <w:color w:val="auto"/>
              </w:rPr>
            </w:pPr>
          </w:p>
        </w:tc>
        <w:tc>
          <w:tcPr>
            <w:tcW w:w="1200" w:type="dxa"/>
            <w:vAlign w:val="bottom"/>
            <w:tcBorders>
              <w:bottom w:val="single" w:sz="8" w:color="CCEEFF"/>
            </w:tcBorders>
            <w:gridSpan w:val="2"/>
            <w:shd w:val="clear" w:color="auto" w:fill="CCEEFF"/>
          </w:tcPr>
          <w:p>
            <w:pPr>
              <w:ind w:left="700"/>
              <w:spacing w:after="0"/>
              <w:rPr>
                <w:sz w:val="20"/>
                <w:szCs w:val="20"/>
                <w:color w:val="auto"/>
              </w:rPr>
            </w:pPr>
            <w:r>
              <w:rPr>
                <w:rFonts w:ascii="Arial" w:cs="Arial" w:eastAsia="Arial" w:hAnsi="Arial"/>
                <w:sz w:val="18"/>
                <w:szCs w:val="18"/>
                <w:color w:val="auto"/>
              </w:rPr>
              <w:t>—</w:t>
            </w:r>
          </w:p>
        </w:tc>
        <w:tc>
          <w:tcPr>
            <w:tcW w:w="360" w:type="dxa"/>
            <w:vAlign w:val="bottom"/>
            <w:tcBorders>
              <w:bottom w:val="single" w:sz="8" w:color="CCEEFF"/>
            </w:tcBorders>
            <w:shd w:val="clear" w:color="auto" w:fill="CCEEFF"/>
          </w:tcPr>
          <w:p>
            <w:pPr>
              <w:spacing w:after="0"/>
              <w:rPr>
                <w:sz w:val="23"/>
                <w:szCs w:val="23"/>
                <w:color w:val="auto"/>
              </w:rPr>
            </w:pPr>
          </w:p>
        </w:tc>
        <w:tc>
          <w:tcPr>
            <w:tcW w:w="88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w:t>
            </w:r>
          </w:p>
        </w:tc>
      </w:tr>
      <w:tr>
        <w:trPr>
          <w:trHeight w:val="237"/>
        </w:trPr>
        <w:tc>
          <w:tcPr>
            <w:tcW w:w="5540" w:type="dxa"/>
            <w:vAlign w:val="bottom"/>
          </w:tcPr>
          <w:p>
            <w:pPr>
              <w:ind w:left="20"/>
              <w:spacing w:after="0"/>
              <w:rPr>
                <w:sz w:val="20"/>
                <w:szCs w:val="20"/>
                <w:color w:val="auto"/>
              </w:rPr>
            </w:pPr>
            <w:r>
              <w:rPr>
                <w:rFonts w:ascii="Arial" w:cs="Arial" w:eastAsia="Arial" w:hAnsi="Arial"/>
                <w:sz w:val="18"/>
                <w:szCs w:val="18"/>
                <w:color w:val="auto"/>
              </w:rPr>
              <w:t>Loss before income taxes</w:t>
            </w:r>
          </w:p>
        </w:tc>
        <w:tc>
          <w:tcPr>
            <w:tcW w:w="920" w:type="dxa"/>
            <w:vAlign w:val="bottom"/>
            <w:tcBorders>
              <w:top w:val="single" w:sz="8" w:color="auto"/>
            </w:tcBorders>
          </w:tcPr>
          <w:p>
            <w:pPr>
              <w:spacing w:after="0"/>
              <w:rPr>
                <w:sz w:val="20"/>
                <w:szCs w:val="20"/>
                <w:color w:val="auto"/>
              </w:rPr>
            </w:pPr>
          </w:p>
        </w:tc>
        <w:tc>
          <w:tcPr>
            <w:tcW w:w="460" w:type="dxa"/>
            <w:vAlign w:val="bottom"/>
            <w:tcBorders>
              <w:top w:val="single" w:sz="8" w:color="auto"/>
            </w:tcBorders>
          </w:tcPr>
          <w:p>
            <w:pPr>
              <w:ind w:left="16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20"/>
                <w:szCs w:val="20"/>
                <w:color w:val="auto"/>
              </w:rPr>
            </w:pPr>
          </w:p>
        </w:tc>
        <w:tc>
          <w:tcPr>
            <w:tcW w:w="340" w:type="dxa"/>
            <w:vAlign w:val="bottom"/>
            <w:tcBorders>
              <w:top w:val="single" w:sz="8" w:color="auto"/>
            </w:tcBorders>
          </w:tcPr>
          <w:p>
            <w:pPr>
              <w:spacing w:after="0"/>
              <w:rPr>
                <w:sz w:val="20"/>
                <w:szCs w:val="20"/>
                <w:color w:val="auto"/>
              </w:rPr>
            </w:pPr>
          </w:p>
        </w:tc>
        <w:tc>
          <w:tcPr>
            <w:tcW w:w="9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(298,817)</w:t>
            </w:r>
          </w:p>
        </w:tc>
        <w:tc>
          <w:tcPr>
            <w:tcW w:w="220" w:type="dxa"/>
            <w:vAlign w:val="bottom"/>
          </w:tcPr>
          <w:p>
            <w:pPr>
              <w:spacing w:after="0"/>
              <w:rPr>
                <w:sz w:val="20"/>
                <w:szCs w:val="20"/>
                <w:color w:val="auto"/>
              </w:rPr>
            </w:pPr>
          </w:p>
        </w:tc>
        <w:tc>
          <w:tcPr>
            <w:tcW w:w="260" w:type="dxa"/>
            <w:vAlign w:val="bottom"/>
            <w:tcBorders>
              <w:top w:val="single" w:sz="8" w:color="auto"/>
            </w:tcBorders>
          </w:tcPr>
          <w:p>
            <w:pPr>
              <w:spacing w:after="0"/>
              <w:rPr>
                <w:sz w:val="20"/>
                <w:szCs w:val="20"/>
                <w:color w:val="auto"/>
              </w:rPr>
            </w:pPr>
          </w:p>
        </w:tc>
        <w:tc>
          <w:tcPr>
            <w:tcW w:w="980" w:type="dxa"/>
            <w:vAlign w:val="bottom"/>
            <w:tcBorders>
              <w:top w:val="single" w:sz="8" w:color="auto"/>
            </w:tcBorders>
          </w:tcPr>
          <w:p>
            <w:pPr>
              <w:ind w:left="700"/>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20"/>
                <w:szCs w:val="20"/>
                <w:color w:val="auto"/>
              </w:rPr>
            </w:pPr>
          </w:p>
        </w:tc>
        <w:tc>
          <w:tcPr>
            <w:tcW w:w="360" w:type="dxa"/>
            <w:vAlign w:val="bottom"/>
            <w:tcBorders>
              <w:top w:val="single" w:sz="8" w:color="auto"/>
            </w:tcBorders>
          </w:tcPr>
          <w:p>
            <w:pPr>
              <w:spacing w:after="0"/>
              <w:rPr>
                <w:sz w:val="20"/>
                <w:szCs w:val="20"/>
                <w:color w:val="auto"/>
              </w:rPr>
            </w:pPr>
          </w:p>
        </w:tc>
        <w:tc>
          <w:tcPr>
            <w:tcW w:w="8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(789,534)</w:t>
            </w:r>
          </w:p>
        </w:tc>
      </w:tr>
      <w:tr>
        <w:trPr>
          <w:trHeight w:val="27"/>
        </w:trPr>
        <w:tc>
          <w:tcPr>
            <w:tcW w:w="5540" w:type="dxa"/>
            <w:vAlign w:val="bottom"/>
          </w:tcPr>
          <w:p>
            <w:pPr>
              <w:spacing w:after="0"/>
              <w:rPr>
                <w:sz w:val="2"/>
                <w:szCs w:val="2"/>
                <w:color w:val="auto"/>
              </w:rPr>
            </w:pPr>
          </w:p>
        </w:tc>
        <w:tc>
          <w:tcPr>
            <w:tcW w:w="920" w:type="dxa"/>
            <w:vAlign w:val="bottom"/>
          </w:tcPr>
          <w:p>
            <w:pPr>
              <w:spacing w:after="0"/>
              <w:rPr>
                <w:sz w:val="2"/>
                <w:szCs w:val="2"/>
                <w:color w:val="auto"/>
              </w:rPr>
            </w:pPr>
          </w:p>
        </w:tc>
        <w:tc>
          <w:tcPr>
            <w:tcW w:w="460" w:type="dxa"/>
            <w:vAlign w:val="bottom"/>
          </w:tcPr>
          <w:p>
            <w:pPr>
              <w:spacing w:after="0"/>
              <w:rPr>
                <w:sz w:val="2"/>
                <w:szCs w:val="2"/>
                <w:color w:val="auto"/>
              </w:rPr>
            </w:pPr>
          </w:p>
        </w:tc>
        <w:tc>
          <w:tcPr>
            <w:tcW w:w="200" w:type="dxa"/>
            <w:vAlign w:val="bottom"/>
          </w:tcPr>
          <w:p>
            <w:pPr>
              <w:spacing w:after="0"/>
              <w:rPr>
                <w:sz w:val="2"/>
                <w:szCs w:val="2"/>
                <w:color w:val="auto"/>
              </w:rPr>
            </w:pPr>
          </w:p>
        </w:tc>
        <w:tc>
          <w:tcPr>
            <w:tcW w:w="340" w:type="dxa"/>
            <w:vAlign w:val="bottom"/>
          </w:tcPr>
          <w:p>
            <w:pPr>
              <w:spacing w:after="0"/>
              <w:rPr>
                <w:sz w:val="2"/>
                <w:szCs w:val="2"/>
                <w:color w:val="auto"/>
              </w:rPr>
            </w:pPr>
          </w:p>
        </w:tc>
        <w:tc>
          <w:tcPr>
            <w:tcW w:w="900" w:type="dxa"/>
            <w:vAlign w:val="bottom"/>
          </w:tcPr>
          <w:p>
            <w:pPr>
              <w:spacing w:after="0"/>
              <w:rPr>
                <w:sz w:val="2"/>
                <w:szCs w:val="2"/>
                <w:color w:val="auto"/>
              </w:rPr>
            </w:pPr>
          </w:p>
        </w:tc>
        <w:tc>
          <w:tcPr>
            <w:tcW w:w="220" w:type="dxa"/>
            <w:vAlign w:val="bottom"/>
          </w:tcPr>
          <w:p>
            <w:pPr>
              <w:spacing w:after="0"/>
              <w:rPr>
                <w:sz w:val="2"/>
                <w:szCs w:val="2"/>
                <w:color w:val="auto"/>
              </w:rPr>
            </w:pPr>
          </w:p>
        </w:tc>
        <w:tc>
          <w:tcPr>
            <w:tcW w:w="260" w:type="dxa"/>
            <w:vAlign w:val="bottom"/>
          </w:tcPr>
          <w:p>
            <w:pPr>
              <w:spacing w:after="0"/>
              <w:rPr>
                <w:sz w:val="2"/>
                <w:szCs w:val="2"/>
                <w:color w:val="auto"/>
              </w:rPr>
            </w:pPr>
          </w:p>
        </w:tc>
        <w:tc>
          <w:tcPr>
            <w:tcW w:w="980" w:type="dxa"/>
            <w:vAlign w:val="bottom"/>
          </w:tcPr>
          <w:p>
            <w:pPr>
              <w:spacing w:after="0"/>
              <w:rPr>
                <w:sz w:val="2"/>
                <w:szCs w:val="2"/>
                <w:color w:val="auto"/>
              </w:rPr>
            </w:pPr>
          </w:p>
        </w:tc>
        <w:tc>
          <w:tcPr>
            <w:tcW w:w="220" w:type="dxa"/>
            <w:vAlign w:val="bottom"/>
          </w:tcPr>
          <w:p>
            <w:pPr>
              <w:spacing w:after="0"/>
              <w:rPr>
                <w:sz w:val="2"/>
                <w:szCs w:val="2"/>
                <w:color w:val="auto"/>
              </w:rPr>
            </w:pPr>
          </w:p>
        </w:tc>
        <w:tc>
          <w:tcPr>
            <w:tcW w:w="360" w:type="dxa"/>
            <w:vAlign w:val="bottom"/>
          </w:tcPr>
          <w:p>
            <w:pPr>
              <w:spacing w:after="0"/>
              <w:rPr>
                <w:sz w:val="2"/>
                <w:szCs w:val="2"/>
                <w:color w:val="auto"/>
              </w:rPr>
            </w:pPr>
          </w:p>
        </w:tc>
        <w:tc>
          <w:tcPr>
            <w:tcW w:w="880" w:type="dxa"/>
            <w:vAlign w:val="bottom"/>
          </w:tcPr>
          <w:p>
            <w:pPr>
              <w:spacing w:after="0"/>
              <w:rPr>
                <w:sz w:val="2"/>
                <w:szCs w:val="2"/>
                <w:color w:val="auto"/>
              </w:rPr>
            </w:pPr>
          </w:p>
        </w:tc>
      </w:tr>
      <w:tr>
        <w:trPr>
          <w:trHeight w:val="270"/>
        </w:trPr>
        <w:tc>
          <w:tcPr>
            <w:tcW w:w="55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Allocated tax expense</w:t>
            </w:r>
          </w:p>
        </w:tc>
        <w:tc>
          <w:tcPr>
            <w:tcW w:w="920" w:type="dxa"/>
            <w:vAlign w:val="bottom"/>
            <w:tcBorders>
              <w:bottom w:val="single" w:sz="8" w:color="CCEEFF"/>
            </w:tcBorders>
            <w:shd w:val="clear" w:color="auto" w:fill="CCEEFF"/>
          </w:tcPr>
          <w:p>
            <w:pPr>
              <w:spacing w:after="0"/>
              <w:rPr>
                <w:sz w:val="23"/>
                <w:szCs w:val="23"/>
                <w:color w:val="auto"/>
              </w:rPr>
            </w:pPr>
          </w:p>
        </w:tc>
        <w:tc>
          <w:tcPr>
            <w:tcW w:w="660" w:type="dxa"/>
            <w:vAlign w:val="bottom"/>
            <w:tcBorders>
              <w:bottom w:val="single" w:sz="8" w:color="CCEEFF"/>
            </w:tcBorders>
            <w:gridSpan w:val="2"/>
            <w:shd w:val="clear" w:color="auto" w:fill="CCEEFF"/>
          </w:tcPr>
          <w:p>
            <w:pPr>
              <w:ind w:left="160"/>
              <w:spacing w:after="0"/>
              <w:rPr>
                <w:sz w:val="20"/>
                <w:szCs w:val="20"/>
                <w:color w:val="auto"/>
              </w:rPr>
            </w:pPr>
            <w:r>
              <w:rPr>
                <w:rFonts w:ascii="Arial" w:cs="Arial" w:eastAsia="Arial" w:hAnsi="Arial"/>
                <w:sz w:val="18"/>
                <w:szCs w:val="18"/>
                <w:color w:val="auto"/>
              </w:rPr>
              <w:t>—</w:t>
            </w:r>
          </w:p>
        </w:tc>
        <w:tc>
          <w:tcPr>
            <w:tcW w:w="340" w:type="dxa"/>
            <w:vAlign w:val="bottom"/>
            <w:tcBorders>
              <w:bottom w:val="single" w:sz="8" w:color="CCEEFF"/>
            </w:tcBorders>
            <w:shd w:val="clear" w:color="auto" w:fill="CCEEFF"/>
          </w:tcPr>
          <w:p>
            <w:pPr>
              <w:spacing w:after="0"/>
              <w:rPr>
                <w:sz w:val="23"/>
                <w:szCs w:val="23"/>
                <w:color w:val="auto"/>
              </w:rPr>
            </w:pPr>
          </w:p>
        </w:tc>
        <w:tc>
          <w:tcPr>
            <w:tcW w:w="1120" w:type="dxa"/>
            <w:vAlign w:val="bottom"/>
            <w:tcBorders>
              <w:bottom w:val="single" w:sz="8" w:color="CCEEFF"/>
            </w:tcBorders>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w:t>
            </w:r>
          </w:p>
        </w:tc>
        <w:tc>
          <w:tcPr>
            <w:tcW w:w="260" w:type="dxa"/>
            <w:vAlign w:val="bottom"/>
            <w:tcBorders>
              <w:bottom w:val="single" w:sz="8" w:color="CCEEFF"/>
            </w:tcBorders>
            <w:shd w:val="clear" w:color="auto" w:fill="CCEEFF"/>
          </w:tcPr>
          <w:p>
            <w:pPr>
              <w:spacing w:after="0"/>
              <w:rPr>
                <w:sz w:val="23"/>
                <w:szCs w:val="23"/>
                <w:color w:val="auto"/>
              </w:rPr>
            </w:pPr>
          </w:p>
        </w:tc>
        <w:tc>
          <w:tcPr>
            <w:tcW w:w="1200" w:type="dxa"/>
            <w:vAlign w:val="bottom"/>
            <w:tcBorders>
              <w:bottom w:val="single" w:sz="8" w:color="CCEEFF"/>
            </w:tcBorders>
            <w:gridSpan w:val="2"/>
            <w:shd w:val="clear" w:color="auto" w:fill="CCEEFF"/>
          </w:tcPr>
          <w:p>
            <w:pPr>
              <w:ind w:left="700"/>
              <w:spacing w:after="0"/>
              <w:rPr>
                <w:sz w:val="20"/>
                <w:szCs w:val="20"/>
                <w:color w:val="auto"/>
              </w:rPr>
            </w:pPr>
            <w:r>
              <w:rPr>
                <w:rFonts w:ascii="Arial" w:cs="Arial" w:eastAsia="Arial" w:hAnsi="Arial"/>
                <w:sz w:val="18"/>
                <w:szCs w:val="18"/>
                <w:color w:val="auto"/>
              </w:rPr>
              <w:t>—</w:t>
            </w:r>
          </w:p>
        </w:tc>
        <w:tc>
          <w:tcPr>
            <w:tcW w:w="360" w:type="dxa"/>
            <w:vAlign w:val="bottom"/>
            <w:tcBorders>
              <w:bottom w:val="single" w:sz="8" w:color="CCEEFF"/>
            </w:tcBorders>
            <w:shd w:val="clear" w:color="auto" w:fill="CCEEFF"/>
          </w:tcPr>
          <w:p>
            <w:pPr>
              <w:spacing w:after="0"/>
              <w:rPr>
                <w:sz w:val="23"/>
                <w:szCs w:val="23"/>
                <w:color w:val="auto"/>
              </w:rPr>
            </w:pPr>
          </w:p>
        </w:tc>
        <w:tc>
          <w:tcPr>
            <w:tcW w:w="88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w:t>
            </w:r>
          </w:p>
        </w:tc>
      </w:tr>
      <w:tr>
        <w:trPr>
          <w:trHeight w:val="257"/>
        </w:trPr>
        <w:tc>
          <w:tcPr>
            <w:tcW w:w="5540" w:type="dxa"/>
            <w:vAlign w:val="bottom"/>
          </w:tcPr>
          <w:p>
            <w:pPr>
              <w:ind w:left="20"/>
              <w:spacing w:after="0"/>
              <w:rPr>
                <w:sz w:val="20"/>
                <w:szCs w:val="20"/>
                <w:color w:val="auto"/>
              </w:rPr>
            </w:pPr>
            <w:r>
              <w:rPr>
                <w:rFonts w:ascii="Arial" w:cs="Arial" w:eastAsia="Arial" w:hAnsi="Arial"/>
                <w:sz w:val="18"/>
                <w:szCs w:val="18"/>
                <w:color w:val="auto"/>
              </w:rPr>
              <w:t>Net loss from discontinued operations</w:t>
            </w:r>
          </w:p>
        </w:tc>
        <w:tc>
          <w:tcPr>
            <w:tcW w:w="920" w:type="dxa"/>
            <w:vAlign w:val="bottom"/>
            <w:tcBorders>
              <w:top w:val="single" w:sz="8" w:color="auto"/>
              <w:bottom w:val="single" w:sz="8" w:color="auto"/>
            </w:tcBorders>
          </w:tcPr>
          <w:p>
            <w:pPr>
              <w:jc w:val="right"/>
              <w:ind w:right="739"/>
              <w:spacing w:after="0"/>
              <w:rPr>
                <w:sz w:val="20"/>
                <w:szCs w:val="20"/>
                <w:color w:val="auto"/>
              </w:rPr>
            </w:pPr>
            <w:r>
              <w:rPr>
                <w:rFonts w:ascii="Arial" w:cs="Arial" w:eastAsia="Arial" w:hAnsi="Arial"/>
                <w:sz w:val="18"/>
                <w:szCs w:val="18"/>
                <w:color w:val="auto"/>
                <w:w w:val="79"/>
              </w:rPr>
              <w:t>$</w:t>
            </w:r>
          </w:p>
        </w:tc>
        <w:tc>
          <w:tcPr>
            <w:tcW w:w="460" w:type="dxa"/>
            <w:vAlign w:val="bottom"/>
            <w:tcBorders>
              <w:top w:val="single" w:sz="8" w:color="auto"/>
              <w:bottom w:val="single" w:sz="8" w:color="auto"/>
            </w:tcBorders>
          </w:tcPr>
          <w:p>
            <w:pPr>
              <w:ind w:left="16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22"/>
                <w:szCs w:val="22"/>
                <w:color w:val="auto"/>
              </w:rPr>
            </w:pPr>
          </w:p>
        </w:tc>
        <w:tc>
          <w:tcPr>
            <w:tcW w:w="340" w:type="dxa"/>
            <w:vAlign w:val="bottom"/>
            <w:tcBorders>
              <w:top w:val="single" w:sz="8" w:color="auto"/>
              <w:bottom w:val="single" w:sz="8" w:color="auto"/>
            </w:tcBorders>
          </w:tcPr>
          <w:p>
            <w:pPr>
              <w:jc w:val="right"/>
              <w:ind w:right="130"/>
              <w:spacing w:after="0"/>
              <w:rPr>
                <w:sz w:val="20"/>
                <w:szCs w:val="20"/>
                <w:color w:val="auto"/>
              </w:rPr>
            </w:pPr>
            <w:r>
              <w:rPr>
                <w:rFonts w:ascii="Arial" w:cs="Arial" w:eastAsia="Arial" w:hAnsi="Arial"/>
                <w:sz w:val="18"/>
                <w:szCs w:val="18"/>
                <w:color w:val="auto"/>
                <w:w w:val="99"/>
              </w:rPr>
              <w:t>$</w:t>
            </w:r>
          </w:p>
        </w:tc>
        <w:tc>
          <w:tcPr>
            <w:tcW w:w="9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(298,817)</w:t>
            </w:r>
          </w:p>
        </w:tc>
        <w:tc>
          <w:tcPr>
            <w:tcW w:w="220" w:type="dxa"/>
            <w:vAlign w:val="bottom"/>
          </w:tcPr>
          <w:p>
            <w:pPr>
              <w:spacing w:after="0"/>
              <w:rPr>
                <w:sz w:val="22"/>
                <w:szCs w:val="22"/>
                <w:color w:val="auto"/>
              </w:rPr>
            </w:pPr>
          </w:p>
        </w:tc>
        <w:tc>
          <w:tcPr>
            <w:tcW w:w="260" w:type="dxa"/>
            <w:vAlign w:val="bottom"/>
            <w:tcBorders>
              <w:top w:val="single" w:sz="8" w:color="auto"/>
              <w:bottom w:val="single" w:sz="8" w:color="auto"/>
            </w:tcBorders>
          </w:tcPr>
          <w:p>
            <w:pPr>
              <w:jc w:val="right"/>
              <w:ind w:right="50"/>
              <w:spacing w:after="0"/>
              <w:rPr>
                <w:sz w:val="20"/>
                <w:szCs w:val="20"/>
                <w:color w:val="auto"/>
              </w:rPr>
            </w:pPr>
            <w:r>
              <w:rPr>
                <w:rFonts w:ascii="Arial" w:cs="Arial" w:eastAsia="Arial" w:hAnsi="Arial"/>
                <w:sz w:val="18"/>
                <w:szCs w:val="18"/>
                <w:color w:val="auto"/>
                <w:w w:val="99"/>
              </w:rPr>
              <w:t>$</w:t>
            </w:r>
          </w:p>
        </w:tc>
        <w:tc>
          <w:tcPr>
            <w:tcW w:w="980" w:type="dxa"/>
            <w:vAlign w:val="bottom"/>
            <w:tcBorders>
              <w:top w:val="single" w:sz="8" w:color="auto"/>
              <w:bottom w:val="single" w:sz="8" w:color="auto"/>
            </w:tcBorders>
          </w:tcPr>
          <w:p>
            <w:pPr>
              <w:ind w:left="700"/>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22"/>
                <w:szCs w:val="22"/>
                <w:color w:val="auto"/>
              </w:rPr>
            </w:pPr>
          </w:p>
        </w:tc>
        <w:tc>
          <w:tcPr>
            <w:tcW w:w="360" w:type="dxa"/>
            <w:vAlign w:val="bottom"/>
            <w:tcBorders>
              <w:top w:val="single" w:sz="8" w:color="auto"/>
              <w:bottom w:val="single" w:sz="8" w:color="auto"/>
            </w:tcBorders>
          </w:tcPr>
          <w:p>
            <w:pPr>
              <w:jc w:val="right"/>
              <w:ind w:right="150"/>
              <w:spacing w:after="0"/>
              <w:rPr>
                <w:sz w:val="20"/>
                <w:szCs w:val="20"/>
                <w:color w:val="auto"/>
              </w:rPr>
            </w:pPr>
            <w:r>
              <w:rPr>
                <w:rFonts w:ascii="Arial" w:cs="Arial" w:eastAsia="Arial" w:hAnsi="Arial"/>
                <w:sz w:val="18"/>
                <w:szCs w:val="18"/>
                <w:color w:val="auto"/>
                <w:w w:val="99"/>
              </w:rPr>
              <w:t>$</w:t>
            </w:r>
          </w:p>
        </w:tc>
        <w:tc>
          <w:tcPr>
            <w:tcW w:w="8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(789,534)</w:t>
            </w:r>
          </w:p>
        </w:tc>
      </w:tr>
      <w:tr>
        <w:trPr>
          <w:trHeight w:val="20"/>
        </w:trPr>
        <w:tc>
          <w:tcPr>
            <w:tcW w:w="5540" w:type="dxa"/>
            <w:vAlign w:val="bottom"/>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46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r>
    </w:tbl>
    <w:p>
      <w:pPr>
        <w:spacing w:after="0" w:line="202" w:lineRule="exact"/>
        <w:rPr>
          <w:sz w:val="20"/>
          <w:szCs w:val="20"/>
          <w:color w:val="auto"/>
        </w:rPr>
      </w:pPr>
    </w:p>
    <w:p>
      <w:pPr>
        <w:ind w:right="240" w:firstLine="648"/>
        <w:spacing w:after="0" w:line="277" w:lineRule="auto"/>
        <w:rPr>
          <w:sz w:val="20"/>
          <w:szCs w:val="20"/>
          <w:color w:val="auto"/>
        </w:rPr>
      </w:pPr>
      <w:r>
        <w:rPr>
          <w:rFonts w:ascii="Arial" w:cs="Arial" w:eastAsia="Arial" w:hAnsi="Arial"/>
          <w:sz w:val="18"/>
          <w:szCs w:val="18"/>
          <w:color w:val="auto"/>
        </w:rPr>
        <w:t>For the six months ended June 30, 2017, cash flows used in operating activities for discontinued operations were $1.0 million. For the six months ended June 30, 2017, cash flows used in investing activities for discontinued operations were $0.8 million.</w:t>
      </w:r>
    </w:p>
    <w:p>
      <w:pPr>
        <w:spacing w:after="0" w:line="166" w:lineRule="exact"/>
        <w:rPr>
          <w:sz w:val="20"/>
          <w:szCs w:val="20"/>
          <w:color w:val="auto"/>
        </w:rPr>
      </w:pPr>
    </w:p>
    <w:p>
      <w:pPr>
        <w:ind w:left="500" w:hanging="492"/>
        <w:spacing w:after="0"/>
        <w:tabs>
          <w:tab w:leader="none" w:pos="500" w:val="left"/>
        </w:tabs>
        <w:numPr>
          <w:ilvl w:val="0"/>
          <w:numId w:val="7"/>
        </w:numPr>
        <w:rPr>
          <w:rFonts w:ascii="Arial" w:cs="Arial" w:eastAsia="Arial" w:hAnsi="Arial"/>
          <w:sz w:val="18"/>
          <w:szCs w:val="18"/>
          <w:b w:val="1"/>
          <w:bCs w:val="1"/>
          <w:color w:val="auto"/>
        </w:rPr>
      </w:pPr>
      <w:r>
        <w:rPr>
          <w:rFonts w:ascii="Arial" w:cs="Arial" w:eastAsia="Arial" w:hAnsi="Arial"/>
          <w:sz w:val="18"/>
          <w:szCs w:val="18"/>
          <w:b w:val="1"/>
          <w:bCs w:val="1"/>
          <w:color w:val="auto"/>
        </w:rPr>
        <w:t>Contract Balances</w:t>
      </w:r>
    </w:p>
    <w:p>
      <w:pPr>
        <w:spacing w:after="0" w:line="27" w:lineRule="exact"/>
        <w:rPr>
          <w:sz w:val="20"/>
          <w:szCs w:val="20"/>
          <w:color w:val="auto"/>
        </w:rPr>
      </w:pPr>
    </w:p>
    <w:p>
      <w:pPr>
        <w:ind w:right="240" w:firstLine="405"/>
        <w:spacing w:after="0" w:line="254" w:lineRule="auto"/>
        <w:rPr>
          <w:sz w:val="20"/>
          <w:szCs w:val="20"/>
          <w:color w:val="auto"/>
        </w:rPr>
      </w:pPr>
      <w:r>
        <w:rPr>
          <w:rFonts w:ascii="Arial" w:cs="Arial" w:eastAsia="Arial" w:hAnsi="Arial"/>
          <w:sz w:val="18"/>
          <w:szCs w:val="18"/>
          <w:color w:val="auto"/>
        </w:rPr>
        <w:t>Our contract assets consist of unbilled amounts for technology development contracts as well as custom product contracts. Also included in contract assets are royalty revenue and carrying amounts of right of returned inventory. Long-term contract assets include the fee withholding on cost reimbursable contracts that will not be billed within a year. Contract liabilities include excess billings, subcontractor accruals, warranty expense, extended warranty revenue, right of return refund, and customer deposits.</w:t>
      </w:r>
    </w:p>
    <w:p>
      <w:pPr>
        <w:spacing w:after="0" w:line="190" w:lineRule="exact"/>
        <w:rPr>
          <w:sz w:val="20"/>
          <w:szCs w:val="20"/>
          <w:color w:val="auto"/>
        </w:rPr>
      </w:pPr>
    </w:p>
    <w:p>
      <w:pPr>
        <w:ind w:left="420"/>
        <w:spacing w:after="0"/>
        <w:rPr>
          <w:sz w:val="20"/>
          <w:szCs w:val="20"/>
          <w:color w:val="auto"/>
        </w:rPr>
      </w:pPr>
      <w:r>
        <w:rPr>
          <w:rFonts w:ascii="Arial" w:cs="Arial" w:eastAsia="Arial" w:hAnsi="Arial"/>
          <w:sz w:val="18"/>
          <w:szCs w:val="18"/>
          <w:color w:val="auto"/>
        </w:rPr>
        <w:t>The following table shows the significant changes in contract balances for the six month period ending June 30, 2018:</w:t>
      </w:r>
    </w:p>
    <w:p>
      <w:pPr>
        <w:spacing w:after="0" w:line="252"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14</w:t>
      </w:r>
    </w:p>
    <w:p>
      <w:pPr>
        <w:sectPr>
          <w:pgSz w:w="11900" w:h="16838" w:orient="portrait"/>
          <w:cols w:equalWidth="0" w:num="1">
            <w:col w:w="11360"/>
          </w:cols>
          <w:pgMar w:left="240" w:top="118" w:right="299" w:bottom="1440" w:gutter="0" w:footer="0" w:header="0"/>
        </w:sectPr>
      </w:pPr>
    </w:p>
    <w:bookmarkStart w:id="14" w:name="page15"/>
    <w:bookmarkEnd w:id="14"/>
    <w:p>
      <w:pPr>
        <w:spacing w:after="0"/>
        <w:rPr>
          <w:rFonts w:ascii="Arial" w:cs="Arial" w:eastAsia="Arial" w:hAnsi="Arial"/>
          <w:sz w:val="14"/>
          <w:szCs w:val="14"/>
          <w:b w:val="1"/>
          <w:bCs w:val="1"/>
          <w:u w:val="single" w:color="auto"/>
          <w:color w:val="0000EE"/>
        </w:rPr>
      </w:pPr>
      <w:hyperlink w:anchor="page2">
        <w:r>
          <w:rPr>
            <w:rFonts w:ascii="Arial" w:cs="Arial" w:eastAsia="Arial" w:hAnsi="Arial"/>
            <w:sz w:val="14"/>
            <w:szCs w:val="14"/>
            <w:b w:val="1"/>
            <w:bCs w:val="1"/>
            <w:u w:val="single" w:color="auto"/>
            <w:color w:val="0000EE"/>
          </w:rPr>
          <w:t>Table of Contents</w:t>
        </w:r>
      </w:hyperlink>
    </w:p>
    <w:p>
      <w:pPr>
        <w:spacing w:after="0" w:line="200" w:lineRule="exact"/>
        <w:rPr>
          <w:sz w:val="20"/>
          <w:szCs w:val="20"/>
          <w:color w:val="auto"/>
        </w:rPr>
      </w:pPr>
    </w:p>
    <w:p>
      <w:pPr>
        <w:spacing w:after="0" w:line="214" w:lineRule="exact"/>
        <w:rPr>
          <w:sz w:val="20"/>
          <w:szCs w:val="20"/>
          <w:color w:val="auto"/>
        </w:rPr>
      </w:pPr>
    </w:p>
    <w:tbl>
      <w:tblPr>
        <w:tblLayout w:type="fixed"/>
        <w:tblInd w:w="1580" w:type="dxa"/>
        <w:tblCellMar>
          <w:top w:w="0" w:type="dxa"/>
          <w:left w:w="0" w:type="dxa"/>
          <w:bottom w:w="0" w:type="dxa"/>
          <w:right w:w="0" w:type="dxa"/>
        </w:tblCellMar>
      </w:tblPr>
      <w:tr>
        <w:trPr>
          <w:trHeight w:val="230"/>
        </w:trPr>
        <w:tc>
          <w:tcPr>
            <w:tcW w:w="408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2020" w:type="dxa"/>
            <w:vAlign w:val="bottom"/>
            <w:gridSpan w:val="2"/>
          </w:tcPr>
          <w:p>
            <w:pPr>
              <w:ind w:left="140"/>
              <w:spacing w:after="0"/>
              <w:rPr>
                <w:sz w:val="20"/>
                <w:szCs w:val="20"/>
                <w:color w:val="auto"/>
              </w:rPr>
            </w:pPr>
            <w:r>
              <w:rPr>
                <w:rFonts w:ascii="Arial" w:cs="Arial" w:eastAsia="Arial" w:hAnsi="Arial"/>
                <w:sz w:val="18"/>
                <w:szCs w:val="18"/>
                <w:color w:val="auto"/>
              </w:rPr>
              <w:t>Contract Assets</w:t>
            </w:r>
          </w:p>
        </w:tc>
        <w:tc>
          <w:tcPr>
            <w:tcW w:w="200" w:type="dxa"/>
            <w:vAlign w:val="bottom"/>
          </w:tcPr>
          <w:p>
            <w:pPr>
              <w:spacing w:after="0"/>
              <w:rPr>
                <w:sz w:val="20"/>
                <w:szCs w:val="20"/>
                <w:color w:val="auto"/>
              </w:rPr>
            </w:pPr>
          </w:p>
        </w:tc>
        <w:tc>
          <w:tcPr>
            <w:tcW w:w="1740" w:type="dxa"/>
            <w:vAlign w:val="bottom"/>
          </w:tcPr>
          <w:p>
            <w:pPr>
              <w:jc w:val="right"/>
              <w:ind w:right="170"/>
              <w:spacing w:after="0"/>
              <w:rPr>
                <w:sz w:val="20"/>
                <w:szCs w:val="20"/>
                <w:color w:val="auto"/>
              </w:rPr>
            </w:pPr>
            <w:r>
              <w:rPr>
                <w:rFonts w:ascii="Arial" w:cs="Arial" w:eastAsia="Arial" w:hAnsi="Arial"/>
                <w:sz w:val="18"/>
                <w:szCs w:val="18"/>
                <w:color w:val="auto"/>
                <w:w w:val="99"/>
              </w:rPr>
              <w:t>Contract Liabilities</w:t>
            </w:r>
          </w:p>
        </w:tc>
      </w:tr>
      <w:tr>
        <w:trPr>
          <w:trHeight w:val="27"/>
        </w:trPr>
        <w:tc>
          <w:tcPr>
            <w:tcW w:w="408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620" w:type="dxa"/>
            <w:vAlign w:val="bottom"/>
            <w:tcBorders>
              <w:bottom w:val="single" w:sz="8" w:color="auto"/>
            </w:tcBorders>
          </w:tcPr>
          <w:p>
            <w:pPr>
              <w:spacing w:after="0"/>
              <w:rPr>
                <w:sz w:val="2"/>
                <w:szCs w:val="2"/>
                <w:color w:val="auto"/>
              </w:rPr>
            </w:pPr>
          </w:p>
        </w:tc>
        <w:tc>
          <w:tcPr>
            <w:tcW w:w="40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740" w:type="dxa"/>
            <w:vAlign w:val="bottom"/>
            <w:tcBorders>
              <w:bottom w:val="single" w:sz="8" w:color="auto"/>
            </w:tcBorders>
          </w:tcPr>
          <w:p>
            <w:pPr>
              <w:spacing w:after="0"/>
              <w:rPr>
                <w:sz w:val="2"/>
                <w:szCs w:val="2"/>
                <w:color w:val="auto"/>
              </w:rPr>
            </w:pPr>
          </w:p>
        </w:tc>
      </w:tr>
      <w:tr>
        <w:trPr>
          <w:trHeight w:val="244"/>
        </w:trPr>
        <w:tc>
          <w:tcPr>
            <w:tcW w:w="408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Opening Balance as of January 1, 2018</w:t>
            </w:r>
          </w:p>
        </w:tc>
        <w:tc>
          <w:tcPr>
            <w:tcW w:w="2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w w:val="99"/>
              </w:rPr>
              <w:t>$</w:t>
            </w:r>
          </w:p>
        </w:tc>
        <w:tc>
          <w:tcPr>
            <w:tcW w:w="16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2,894,038</w:t>
            </w:r>
          </w:p>
        </w:tc>
        <w:tc>
          <w:tcPr>
            <w:tcW w:w="4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7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3,454,488</w:t>
            </w:r>
          </w:p>
        </w:tc>
      </w:tr>
      <w:tr>
        <w:trPr>
          <w:trHeight w:val="229"/>
        </w:trPr>
        <w:tc>
          <w:tcPr>
            <w:tcW w:w="4080" w:type="dxa"/>
            <w:vAlign w:val="bottom"/>
          </w:tcPr>
          <w:p>
            <w:pPr>
              <w:ind w:left="20"/>
              <w:spacing w:after="0"/>
              <w:rPr>
                <w:sz w:val="20"/>
                <w:szCs w:val="20"/>
                <w:color w:val="auto"/>
              </w:rPr>
            </w:pPr>
            <w:r>
              <w:rPr>
                <w:rFonts w:ascii="Arial" w:cs="Arial" w:eastAsia="Arial" w:hAnsi="Arial"/>
                <w:sz w:val="18"/>
                <w:szCs w:val="18"/>
                <w:color w:val="auto"/>
                <w:w w:val="94"/>
              </w:rPr>
              <w:t>Revenue recognized that was included in the contract</w:t>
            </w:r>
          </w:p>
        </w:tc>
        <w:tc>
          <w:tcPr>
            <w:tcW w:w="240" w:type="dxa"/>
            <w:vAlign w:val="bottom"/>
          </w:tcPr>
          <w:p>
            <w:pPr>
              <w:spacing w:after="0"/>
              <w:rPr>
                <w:sz w:val="19"/>
                <w:szCs w:val="19"/>
                <w:color w:val="auto"/>
              </w:rPr>
            </w:pPr>
          </w:p>
        </w:tc>
        <w:tc>
          <w:tcPr>
            <w:tcW w:w="1620" w:type="dxa"/>
            <w:vAlign w:val="bottom"/>
          </w:tcPr>
          <w:p>
            <w:pPr>
              <w:spacing w:after="0"/>
              <w:rPr>
                <w:sz w:val="19"/>
                <w:szCs w:val="19"/>
                <w:color w:val="auto"/>
              </w:rPr>
            </w:pPr>
          </w:p>
        </w:tc>
        <w:tc>
          <w:tcPr>
            <w:tcW w:w="40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740" w:type="dxa"/>
            <w:vAlign w:val="bottom"/>
          </w:tcPr>
          <w:p>
            <w:pPr>
              <w:spacing w:after="0"/>
              <w:rPr>
                <w:sz w:val="19"/>
                <w:szCs w:val="19"/>
                <w:color w:val="auto"/>
              </w:rPr>
            </w:pPr>
          </w:p>
        </w:tc>
      </w:tr>
      <w:tr>
        <w:trPr>
          <w:trHeight w:val="230"/>
        </w:trPr>
        <w:tc>
          <w:tcPr>
            <w:tcW w:w="4080" w:type="dxa"/>
            <w:vAlign w:val="bottom"/>
          </w:tcPr>
          <w:p>
            <w:pPr>
              <w:ind w:left="20"/>
              <w:spacing w:after="0"/>
              <w:rPr>
                <w:sz w:val="20"/>
                <w:szCs w:val="20"/>
                <w:color w:val="auto"/>
              </w:rPr>
            </w:pPr>
            <w:r>
              <w:rPr>
                <w:rFonts w:ascii="Arial" w:cs="Arial" w:eastAsia="Arial" w:hAnsi="Arial"/>
                <w:sz w:val="18"/>
                <w:szCs w:val="18"/>
                <w:color w:val="auto"/>
              </w:rPr>
              <w:t>liabilities balance at the beginning of the period</w:t>
            </w:r>
          </w:p>
        </w:tc>
        <w:tc>
          <w:tcPr>
            <w:tcW w:w="240" w:type="dxa"/>
            <w:vAlign w:val="bottom"/>
          </w:tcPr>
          <w:p>
            <w:pPr>
              <w:spacing w:after="0"/>
              <w:rPr>
                <w:sz w:val="20"/>
                <w:szCs w:val="20"/>
                <w:color w:val="auto"/>
              </w:rPr>
            </w:pPr>
          </w:p>
        </w:tc>
        <w:tc>
          <w:tcPr>
            <w:tcW w:w="2020" w:type="dxa"/>
            <w:vAlign w:val="bottom"/>
            <w:gridSpan w:val="2"/>
          </w:tcPr>
          <w:p>
            <w:pPr>
              <w:jc w:val="right"/>
              <w:ind w:right="50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20"/>
                <w:szCs w:val="20"/>
                <w:color w:val="auto"/>
              </w:rPr>
            </w:pPr>
          </w:p>
        </w:tc>
        <w:tc>
          <w:tcPr>
            <w:tcW w:w="1740" w:type="dxa"/>
            <w:vAlign w:val="bottom"/>
          </w:tcPr>
          <w:p>
            <w:pPr>
              <w:jc w:val="right"/>
              <w:spacing w:after="0"/>
              <w:rPr>
                <w:sz w:val="20"/>
                <w:szCs w:val="20"/>
                <w:color w:val="auto"/>
              </w:rPr>
            </w:pPr>
            <w:r>
              <w:rPr>
                <w:rFonts w:ascii="Arial" w:cs="Arial" w:eastAsia="Arial" w:hAnsi="Arial"/>
                <w:sz w:val="18"/>
                <w:szCs w:val="18"/>
                <w:color w:val="auto"/>
              </w:rPr>
              <w:t>(855,906)</w:t>
            </w:r>
          </w:p>
        </w:tc>
      </w:tr>
      <w:tr>
        <w:trPr>
          <w:trHeight w:val="27"/>
        </w:trPr>
        <w:tc>
          <w:tcPr>
            <w:tcW w:w="4080" w:type="dxa"/>
            <w:vAlign w:val="bottom"/>
          </w:tcPr>
          <w:p>
            <w:pPr>
              <w:spacing w:after="0"/>
              <w:rPr>
                <w:sz w:val="2"/>
                <w:szCs w:val="2"/>
                <w:color w:val="auto"/>
              </w:rPr>
            </w:pPr>
          </w:p>
        </w:tc>
        <w:tc>
          <w:tcPr>
            <w:tcW w:w="240" w:type="dxa"/>
            <w:vAlign w:val="bottom"/>
          </w:tcPr>
          <w:p>
            <w:pPr>
              <w:spacing w:after="0"/>
              <w:rPr>
                <w:sz w:val="2"/>
                <w:szCs w:val="2"/>
                <w:color w:val="auto"/>
              </w:rPr>
            </w:pPr>
          </w:p>
        </w:tc>
        <w:tc>
          <w:tcPr>
            <w:tcW w:w="1620" w:type="dxa"/>
            <w:vAlign w:val="bottom"/>
          </w:tcPr>
          <w:p>
            <w:pPr>
              <w:spacing w:after="0"/>
              <w:rPr>
                <w:sz w:val="2"/>
                <w:szCs w:val="2"/>
                <w:color w:val="auto"/>
              </w:rPr>
            </w:pPr>
          </w:p>
        </w:tc>
        <w:tc>
          <w:tcPr>
            <w:tcW w:w="4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740" w:type="dxa"/>
            <w:vAlign w:val="bottom"/>
          </w:tcPr>
          <w:p>
            <w:pPr>
              <w:spacing w:after="0"/>
              <w:rPr>
                <w:sz w:val="2"/>
                <w:szCs w:val="2"/>
                <w:color w:val="auto"/>
              </w:rPr>
            </w:pPr>
          </w:p>
        </w:tc>
      </w:tr>
      <w:tr>
        <w:trPr>
          <w:trHeight w:val="229"/>
        </w:trPr>
        <w:tc>
          <w:tcPr>
            <w:tcW w:w="4080" w:type="dxa"/>
            <w:vAlign w:val="bottom"/>
            <w:shd w:val="clear" w:color="auto" w:fill="CCEEFF"/>
          </w:tcPr>
          <w:p>
            <w:pPr>
              <w:ind w:left="20"/>
              <w:spacing w:after="0"/>
              <w:rPr>
                <w:sz w:val="20"/>
                <w:szCs w:val="20"/>
                <w:color w:val="auto"/>
              </w:rPr>
            </w:pPr>
            <w:r>
              <w:rPr>
                <w:rFonts w:ascii="Arial" w:cs="Arial" w:eastAsia="Arial" w:hAnsi="Arial"/>
                <w:sz w:val="18"/>
                <w:szCs w:val="18"/>
                <w:color w:val="auto"/>
              </w:rPr>
              <w:t>Transferred to payables from contract liabilities</w:t>
            </w:r>
          </w:p>
        </w:tc>
        <w:tc>
          <w:tcPr>
            <w:tcW w:w="240" w:type="dxa"/>
            <w:vAlign w:val="bottom"/>
            <w:shd w:val="clear" w:color="auto" w:fill="CCEEFF"/>
          </w:tcPr>
          <w:p>
            <w:pPr>
              <w:spacing w:after="0"/>
              <w:rPr>
                <w:sz w:val="19"/>
                <w:szCs w:val="19"/>
                <w:color w:val="auto"/>
              </w:rPr>
            </w:pPr>
          </w:p>
        </w:tc>
        <w:tc>
          <w:tcPr>
            <w:tcW w:w="1620" w:type="dxa"/>
            <w:vAlign w:val="bottom"/>
            <w:shd w:val="clear" w:color="auto" w:fill="CCEEFF"/>
          </w:tcPr>
          <w:p>
            <w:pPr>
              <w:spacing w:after="0"/>
              <w:rPr>
                <w:sz w:val="19"/>
                <w:szCs w:val="19"/>
                <w:color w:val="auto"/>
              </w:rPr>
            </w:pPr>
          </w:p>
        </w:tc>
        <w:tc>
          <w:tcPr>
            <w:tcW w:w="40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1740" w:type="dxa"/>
            <w:vAlign w:val="bottom"/>
            <w:shd w:val="clear" w:color="auto" w:fill="CCEEFF"/>
          </w:tcPr>
          <w:p>
            <w:pPr>
              <w:spacing w:after="0"/>
              <w:rPr>
                <w:sz w:val="19"/>
                <w:szCs w:val="19"/>
                <w:color w:val="auto"/>
              </w:rPr>
            </w:pPr>
          </w:p>
        </w:tc>
      </w:tr>
      <w:tr>
        <w:trPr>
          <w:trHeight w:val="237"/>
        </w:trPr>
        <w:tc>
          <w:tcPr>
            <w:tcW w:w="408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recognized at the beginning of the period</w:t>
            </w:r>
          </w:p>
        </w:tc>
        <w:tc>
          <w:tcPr>
            <w:tcW w:w="240" w:type="dxa"/>
            <w:vAlign w:val="bottom"/>
            <w:tcBorders>
              <w:bottom w:val="single" w:sz="8" w:color="CCEEFF"/>
            </w:tcBorders>
            <w:shd w:val="clear" w:color="auto" w:fill="CCEEFF"/>
          </w:tcPr>
          <w:p>
            <w:pPr>
              <w:spacing w:after="0"/>
              <w:rPr>
                <w:sz w:val="20"/>
                <w:szCs w:val="20"/>
                <w:color w:val="auto"/>
              </w:rPr>
            </w:pPr>
          </w:p>
        </w:tc>
        <w:tc>
          <w:tcPr>
            <w:tcW w:w="2020" w:type="dxa"/>
            <w:vAlign w:val="bottom"/>
            <w:tcBorders>
              <w:bottom w:val="single" w:sz="8" w:color="CCEEFF"/>
            </w:tcBorders>
            <w:gridSpan w:val="2"/>
            <w:shd w:val="clear" w:color="auto" w:fill="CCEEFF"/>
          </w:tcPr>
          <w:p>
            <w:pPr>
              <w:jc w:val="right"/>
              <w:ind w:right="500"/>
              <w:spacing w:after="0"/>
              <w:rPr>
                <w:sz w:val="20"/>
                <w:szCs w:val="20"/>
                <w:color w:val="auto"/>
              </w:rPr>
            </w:pPr>
            <w:r>
              <w:rPr>
                <w:rFonts w:ascii="Arial" w:cs="Arial" w:eastAsia="Arial" w:hAnsi="Arial"/>
                <w:sz w:val="18"/>
                <w:szCs w:val="18"/>
                <w:color w:val="auto"/>
              </w:rPr>
              <w:t>—</w:t>
            </w:r>
          </w:p>
        </w:tc>
        <w:tc>
          <w:tcPr>
            <w:tcW w:w="200" w:type="dxa"/>
            <w:vAlign w:val="bottom"/>
            <w:tcBorders>
              <w:bottom w:val="single" w:sz="8" w:color="CCEEFF"/>
            </w:tcBorders>
            <w:shd w:val="clear" w:color="auto" w:fill="CCEEFF"/>
          </w:tcPr>
          <w:p>
            <w:pPr>
              <w:spacing w:after="0"/>
              <w:rPr>
                <w:sz w:val="20"/>
                <w:szCs w:val="20"/>
                <w:color w:val="auto"/>
              </w:rPr>
            </w:pPr>
          </w:p>
        </w:tc>
        <w:tc>
          <w:tcPr>
            <w:tcW w:w="17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(2,041,792)</w:t>
            </w:r>
          </w:p>
        </w:tc>
      </w:tr>
      <w:tr>
        <w:trPr>
          <w:trHeight w:val="229"/>
        </w:trPr>
        <w:tc>
          <w:tcPr>
            <w:tcW w:w="4080" w:type="dxa"/>
            <w:vAlign w:val="bottom"/>
          </w:tcPr>
          <w:p>
            <w:pPr>
              <w:ind w:left="20"/>
              <w:spacing w:after="0"/>
              <w:rPr>
                <w:sz w:val="20"/>
                <w:szCs w:val="20"/>
                <w:color w:val="auto"/>
              </w:rPr>
            </w:pPr>
            <w:r>
              <w:rPr>
                <w:rFonts w:ascii="Arial" w:cs="Arial" w:eastAsia="Arial" w:hAnsi="Arial"/>
                <w:sz w:val="18"/>
                <w:szCs w:val="18"/>
                <w:color w:val="auto"/>
              </w:rPr>
              <w:t>Increases due to cash received or adjustment of</w:t>
            </w:r>
          </w:p>
        </w:tc>
        <w:tc>
          <w:tcPr>
            <w:tcW w:w="240" w:type="dxa"/>
            <w:vAlign w:val="bottom"/>
          </w:tcPr>
          <w:p>
            <w:pPr>
              <w:spacing w:after="0"/>
              <w:rPr>
                <w:sz w:val="19"/>
                <w:szCs w:val="19"/>
                <w:color w:val="auto"/>
              </w:rPr>
            </w:pPr>
          </w:p>
        </w:tc>
        <w:tc>
          <w:tcPr>
            <w:tcW w:w="1620" w:type="dxa"/>
            <w:vAlign w:val="bottom"/>
          </w:tcPr>
          <w:p>
            <w:pPr>
              <w:spacing w:after="0"/>
              <w:rPr>
                <w:sz w:val="19"/>
                <w:szCs w:val="19"/>
                <w:color w:val="auto"/>
              </w:rPr>
            </w:pPr>
          </w:p>
        </w:tc>
        <w:tc>
          <w:tcPr>
            <w:tcW w:w="40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740" w:type="dxa"/>
            <w:vAlign w:val="bottom"/>
          </w:tcPr>
          <w:p>
            <w:pPr>
              <w:spacing w:after="0"/>
              <w:rPr>
                <w:sz w:val="19"/>
                <w:szCs w:val="19"/>
                <w:color w:val="auto"/>
              </w:rPr>
            </w:pPr>
          </w:p>
        </w:tc>
      </w:tr>
      <w:tr>
        <w:trPr>
          <w:trHeight w:val="216"/>
        </w:trPr>
        <w:tc>
          <w:tcPr>
            <w:tcW w:w="4080" w:type="dxa"/>
            <w:vAlign w:val="bottom"/>
          </w:tcPr>
          <w:p>
            <w:pPr>
              <w:ind w:left="20"/>
              <w:spacing w:after="0"/>
              <w:rPr>
                <w:sz w:val="20"/>
                <w:szCs w:val="20"/>
                <w:color w:val="auto"/>
              </w:rPr>
            </w:pPr>
            <w:r>
              <w:rPr>
                <w:rFonts w:ascii="Arial" w:cs="Arial" w:eastAsia="Arial" w:hAnsi="Arial"/>
                <w:sz w:val="18"/>
                <w:szCs w:val="18"/>
                <w:color w:val="auto"/>
                <w:w w:val="95"/>
              </w:rPr>
              <w:t>estimates, excluding amounts recognized as revenue</w:t>
            </w:r>
          </w:p>
        </w:tc>
        <w:tc>
          <w:tcPr>
            <w:tcW w:w="240" w:type="dxa"/>
            <w:vAlign w:val="bottom"/>
          </w:tcPr>
          <w:p>
            <w:pPr>
              <w:spacing w:after="0"/>
              <w:rPr>
                <w:sz w:val="18"/>
                <w:szCs w:val="18"/>
                <w:color w:val="auto"/>
              </w:rPr>
            </w:pPr>
          </w:p>
        </w:tc>
        <w:tc>
          <w:tcPr>
            <w:tcW w:w="162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740" w:type="dxa"/>
            <w:vAlign w:val="bottom"/>
          </w:tcPr>
          <w:p>
            <w:pPr>
              <w:spacing w:after="0"/>
              <w:rPr>
                <w:sz w:val="18"/>
                <w:szCs w:val="18"/>
                <w:color w:val="auto"/>
              </w:rPr>
            </w:pPr>
          </w:p>
        </w:tc>
      </w:tr>
      <w:tr>
        <w:trPr>
          <w:trHeight w:val="230"/>
        </w:trPr>
        <w:tc>
          <w:tcPr>
            <w:tcW w:w="4080" w:type="dxa"/>
            <w:vAlign w:val="bottom"/>
          </w:tcPr>
          <w:p>
            <w:pPr>
              <w:ind w:left="20"/>
              <w:spacing w:after="0"/>
              <w:rPr>
                <w:sz w:val="20"/>
                <w:szCs w:val="20"/>
                <w:color w:val="auto"/>
              </w:rPr>
            </w:pPr>
            <w:r>
              <w:rPr>
                <w:rFonts w:ascii="Arial" w:cs="Arial" w:eastAsia="Arial" w:hAnsi="Arial"/>
                <w:sz w:val="18"/>
                <w:szCs w:val="18"/>
                <w:color w:val="auto"/>
              </w:rPr>
              <w:t>during the period</w:t>
            </w:r>
          </w:p>
        </w:tc>
        <w:tc>
          <w:tcPr>
            <w:tcW w:w="240" w:type="dxa"/>
            <w:vAlign w:val="bottom"/>
          </w:tcPr>
          <w:p>
            <w:pPr>
              <w:spacing w:after="0"/>
              <w:rPr>
                <w:sz w:val="20"/>
                <w:szCs w:val="20"/>
                <w:color w:val="auto"/>
              </w:rPr>
            </w:pPr>
          </w:p>
        </w:tc>
        <w:tc>
          <w:tcPr>
            <w:tcW w:w="2020" w:type="dxa"/>
            <w:vAlign w:val="bottom"/>
            <w:gridSpan w:val="2"/>
          </w:tcPr>
          <w:p>
            <w:pPr>
              <w:jc w:val="right"/>
              <w:ind w:right="50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20"/>
                <w:szCs w:val="20"/>
                <w:color w:val="auto"/>
              </w:rPr>
            </w:pPr>
          </w:p>
        </w:tc>
        <w:tc>
          <w:tcPr>
            <w:tcW w:w="1740" w:type="dxa"/>
            <w:vAlign w:val="bottom"/>
          </w:tcPr>
          <w:p>
            <w:pPr>
              <w:jc w:val="right"/>
              <w:ind w:right="10"/>
              <w:spacing w:after="0"/>
              <w:rPr>
                <w:sz w:val="20"/>
                <w:szCs w:val="20"/>
                <w:color w:val="auto"/>
              </w:rPr>
            </w:pPr>
            <w:r>
              <w:rPr>
                <w:rFonts w:ascii="Arial" w:cs="Arial" w:eastAsia="Arial" w:hAnsi="Arial"/>
                <w:sz w:val="18"/>
                <w:szCs w:val="18"/>
                <w:color w:val="auto"/>
              </w:rPr>
              <w:t>844,132</w:t>
            </w:r>
          </w:p>
        </w:tc>
      </w:tr>
      <w:tr>
        <w:trPr>
          <w:trHeight w:val="27"/>
        </w:trPr>
        <w:tc>
          <w:tcPr>
            <w:tcW w:w="4080" w:type="dxa"/>
            <w:vAlign w:val="bottom"/>
          </w:tcPr>
          <w:p>
            <w:pPr>
              <w:spacing w:after="0"/>
              <w:rPr>
                <w:sz w:val="2"/>
                <w:szCs w:val="2"/>
                <w:color w:val="auto"/>
              </w:rPr>
            </w:pPr>
          </w:p>
        </w:tc>
        <w:tc>
          <w:tcPr>
            <w:tcW w:w="240" w:type="dxa"/>
            <w:vAlign w:val="bottom"/>
          </w:tcPr>
          <w:p>
            <w:pPr>
              <w:spacing w:after="0"/>
              <w:rPr>
                <w:sz w:val="2"/>
                <w:szCs w:val="2"/>
                <w:color w:val="auto"/>
              </w:rPr>
            </w:pPr>
          </w:p>
        </w:tc>
        <w:tc>
          <w:tcPr>
            <w:tcW w:w="1620" w:type="dxa"/>
            <w:vAlign w:val="bottom"/>
          </w:tcPr>
          <w:p>
            <w:pPr>
              <w:spacing w:after="0"/>
              <w:rPr>
                <w:sz w:val="2"/>
                <w:szCs w:val="2"/>
                <w:color w:val="auto"/>
              </w:rPr>
            </w:pPr>
          </w:p>
        </w:tc>
        <w:tc>
          <w:tcPr>
            <w:tcW w:w="4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740" w:type="dxa"/>
            <w:vAlign w:val="bottom"/>
          </w:tcPr>
          <w:p>
            <w:pPr>
              <w:spacing w:after="0"/>
              <w:rPr>
                <w:sz w:val="2"/>
                <w:szCs w:val="2"/>
                <w:color w:val="auto"/>
              </w:rPr>
            </w:pPr>
          </w:p>
        </w:tc>
      </w:tr>
      <w:tr>
        <w:trPr>
          <w:trHeight w:val="229"/>
        </w:trPr>
        <w:tc>
          <w:tcPr>
            <w:tcW w:w="4080" w:type="dxa"/>
            <w:vAlign w:val="bottom"/>
            <w:shd w:val="clear" w:color="auto" w:fill="CCEEFF"/>
          </w:tcPr>
          <w:p>
            <w:pPr>
              <w:ind w:left="20"/>
              <w:spacing w:after="0"/>
              <w:rPr>
                <w:sz w:val="20"/>
                <w:szCs w:val="20"/>
                <w:color w:val="auto"/>
              </w:rPr>
            </w:pPr>
            <w:r>
              <w:rPr>
                <w:rFonts w:ascii="Arial" w:cs="Arial" w:eastAsia="Arial" w:hAnsi="Arial"/>
                <w:sz w:val="18"/>
                <w:szCs w:val="18"/>
                <w:color w:val="auto"/>
              </w:rPr>
              <w:t>Transferred to receivables from contract assets</w:t>
            </w:r>
          </w:p>
        </w:tc>
        <w:tc>
          <w:tcPr>
            <w:tcW w:w="240" w:type="dxa"/>
            <w:vAlign w:val="bottom"/>
            <w:shd w:val="clear" w:color="auto" w:fill="CCEEFF"/>
          </w:tcPr>
          <w:p>
            <w:pPr>
              <w:spacing w:after="0"/>
              <w:rPr>
                <w:sz w:val="19"/>
                <w:szCs w:val="19"/>
                <w:color w:val="auto"/>
              </w:rPr>
            </w:pPr>
          </w:p>
        </w:tc>
        <w:tc>
          <w:tcPr>
            <w:tcW w:w="1620" w:type="dxa"/>
            <w:vAlign w:val="bottom"/>
            <w:shd w:val="clear" w:color="auto" w:fill="CCEEFF"/>
          </w:tcPr>
          <w:p>
            <w:pPr>
              <w:spacing w:after="0"/>
              <w:rPr>
                <w:sz w:val="19"/>
                <w:szCs w:val="19"/>
                <w:color w:val="auto"/>
              </w:rPr>
            </w:pPr>
          </w:p>
        </w:tc>
        <w:tc>
          <w:tcPr>
            <w:tcW w:w="40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1740" w:type="dxa"/>
            <w:vAlign w:val="bottom"/>
            <w:shd w:val="clear" w:color="auto" w:fill="CCEEFF"/>
          </w:tcPr>
          <w:p>
            <w:pPr>
              <w:spacing w:after="0"/>
              <w:rPr>
                <w:sz w:val="19"/>
                <w:szCs w:val="19"/>
                <w:color w:val="auto"/>
              </w:rPr>
            </w:pPr>
          </w:p>
        </w:tc>
      </w:tr>
      <w:tr>
        <w:trPr>
          <w:trHeight w:val="237"/>
        </w:trPr>
        <w:tc>
          <w:tcPr>
            <w:tcW w:w="408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recognized at the beginning of the period</w:t>
            </w:r>
          </w:p>
        </w:tc>
        <w:tc>
          <w:tcPr>
            <w:tcW w:w="240" w:type="dxa"/>
            <w:vAlign w:val="bottom"/>
            <w:tcBorders>
              <w:bottom w:val="single" w:sz="8" w:color="CCEEFF"/>
            </w:tcBorders>
            <w:shd w:val="clear" w:color="auto" w:fill="CCEEFF"/>
          </w:tcPr>
          <w:p>
            <w:pPr>
              <w:spacing w:after="0"/>
              <w:rPr>
                <w:sz w:val="20"/>
                <w:szCs w:val="20"/>
                <w:color w:val="auto"/>
              </w:rPr>
            </w:pPr>
          </w:p>
        </w:tc>
        <w:tc>
          <w:tcPr>
            <w:tcW w:w="16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(2,245,515)</w:t>
            </w:r>
          </w:p>
        </w:tc>
        <w:tc>
          <w:tcPr>
            <w:tcW w:w="400" w:type="dxa"/>
            <w:vAlign w:val="bottom"/>
            <w:tcBorders>
              <w:bottom w:val="single" w:sz="8" w:color="CCEEFF"/>
            </w:tcBorders>
            <w:shd w:val="clear" w:color="auto" w:fill="CCEEFF"/>
          </w:tcPr>
          <w:p>
            <w:pPr>
              <w:spacing w:after="0"/>
              <w:rPr>
                <w:sz w:val="20"/>
                <w:szCs w:val="20"/>
                <w:color w:val="auto"/>
              </w:rPr>
            </w:pPr>
          </w:p>
        </w:tc>
        <w:tc>
          <w:tcPr>
            <w:tcW w:w="200" w:type="dxa"/>
            <w:vAlign w:val="bottom"/>
            <w:tcBorders>
              <w:bottom w:val="single" w:sz="8" w:color="CCEEFF"/>
            </w:tcBorders>
            <w:shd w:val="clear" w:color="auto" w:fill="CCEEFF"/>
          </w:tcPr>
          <w:p>
            <w:pPr>
              <w:spacing w:after="0"/>
              <w:rPr>
                <w:sz w:val="20"/>
                <w:szCs w:val="20"/>
                <w:color w:val="auto"/>
              </w:rPr>
            </w:pPr>
          </w:p>
        </w:tc>
        <w:tc>
          <w:tcPr>
            <w:tcW w:w="17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w:t>
            </w:r>
          </w:p>
        </w:tc>
      </w:tr>
      <w:tr>
        <w:trPr>
          <w:trHeight w:val="229"/>
        </w:trPr>
        <w:tc>
          <w:tcPr>
            <w:tcW w:w="4080" w:type="dxa"/>
            <w:vAlign w:val="bottom"/>
          </w:tcPr>
          <w:p>
            <w:pPr>
              <w:ind w:left="20"/>
              <w:spacing w:after="0"/>
              <w:rPr>
                <w:sz w:val="20"/>
                <w:szCs w:val="20"/>
                <w:color w:val="auto"/>
              </w:rPr>
            </w:pPr>
            <w:r>
              <w:rPr>
                <w:rFonts w:ascii="Arial" w:cs="Arial" w:eastAsia="Arial" w:hAnsi="Arial"/>
                <w:sz w:val="18"/>
                <w:szCs w:val="18"/>
                <w:color w:val="auto"/>
                <w:w w:val="90"/>
              </w:rPr>
              <w:t>Increases as a result of cumulative catch-up adjustment</w:t>
            </w:r>
          </w:p>
        </w:tc>
        <w:tc>
          <w:tcPr>
            <w:tcW w:w="240" w:type="dxa"/>
            <w:vAlign w:val="bottom"/>
          </w:tcPr>
          <w:p>
            <w:pPr>
              <w:spacing w:after="0"/>
              <w:rPr>
                <w:sz w:val="19"/>
                <w:szCs w:val="19"/>
                <w:color w:val="auto"/>
              </w:rPr>
            </w:pPr>
          </w:p>
        </w:tc>
        <w:tc>
          <w:tcPr>
            <w:tcW w:w="1620" w:type="dxa"/>
            <w:vAlign w:val="bottom"/>
          </w:tcPr>
          <w:p>
            <w:pPr>
              <w:spacing w:after="0"/>
              <w:rPr>
                <w:sz w:val="19"/>
                <w:szCs w:val="19"/>
                <w:color w:val="auto"/>
              </w:rPr>
            </w:pPr>
          </w:p>
        </w:tc>
        <w:tc>
          <w:tcPr>
            <w:tcW w:w="40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740" w:type="dxa"/>
            <w:vAlign w:val="bottom"/>
          </w:tcPr>
          <w:p>
            <w:pPr>
              <w:spacing w:after="0"/>
              <w:rPr>
                <w:sz w:val="19"/>
                <w:szCs w:val="19"/>
                <w:color w:val="auto"/>
              </w:rPr>
            </w:pPr>
          </w:p>
        </w:tc>
      </w:tr>
      <w:tr>
        <w:trPr>
          <w:trHeight w:val="216"/>
        </w:trPr>
        <w:tc>
          <w:tcPr>
            <w:tcW w:w="4080" w:type="dxa"/>
            <w:vAlign w:val="bottom"/>
          </w:tcPr>
          <w:p>
            <w:pPr>
              <w:ind w:left="20"/>
              <w:spacing w:after="0"/>
              <w:rPr>
                <w:sz w:val="20"/>
                <w:szCs w:val="20"/>
                <w:color w:val="auto"/>
              </w:rPr>
            </w:pPr>
            <w:r>
              <w:rPr>
                <w:rFonts w:ascii="Arial" w:cs="Arial" w:eastAsia="Arial" w:hAnsi="Arial"/>
                <w:sz w:val="18"/>
                <w:szCs w:val="18"/>
                <w:color w:val="auto"/>
                <w:w w:val="98"/>
              </w:rPr>
              <w:t>arising from changes in the estimate of the stage of</w:t>
            </w:r>
          </w:p>
        </w:tc>
        <w:tc>
          <w:tcPr>
            <w:tcW w:w="240" w:type="dxa"/>
            <w:vAlign w:val="bottom"/>
          </w:tcPr>
          <w:p>
            <w:pPr>
              <w:spacing w:after="0"/>
              <w:rPr>
                <w:sz w:val="18"/>
                <w:szCs w:val="18"/>
                <w:color w:val="auto"/>
              </w:rPr>
            </w:pPr>
          </w:p>
        </w:tc>
        <w:tc>
          <w:tcPr>
            <w:tcW w:w="162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740" w:type="dxa"/>
            <w:vAlign w:val="bottom"/>
          </w:tcPr>
          <w:p>
            <w:pPr>
              <w:spacing w:after="0"/>
              <w:rPr>
                <w:sz w:val="18"/>
                <w:szCs w:val="18"/>
                <w:color w:val="auto"/>
              </w:rPr>
            </w:pPr>
          </w:p>
        </w:tc>
      </w:tr>
      <w:tr>
        <w:trPr>
          <w:trHeight w:val="230"/>
        </w:trPr>
        <w:tc>
          <w:tcPr>
            <w:tcW w:w="4080" w:type="dxa"/>
            <w:vAlign w:val="bottom"/>
          </w:tcPr>
          <w:p>
            <w:pPr>
              <w:ind w:left="20"/>
              <w:spacing w:after="0"/>
              <w:rPr>
                <w:sz w:val="20"/>
                <w:szCs w:val="20"/>
                <w:color w:val="auto"/>
              </w:rPr>
            </w:pPr>
            <w:r>
              <w:rPr>
                <w:rFonts w:ascii="Arial" w:cs="Arial" w:eastAsia="Arial" w:hAnsi="Arial"/>
                <w:sz w:val="18"/>
                <w:szCs w:val="18"/>
                <w:color w:val="auto"/>
              </w:rPr>
              <w:t>completion</w:t>
            </w:r>
          </w:p>
        </w:tc>
        <w:tc>
          <w:tcPr>
            <w:tcW w:w="240" w:type="dxa"/>
            <w:vAlign w:val="bottom"/>
          </w:tcPr>
          <w:p>
            <w:pPr>
              <w:spacing w:after="0"/>
              <w:rPr>
                <w:sz w:val="20"/>
                <w:szCs w:val="20"/>
                <w:color w:val="auto"/>
              </w:rPr>
            </w:pPr>
          </w:p>
        </w:tc>
        <w:tc>
          <w:tcPr>
            <w:tcW w:w="1620" w:type="dxa"/>
            <w:vAlign w:val="bottom"/>
          </w:tcPr>
          <w:p>
            <w:pPr>
              <w:jc w:val="right"/>
              <w:ind w:right="10"/>
              <w:spacing w:after="0"/>
              <w:rPr>
                <w:sz w:val="20"/>
                <w:szCs w:val="20"/>
                <w:color w:val="auto"/>
              </w:rPr>
            </w:pPr>
            <w:r>
              <w:rPr>
                <w:rFonts w:ascii="Arial" w:cs="Arial" w:eastAsia="Arial" w:hAnsi="Arial"/>
                <w:sz w:val="18"/>
                <w:szCs w:val="18"/>
                <w:color w:val="auto"/>
              </w:rPr>
              <w:t>2,891,340</w:t>
            </w:r>
          </w:p>
        </w:tc>
        <w:tc>
          <w:tcPr>
            <w:tcW w:w="40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740" w:type="dxa"/>
            <w:vAlign w:val="bottom"/>
          </w:tcPr>
          <w:p>
            <w:pPr>
              <w:jc w:val="right"/>
              <w:ind w:right="10"/>
              <w:spacing w:after="0"/>
              <w:rPr>
                <w:sz w:val="20"/>
                <w:szCs w:val="20"/>
                <w:color w:val="auto"/>
              </w:rPr>
            </w:pPr>
            <w:r>
              <w:rPr>
                <w:rFonts w:ascii="Arial" w:cs="Arial" w:eastAsia="Arial" w:hAnsi="Arial"/>
                <w:sz w:val="18"/>
                <w:szCs w:val="18"/>
                <w:color w:val="auto"/>
              </w:rPr>
              <w:t>—</w:t>
            </w:r>
          </w:p>
        </w:tc>
      </w:tr>
      <w:tr>
        <w:trPr>
          <w:trHeight w:val="27"/>
        </w:trPr>
        <w:tc>
          <w:tcPr>
            <w:tcW w:w="408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620" w:type="dxa"/>
            <w:vAlign w:val="bottom"/>
            <w:tcBorders>
              <w:bottom w:val="single" w:sz="8" w:color="auto"/>
            </w:tcBorders>
          </w:tcPr>
          <w:p>
            <w:pPr>
              <w:spacing w:after="0"/>
              <w:rPr>
                <w:sz w:val="2"/>
                <w:szCs w:val="2"/>
                <w:color w:val="auto"/>
              </w:rPr>
            </w:pPr>
          </w:p>
        </w:tc>
        <w:tc>
          <w:tcPr>
            <w:tcW w:w="40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740" w:type="dxa"/>
            <w:vAlign w:val="bottom"/>
            <w:tcBorders>
              <w:bottom w:val="single" w:sz="8" w:color="auto"/>
            </w:tcBorders>
          </w:tcPr>
          <w:p>
            <w:pPr>
              <w:spacing w:after="0"/>
              <w:rPr>
                <w:sz w:val="2"/>
                <w:szCs w:val="2"/>
                <w:color w:val="auto"/>
              </w:rPr>
            </w:pPr>
          </w:p>
        </w:tc>
      </w:tr>
      <w:tr>
        <w:trPr>
          <w:trHeight w:val="257"/>
        </w:trPr>
        <w:tc>
          <w:tcPr>
            <w:tcW w:w="408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Balance as of June 30, 2018</w:t>
            </w:r>
          </w:p>
        </w:tc>
        <w:tc>
          <w:tcPr>
            <w:tcW w:w="24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w w:val="99"/>
              </w:rPr>
              <w:t>$</w:t>
            </w:r>
          </w:p>
        </w:tc>
        <w:tc>
          <w:tcPr>
            <w:tcW w:w="162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3,539,863</w:t>
            </w:r>
          </w:p>
        </w:tc>
        <w:tc>
          <w:tcPr>
            <w:tcW w:w="400" w:type="dxa"/>
            <w:vAlign w:val="bottom"/>
            <w:tcBorders>
              <w:bottom w:val="single" w:sz="8" w:color="CCEEFF"/>
            </w:tcBorders>
            <w:shd w:val="clear" w:color="auto" w:fill="CCEEFF"/>
          </w:tcPr>
          <w:p>
            <w:pPr>
              <w:spacing w:after="0"/>
              <w:rPr>
                <w:sz w:val="22"/>
                <w:szCs w:val="22"/>
                <w:color w:val="auto"/>
              </w:rPr>
            </w:pPr>
          </w:p>
        </w:tc>
        <w:tc>
          <w:tcPr>
            <w:tcW w:w="2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74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1,400,922</w:t>
            </w:r>
          </w:p>
        </w:tc>
      </w:tr>
      <w:tr>
        <w:trPr>
          <w:trHeight w:val="20"/>
        </w:trPr>
        <w:tc>
          <w:tcPr>
            <w:tcW w:w="408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620" w:type="dxa"/>
            <w:vAlign w:val="bottom"/>
            <w:tcBorders>
              <w:bottom w:val="single" w:sz="8" w:color="auto"/>
            </w:tcBorders>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740" w:type="dxa"/>
            <w:vAlign w:val="bottom"/>
            <w:tcBorders>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pacing w:after="0" w:line="214" w:lineRule="exact"/>
        <w:rPr>
          <w:sz w:val="20"/>
          <w:szCs w:val="20"/>
          <w:color w:val="auto"/>
        </w:rPr>
      </w:pPr>
    </w:p>
    <w:p>
      <w:pPr>
        <w:ind w:left="500" w:hanging="492"/>
        <w:spacing w:after="0"/>
        <w:tabs>
          <w:tab w:leader="none" w:pos="500" w:val="left"/>
        </w:tabs>
        <w:numPr>
          <w:ilvl w:val="0"/>
          <w:numId w:val="8"/>
        </w:numPr>
        <w:rPr>
          <w:rFonts w:ascii="Arial" w:cs="Arial" w:eastAsia="Arial" w:hAnsi="Arial"/>
          <w:sz w:val="18"/>
          <w:szCs w:val="18"/>
          <w:b w:val="1"/>
          <w:bCs w:val="1"/>
          <w:color w:val="auto"/>
        </w:rPr>
      </w:pPr>
      <w:r>
        <w:rPr>
          <w:rFonts w:ascii="Arial" w:cs="Arial" w:eastAsia="Arial" w:hAnsi="Arial"/>
          <w:sz w:val="18"/>
          <w:szCs w:val="18"/>
          <w:b w:val="1"/>
          <w:bCs w:val="1"/>
          <w:color w:val="auto"/>
        </w:rPr>
        <w:t>Inventory</w:t>
      </w:r>
    </w:p>
    <w:p>
      <w:pPr>
        <w:spacing w:after="0" w:line="121" w:lineRule="exact"/>
        <w:rPr>
          <w:sz w:val="20"/>
          <w:szCs w:val="20"/>
          <w:color w:val="auto"/>
        </w:rPr>
      </w:pPr>
    </w:p>
    <w:p>
      <w:pPr>
        <w:ind w:right="560" w:firstLine="432"/>
        <w:spacing w:after="0" w:line="286" w:lineRule="auto"/>
        <w:rPr>
          <w:sz w:val="20"/>
          <w:szCs w:val="20"/>
          <w:color w:val="auto"/>
        </w:rPr>
      </w:pPr>
      <w:r>
        <w:rPr>
          <w:rFonts w:ascii="Arial" w:cs="Arial" w:eastAsia="Arial" w:hAnsi="Arial"/>
          <w:sz w:val="17"/>
          <w:szCs w:val="17"/>
          <w:color w:val="auto"/>
        </w:rPr>
        <w:t>Inventory consists of finished goods, work-in-process and raw materials valued at the lower of cost (determined on the first-in, first-out basis) or market. We write down inventory for estimated obsolescence or unmarketable inventory in an amount equal to the difference between the cost of the inventory and the estimated market value based upon assumptions about future demand and market conditions.</w:t>
      </w:r>
    </w:p>
    <w:p>
      <w:pPr>
        <w:spacing w:after="0" w:line="166" w:lineRule="exact"/>
        <w:rPr>
          <w:sz w:val="20"/>
          <w:szCs w:val="20"/>
          <w:color w:val="auto"/>
        </w:rPr>
      </w:pPr>
    </w:p>
    <w:p>
      <w:pPr>
        <w:ind w:left="440"/>
        <w:spacing w:after="0"/>
        <w:rPr>
          <w:sz w:val="20"/>
          <w:szCs w:val="20"/>
          <w:color w:val="auto"/>
        </w:rPr>
      </w:pPr>
      <w:r>
        <w:rPr>
          <w:rFonts w:ascii="Arial" w:cs="Arial" w:eastAsia="Arial" w:hAnsi="Arial"/>
          <w:sz w:val="18"/>
          <w:szCs w:val="18"/>
          <w:color w:val="auto"/>
        </w:rPr>
        <w:t>Components of inventory were as follows:</w:t>
      </w:r>
    </w:p>
    <w:p>
      <w:pPr>
        <w:spacing w:after="0" w:line="200" w:lineRule="exact"/>
        <w:rPr>
          <w:sz w:val="20"/>
          <w:szCs w:val="20"/>
          <w:color w:val="auto"/>
        </w:rPr>
      </w:pPr>
    </w:p>
    <w:p>
      <w:pPr>
        <w:spacing w:after="0" w:line="207"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83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240" w:type="dxa"/>
            <w:vAlign w:val="bottom"/>
            <w:gridSpan w:val="2"/>
          </w:tcPr>
          <w:p>
            <w:pPr>
              <w:ind w:left="300"/>
              <w:spacing w:after="0"/>
              <w:rPr>
                <w:sz w:val="20"/>
                <w:szCs w:val="20"/>
                <w:color w:val="auto"/>
              </w:rPr>
            </w:pPr>
            <w:r>
              <w:rPr>
                <w:rFonts w:ascii="Arial" w:cs="Arial" w:eastAsia="Arial" w:hAnsi="Arial"/>
                <w:sz w:val="14"/>
                <w:szCs w:val="14"/>
                <w:b w:val="1"/>
                <w:bCs w:val="1"/>
                <w:color w:val="auto"/>
              </w:rPr>
              <w:t>June 30,</w:t>
            </w:r>
          </w:p>
        </w:tc>
        <w:tc>
          <w:tcPr>
            <w:tcW w:w="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080" w:type="dxa"/>
            <w:vAlign w:val="bottom"/>
          </w:tcPr>
          <w:p>
            <w:pPr>
              <w:jc w:val="right"/>
              <w:ind w:right="133"/>
              <w:spacing w:after="0"/>
              <w:rPr>
                <w:sz w:val="20"/>
                <w:szCs w:val="20"/>
                <w:color w:val="auto"/>
              </w:rPr>
            </w:pPr>
            <w:r>
              <w:rPr>
                <w:rFonts w:ascii="Arial" w:cs="Arial" w:eastAsia="Arial" w:hAnsi="Arial"/>
                <w:sz w:val="14"/>
                <w:szCs w:val="14"/>
                <w:b w:val="1"/>
                <w:bCs w:val="1"/>
                <w:color w:val="auto"/>
                <w:w w:val="92"/>
              </w:rPr>
              <w:t>December 31,</w:t>
            </w: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92"/>
        </w:trPr>
        <w:tc>
          <w:tcPr>
            <w:tcW w:w="8340" w:type="dxa"/>
            <w:vAlign w:val="bottom"/>
            <w:tcBorders>
              <w:bottom w:val="single" w:sz="8" w:color="CCEEFF"/>
            </w:tcBorders>
          </w:tcPr>
          <w:p>
            <w:pPr>
              <w:spacing w:after="0"/>
              <w:rPr>
                <w:sz w:val="16"/>
                <w:szCs w:val="16"/>
                <w:color w:val="auto"/>
              </w:rPr>
            </w:pPr>
          </w:p>
        </w:tc>
        <w:tc>
          <w:tcPr>
            <w:tcW w:w="160" w:type="dxa"/>
            <w:vAlign w:val="bottom"/>
            <w:tcBorders>
              <w:bottom w:val="single" w:sz="8" w:color="CCEEFF"/>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120" w:type="dxa"/>
            <w:vAlign w:val="bottom"/>
            <w:tcBorders>
              <w:bottom w:val="single" w:sz="8" w:color="auto"/>
            </w:tcBorders>
          </w:tcPr>
          <w:p>
            <w:pPr>
              <w:ind w:left="420"/>
              <w:spacing w:after="0"/>
              <w:rPr>
                <w:sz w:val="20"/>
                <w:szCs w:val="20"/>
                <w:color w:val="auto"/>
              </w:rPr>
            </w:pPr>
            <w:r>
              <w:rPr>
                <w:rFonts w:ascii="Arial" w:cs="Arial" w:eastAsia="Arial" w:hAnsi="Arial"/>
                <w:sz w:val="14"/>
                <w:szCs w:val="14"/>
                <w:b w:val="1"/>
                <w:bCs w:val="1"/>
                <w:color w:val="auto"/>
              </w:rPr>
              <w:t>2018</w:t>
            </w:r>
          </w:p>
        </w:tc>
        <w:tc>
          <w:tcPr>
            <w:tcW w:w="120" w:type="dxa"/>
            <w:vAlign w:val="bottom"/>
            <w:tcBorders>
              <w:bottom w:val="single" w:sz="8" w:color="auto"/>
            </w:tcBorders>
          </w:tcPr>
          <w:p>
            <w:pPr>
              <w:spacing w:after="0"/>
              <w:rPr>
                <w:sz w:val="16"/>
                <w:szCs w:val="16"/>
                <w:color w:val="auto"/>
              </w:rPr>
            </w:pPr>
          </w:p>
        </w:tc>
        <w:tc>
          <w:tcPr>
            <w:tcW w:w="80" w:type="dxa"/>
            <w:vAlign w:val="bottom"/>
            <w:tcBorders>
              <w:bottom w:val="single" w:sz="8" w:color="CCEEFF"/>
            </w:tcBorders>
          </w:tcPr>
          <w:p>
            <w:pPr>
              <w:spacing w:after="0"/>
              <w:rPr>
                <w:sz w:val="16"/>
                <w:szCs w:val="16"/>
                <w:color w:val="auto"/>
              </w:rPr>
            </w:pPr>
          </w:p>
        </w:tc>
        <w:tc>
          <w:tcPr>
            <w:tcW w:w="140" w:type="dxa"/>
            <w:vAlign w:val="bottom"/>
            <w:tcBorders>
              <w:bottom w:val="single" w:sz="8" w:color="CCEEFF"/>
            </w:tcBorders>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1080" w:type="dxa"/>
            <w:vAlign w:val="bottom"/>
            <w:tcBorders>
              <w:bottom w:val="single" w:sz="8" w:color="auto"/>
            </w:tcBorders>
          </w:tcPr>
          <w:p>
            <w:pPr>
              <w:jc w:val="right"/>
              <w:ind w:right="393"/>
              <w:spacing w:after="0"/>
              <w:rPr>
                <w:sz w:val="20"/>
                <w:szCs w:val="20"/>
                <w:color w:val="auto"/>
              </w:rPr>
            </w:pPr>
            <w:r>
              <w:rPr>
                <w:rFonts w:ascii="Arial" w:cs="Arial" w:eastAsia="Arial" w:hAnsi="Arial"/>
                <w:sz w:val="14"/>
                <w:szCs w:val="14"/>
                <w:b w:val="1"/>
                <w:bCs w:val="1"/>
                <w:color w:val="auto"/>
              </w:rPr>
              <w:t>2017</w:t>
            </w: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50"/>
        </w:trPr>
        <w:tc>
          <w:tcPr>
            <w:tcW w:w="834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gridSpan w:val="2"/>
            <w:shd w:val="clear" w:color="auto" w:fill="CCEEFF"/>
          </w:tcPr>
          <w:p>
            <w:pPr>
              <w:ind w:left="160"/>
              <w:spacing w:after="0"/>
              <w:rPr>
                <w:sz w:val="20"/>
                <w:szCs w:val="20"/>
                <w:color w:val="auto"/>
              </w:rPr>
            </w:pPr>
            <w:r>
              <w:rPr>
                <w:rFonts w:ascii="Arial" w:cs="Arial" w:eastAsia="Arial" w:hAnsi="Arial"/>
                <w:sz w:val="18"/>
                <w:szCs w:val="18"/>
                <w:color w:val="auto"/>
              </w:rPr>
              <w:t>(unaudited)</w:t>
            </w:r>
          </w:p>
        </w:tc>
        <w:tc>
          <w:tcPr>
            <w:tcW w:w="8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spacing w:after="0"/>
              <w:rPr>
                <w:sz w:val="21"/>
                <w:szCs w:val="21"/>
                <w:color w:val="auto"/>
              </w:rPr>
            </w:pPr>
          </w:p>
        </w:tc>
        <w:tc>
          <w:tcPr>
            <w:tcW w:w="1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8340" w:type="dxa"/>
            <w:vAlign w:val="bottom"/>
          </w:tcPr>
          <w:p>
            <w:pPr>
              <w:ind w:left="380"/>
              <w:spacing w:after="0"/>
              <w:rPr>
                <w:sz w:val="20"/>
                <w:szCs w:val="20"/>
                <w:color w:val="auto"/>
              </w:rPr>
            </w:pPr>
            <w:r>
              <w:rPr>
                <w:rFonts w:ascii="Arial" w:cs="Arial" w:eastAsia="Arial" w:hAnsi="Arial"/>
                <w:sz w:val="18"/>
                <w:szCs w:val="18"/>
                <w:color w:val="auto"/>
              </w:rPr>
              <w:t>Finished goods</w:t>
            </w:r>
          </w:p>
        </w:tc>
        <w:tc>
          <w:tcPr>
            <w:tcW w:w="28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240" w:type="dxa"/>
            <w:vAlign w:val="bottom"/>
            <w:gridSpan w:val="2"/>
          </w:tcPr>
          <w:p>
            <w:pPr>
              <w:ind w:left="420"/>
              <w:spacing w:after="0"/>
              <w:rPr>
                <w:sz w:val="20"/>
                <w:szCs w:val="20"/>
                <w:color w:val="auto"/>
              </w:rPr>
            </w:pPr>
            <w:r>
              <w:rPr>
                <w:rFonts w:ascii="Arial" w:cs="Arial" w:eastAsia="Arial" w:hAnsi="Arial"/>
                <w:sz w:val="18"/>
                <w:szCs w:val="18"/>
                <w:color w:val="auto"/>
                <w:w w:val="99"/>
              </w:rPr>
              <w:t>1,725,710</w:t>
            </w:r>
          </w:p>
        </w:tc>
        <w:tc>
          <w:tcPr>
            <w:tcW w:w="380" w:type="dxa"/>
            <w:vAlign w:val="bottom"/>
            <w:gridSpan w:val="3"/>
          </w:tcPr>
          <w:p>
            <w:pPr>
              <w:jc w:val="right"/>
              <w:ind w:right="40"/>
              <w:spacing w:after="0"/>
              <w:rPr>
                <w:sz w:val="20"/>
                <w:szCs w:val="20"/>
                <w:color w:val="auto"/>
              </w:rPr>
            </w:pPr>
            <w:r>
              <w:rPr>
                <w:rFonts w:ascii="Arial" w:cs="Arial" w:eastAsia="Arial" w:hAnsi="Arial"/>
                <w:sz w:val="18"/>
                <w:szCs w:val="18"/>
                <w:color w:val="auto"/>
              </w:rPr>
              <w:t>$</w:t>
            </w:r>
          </w:p>
        </w:tc>
        <w:tc>
          <w:tcPr>
            <w:tcW w:w="1080" w:type="dxa"/>
            <w:vAlign w:val="bottom"/>
          </w:tcPr>
          <w:p>
            <w:pPr>
              <w:jc w:val="right"/>
              <w:ind w:right="13"/>
              <w:spacing w:after="0"/>
              <w:rPr>
                <w:sz w:val="20"/>
                <w:szCs w:val="20"/>
                <w:color w:val="auto"/>
              </w:rPr>
            </w:pPr>
            <w:r>
              <w:rPr>
                <w:rFonts w:ascii="Arial" w:cs="Arial" w:eastAsia="Arial" w:hAnsi="Arial"/>
                <w:sz w:val="18"/>
                <w:szCs w:val="18"/>
                <w:color w:val="auto"/>
              </w:rPr>
              <w:t>2,143,953</w:t>
            </w:r>
          </w:p>
        </w:tc>
        <w:tc>
          <w:tcPr>
            <w:tcW w:w="1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834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80" w:type="dxa"/>
            <w:vAlign w:val="bottom"/>
          </w:tcPr>
          <w:p>
            <w:pPr>
              <w:spacing w:after="0"/>
              <w:rPr>
                <w:sz w:val="2"/>
                <w:szCs w:val="2"/>
                <w:color w:val="auto"/>
              </w:rPr>
            </w:pPr>
          </w:p>
        </w:tc>
        <w:tc>
          <w:tcPr>
            <w:tcW w:w="140" w:type="dxa"/>
            <w:vAlign w:val="bottom"/>
          </w:tcPr>
          <w:p>
            <w:pPr>
              <w:spacing w:after="0"/>
              <w:rPr>
                <w:sz w:val="2"/>
                <w:szCs w:val="2"/>
                <w:color w:val="auto"/>
              </w:rPr>
            </w:pPr>
          </w:p>
        </w:tc>
        <w:tc>
          <w:tcPr>
            <w:tcW w:w="16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834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Work-in-process</w:t>
            </w:r>
          </w:p>
        </w:tc>
        <w:tc>
          <w:tcPr>
            <w:tcW w:w="16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gridSpan w:val="2"/>
            <w:shd w:val="clear" w:color="auto" w:fill="CCEEFF"/>
          </w:tcPr>
          <w:p>
            <w:pPr>
              <w:ind w:left="560"/>
              <w:spacing w:after="0"/>
              <w:rPr>
                <w:sz w:val="20"/>
                <w:szCs w:val="20"/>
                <w:color w:val="auto"/>
              </w:rPr>
            </w:pPr>
            <w:r>
              <w:rPr>
                <w:rFonts w:ascii="Arial" w:cs="Arial" w:eastAsia="Arial" w:hAnsi="Arial"/>
                <w:sz w:val="18"/>
                <w:szCs w:val="18"/>
                <w:color w:val="auto"/>
              </w:rPr>
              <w:t>644,696</w:t>
            </w:r>
          </w:p>
        </w:tc>
        <w:tc>
          <w:tcPr>
            <w:tcW w:w="8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578,195</w:t>
            </w:r>
          </w:p>
        </w:tc>
        <w:tc>
          <w:tcPr>
            <w:tcW w:w="1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8340" w:type="dxa"/>
            <w:vAlign w:val="bottom"/>
          </w:tcPr>
          <w:p>
            <w:pPr>
              <w:ind w:left="380"/>
              <w:spacing w:after="0"/>
              <w:rPr>
                <w:sz w:val="20"/>
                <w:szCs w:val="20"/>
                <w:color w:val="auto"/>
              </w:rPr>
            </w:pPr>
            <w:r>
              <w:rPr>
                <w:rFonts w:ascii="Arial" w:cs="Arial" w:eastAsia="Arial" w:hAnsi="Arial"/>
                <w:sz w:val="18"/>
                <w:szCs w:val="18"/>
                <w:color w:val="auto"/>
              </w:rPr>
              <w:t>Raw materials</w:t>
            </w:r>
          </w:p>
        </w:tc>
        <w:tc>
          <w:tcPr>
            <w:tcW w:w="16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240" w:type="dxa"/>
            <w:vAlign w:val="bottom"/>
            <w:gridSpan w:val="2"/>
          </w:tcPr>
          <w:p>
            <w:pPr>
              <w:ind w:left="420"/>
              <w:spacing w:after="0"/>
              <w:rPr>
                <w:sz w:val="20"/>
                <w:szCs w:val="20"/>
                <w:color w:val="auto"/>
              </w:rPr>
            </w:pPr>
            <w:r>
              <w:rPr>
                <w:rFonts w:ascii="Arial" w:cs="Arial" w:eastAsia="Arial" w:hAnsi="Arial"/>
                <w:sz w:val="18"/>
                <w:szCs w:val="18"/>
                <w:color w:val="auto"/>
                <w:w w:val="99"/>
              </w:rPr>
              <w:t>4,536,592</w:t>
            </w:r>
          </w:p>
        </w:tc>
        <w:tc>
          <w:tcPr>
            <w:tcW w:w="8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080" w:type="dxa"/>
            <w:vAlign w:val="bottom"/>
          </w:tcPr>
          <w:p>
            <w:pPr>
              <w:jc w:val="right"/>
              <w:ind w:right="13"/>
              <w:spacing w:after="0"/>
              <w:rPr>
                <w:sz w:val="20"/>
                <w:szCs w:val="20"/>
                <w:color w:val="auto"/>
              </w:rPr>
            </w:pPr>
            <w:r>
              <w:rPr>
                <w:rFonts w:ascii="Arial" w:cs="Arial" w:eastAsia="Arial" w:hAnsi="Arial"/>
                <w:sz w:val="18"/>
                <w:szCs w:val="18"/>
                <w:color w:val="auto"/>
              </w:rPr>
              <w:t>4,228,962</w:t>
            </w:r>
          </w:p>
        </w:tc>
        <w:tc>
          <w:tcPr>
            <w:tcW w:w="1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8340" w:type="dxa"/>
            <w:vAlign w:val="bottom"/>
            <w:tcBorders>
              <w:bottom w:val="single" w:sz="8" w:color="CCEEFF"/>
            </w:tcBorders>
          </w:tcPr>
          <w:p>
            <w:pPr>
              <w:spacing w:after="0"/>
              <w:rPr>
                <w:sz w:val="2"/>
                <w:szCs w:val="2"/>
                <w:color w:val="auto"/>
              </w:rPr>
            </w:pPr>
          </w:p>
        </w:tc>
        <w:tc>
          <w:tcPr>
            <w:tcW w:w="160" w:type="dxa"/>
            <w:vAlign w:val="bottom"/>
            <w:tcBorders>
              <w:bottom w:val="single" w:sz="8" w:color="CCEEFF"/>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69"/>
        </w:trPr>
        <w:tc>
          <w:tcPr>
            <w:tcW w:w="83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Total inventory</w:t>
            </w:r>
          </w:p>
        </w:tc>
        <w:tc>
          <w:tcPr>
            <w:tcW w:w="280" w:type="dxa"/>
            <w:vAlign w:val="bottom"/>
            <w:tcBorders>
              <w:bottom w:val="single" w:sz="8" w:color="CCEEFF"/>
            </w:tcBorders>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240" w:type="dxa"/>
            <w:vAlign w:val="bottom"/>
            <w:tcBorders>
              <w:bottom w:val="single" w:sz="8" w:color="CCEEFF"/>
            </w:tcBorders>
            <w:gridSpan w:val="2"/>
            <w:shd w:val="clear" w:color="auto" w:fill="CCEEFF"/>
          </w:tcPr>
          <w:p>
            <w:pPr>
              <w:ind w:left="420"/>
              <w:spacing w:after="0"/>
              <w:rPr>
                <w:sz w:val="20"/>
                <w:szCs w:val="20"/>
                <w:color w:val="auto"/>
              </w:rPr>
            </w:pPr>
            <w:r>
              <w:rPr>
                <w:rFonts w:ascii="Arial" w:cs="Arial" w:eastAsia="Arial" w:hAnsi="Arial"/>
                <w:sz w:val="18"/>
                <w:szCs w:val="18"/>
                <w:color w:val="auto"/>
                <w:w w:val="99"/>
              </w:rPr>
              <w:t>6,906,998</w:t>
            </w:r>
          </w:p>
        </w:tc>
        <w:tc>
          <w:tcPr>
            <w:tcW w:w="380" w:type="dxa"/>
            <w:vAlign w:val="bottom"/>
            <w:tcBorders>
              <w:bottom w:val="single" w:sz="8" w:color="CCEEFF"/>
            </w:tcBorders>
            <w:gridSpan w:val="3"/>
            <w:shd w:val="clear" w:color="auto" w:fill="CCEEFF"/>
          </w:tcPr>
          <w:p>
            <w:pPr>
              <w:jc w:val="right"/>
              <w:ind w:right="40"/>
              <w:spacing w:after="0"/>
              <w:rPr>
                <w:sz w:val="20"/>
                <w:szCs w:val="20"/>
                <w:color w:val="auto"/>
              </w:rPr>
            </w:pPr>
            <w:r>
              <w:rPr>
                <w:rFonts w:ascii="Arial" w:cs="Arial" w:eastAsia="Arial" w:hAnsi="Arial"/>
                <w:sz w:val="18"/>
                <w:szCs w:val="18"/>
                <w:color w:val="auto"/>
              </w:rPr>
              <w:t>$</w:t>
            </w:r>
          </w:p>
        </w:tc>
        <w:tc>
          <w:tcPr>
            <w:tcW w:w="108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6,951,110</w:t>
            </w:r>
          </w:p>
        </w:tc>
        <w:tc>
          <w:tcPr>
            <w:tcW w:w="1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0"/>
        </w:trPr>
        <w:tc>
          <w:tcPr>
            <w:tcW w:w="8340" w:type="dxa"/>
            <w:vAlign w:val="bottom"/>
            <w:tcBorders>
              <w:top w:val="single" w:sz="8" w:color="CCEEFF"/>
              <w:bottom w:val="single" w:sz="8" w:color="CCEEFF"/>
            </w:tcBorders>
            <w:vMerge w:val="restart"/>
          </w:tcPr>
          <w:p>
            <w:pPr>
              <w:spacing w:after="0"/>
              <w:rPr>
                <w:sz w:val="20"/>
                <w:szCs w:val="20"/>
                <w:color w:val="auto"/>
              </w:rPr>
            </w:pPr>
            <w:r>
              <w:rPr>
                <w:rFonts w:ascii="Arial" w:cs="Arial" w:eastAsia="Arial" w:hAnsi="Arial"/>
                <w:sz w:val="18"/>
                <w:szCs w:val="18"/>
                <w:b w:val="1"/>
                <w:bCs w:val="1"/>
                <w:color w:val="auto"/>
              </w:rPr>
              <w:t>5.  Accrued Liabilities</w:t>
            </w:r>
          </w:p>
        </w:tc>
        <w:tc>
          <w:tcPr>
            <w:tcW w:w="16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11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10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575"/>
        </w:trPr>
        <w:tc>
          <w:tcPr>
            <w:tcW w:w="8340" w:type="dxa"/>
            <w:vAlign w:val="bottom"/>
            <w:vMerge w:val="continue"/>
          </w:tcPr>
          <w:p>
            <w:pPr>
              <w:spacing w:after="0"/>
              <w:rPr>
                <w:sz w:val="24"/>
                <w:szCs w:val="24"/>
                <w:color w:val="auto"/>
              </w:rPr>
            </w:pPr>
          </w:p>
        </w:tc>
        <w:tc>
          <w:tcPr>
            <w:tcW w:w="1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32"/>
        </w:trPr>
        <w:tc>
          <w:tcPr>
            <w:tcW w:w="8340" w:type="dxa"/>
            <w:vAlign w:val="bottom"/>
          </w:tcPr>
          <w:p>
            <w:pPr>
              <w:ind w:left="660"/>
              <w:spacing w:after="0"/>
              <w:rPr>
                <w:sz w:val="20"/>
                <w:szCs w:val="20"/>
                <w:color w:val="auto"/>
              </w:rPr>
            </w:pPr>
            <w:r>
              <w:rPr>
                <w:rFonts w:ascii="Arial" w:cs="Arial" w:eastAsia="Arial" w:hAnsi="Arial"/>
                <w:sz w:val="18"/>
                <w:szCs w:val="18"/>
                <w:color w:val="auto"/>
              </w:rPr>
              <w:t>Accrued liabilities at June 30, 2018 and December 31, 2017 consisted of the following:</w:t>
            </w:r>
          </w:p>
        </w:tc>
        <w:tc>
          <w:tcPr>
            <w:tcW w:w="1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72"/>
        </w:trPr>
        <w:tc>
          <w:tcPr>
            <w:tcW w:w="83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360" w:type="dxa"/>
            <w:vAlign w:val="bottom"/>
            <w:gridSpan w:val="3"/>
          </w:tcPr>
          <w:p>
            <w:pPr>
              <w:ind w:left="60"/>
              <w:spacing w:after="0"/>
              <w:rPr>
                <w:sz w:val="20"/>
                <w:szCs w:val="20"/>
                <w:color w:val="auto"/>
              </w:rPr>
            </w:pPr>
            <w:r>
              <w:rPr>
                <w:rFonts w:ascii="Arial" w:cs="Arial" w:eastAsia="Arial" w:hAnsi="Arial"/>
                <w:sz w:val="16"/>
                <w:szCs w:val="16"/>
                <w:b w:val="1"/>
                <w:bCs w:val="1"/>
                <w:color w:val="auto"/>
              </w:rPr>
              <w:t>June 30, 2018</w:t>
            </w:r>
          </w:p>
        </w:tc>
        <w:tc>
          <w:tcPr>
            <w:tcW w:w="80" w:type="dxa"/>
            <w:vAlign w:val="bottom"/>
          </w:tcPr>
          <w:p>
            <w:pPr>
              <w:spacing w:after="0"/>
              <w:rPr>
                <w:sz w:val="24"/>
                <w:szCs w:val="24"/>
                <w:color w:val="auto"/>
              </w:rPr>
            </w:pPr>
          </w:p>
        </w:tc>
        <w:tc>
          <w:tcPr>
            <w:tcW w:w="1380" w:type="dxa"/>
            <w:vAlign w:val="bottom"/>
            <w:gridSpan w:val="3"/>
          </w:tcPr>
          <w:p>
            <w:pPr>
              <w:ind w:left="40"/>
              <w:spacing w:after="0"/>
              <w:rPr>
                <w:sz w:val="20"/>
                <w:szCs w:val="20"/>
                <w:color w:val="auto"/>
              </w:rPr>
            </w:pPr>
            <w:r>
              <w:rPr>
                <w:rFonts w:ascii="Arial" w:cs="Arial" w:eastAsia="Arial" w:hAnsi="Arial"/>
                <w:sz w:val="16"/>
                <w:szCs w:val="16"/>
                <w:b w:val="1"/>
                <w:bCs w:val="1"/>
                <w:color w:val="auto"/>
                <w:w w:val="91"/>
              </w:rPr>
              <w:t>December 31, 2017</w:t>
            </w: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3"/>
        </w:trPr>
        <w:tc>
          <w:tcPr>
            <w:tcW w:w="834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8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834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gridSpan w:val="2"/>
            <w:shd w:val="clear" w:color="auto" w:fill="CCEEFF"/>
          </w:tcPr>
          <w:p>
            <w:pPr>
              <w:spacing w:after="0"/>
              <w:rPr>
                <w:sz w:val="20"/>
                <w:szCs w:val="20"/>
                <w:color w:val="auto"/>
              </w:rPr>
            </w:pPr>
            <w:r>
              <w:rPr>
                <w:rFonts w:ascii="Arial" w:cs="Arial" w:eastAsia="Arial" w:hAnsi="Arial"/>
                <w:sz w:val="18"/>
                <w:szCs w:val="18"/>
                <w:color w:val="auto"/>
              </w:rPr>
              <w:t>(unaudited)</w:t>
            </w:r>
          </w:p>
        </w:tc>
        <w:tc>
          <w:tcPr>
            <w:tcW w:w="8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8340" w:type="dxa"/>
            <w:vAlign w:val="bottom"/>
          </w:tcPr>
          <w:p>
            <w:pPr>
              <w:ind w:left="380"/>
              <w:spacing w:after="0"/>
              <w:rPr>
                <w:sz w:val="20"/>
                <w:szCs w:val="20"/>
                <w:color w:val="auto"/>
              </w:rPr>
            </w:pPr>
            <w:r>
              <w:rPr>
                <w:rFonts w:ascii="Arial" w:cs="Arial" w:eastAsia="Arial" w:hAnsi="Arial"/>
                <w:sz w:val="18"/>
                <w:szCs w:val="18"/>
                <w:color w:val="auto"/>
              </w:rPr>
              <w:t>Accrued compensation</w:t>
            </w:r>
          </w:p>
        </w:tc>
        <w:tc>
          <w:tcPr>
            <w:tcW w:w="16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20" w:type="dxa"/>
            <w:vAlign w:val="bottom"/>
          </w:tcPr>
          <w:p>
            <w:pPr>
              <w:spacing w:after="0"/>
              <w:rPr>
                <w:sz w:val="21"/>
                <w:szCs w:val="21"/>
                <w:color w:val="auto"/>
              </w:rPr>
            </w:pPr>
          </w:p>
        </w:tc>
        <w:tc>
          <w:tcPr>
            <w:tcW w:w="1120" w:type="dxa"/>
            <w:vAlign w:val="bottom"/>
          </w:tcPr>
          <w:p>
            <w:pPr>
              <w:jc w:val="right"/>
              <w:ind w:right="32"/>
              <w:spacing w:after="0"/>
              <w:rPr>
                <w:sz w:val="20"/>
                <w:szCs w:val="20"/>
                <w:color w:val="auto"/>
              </w:rPr>
            </w:pPr>
            <w:r>
              <w:rPr>
                <w:rFonts w:ascii="Arial" w:cs="Arial" w:eastAsia="Arial" w:hAnsi="Arial"/>
                <w:sz w:val="18"/>
                <w:szCs w:val="18"/>
                <w:color w:val="auto"/>
              </w:rPr>
              <w:t>4,396,462</w:t>
            </w:r>
          </w:p>
        </w:tc>
        <w:tc>
          <w:tcPr>
            <w:tcW w:w="120" w:type="dxa"/>
            <w:vAlign w:val="bottom"/>
          </w:tcPr>
          <w:p>
            <w:pPr>
              <w:spacing w:after="0"/>
              <w:rPr>
                <w:sz w:val="21"/>
                <w:szCs w:val="21"/>
                <w:color w:val="auto"/>
              </w:rPr>
            </w:pPr>
          </w:p>
        </w:tc>
        <w:tc>
          <w:tcPr>
            <w:tcW w:w="220" w:type="dxa"/>
            <w:vAlign w:val="bottom"/>
            <w:gridSpan w:val="2"/>
          </w:tcPr>
          <w:p>
            <w:pPr>
              <w:ind w:left="120"/>
              <w:spacing w:after="0"/>
              <w:rPr>
                <w:sz w:val="20"/>
                <w:szCs w:val="20"/>
                <w:color w:val="auto"/>
              </w:rPr>
            </w:pPr>
            <w:r>
              <w:rPr>
                <w:rFonts w:ascii="Arial" w:cs="Arial" w:eastAsia="Arial" w:hAnsi="Arial"/>
                <w:sz w:val="18"/>
                <w:szCs w:val="18"/>
                <w:color w:val="auto"/>
                <w:w w:val="79"/>
              </w:rPr>
              <w:t>$</w:t>
            </w:r>
          </w:p>
        </w:tc>
        <w:tc>
          <w:tcPr>
            <w:tcW w:w="160" w:type="dxa"/>
            <w:vAlign w:val="bottom"/>
          </w:tcPr>
          <w:p>
            <w:pPr>
              <w:spacing w:after="0"/>
              <w:rPr>
                <w:sz w:val="21"/>
                <w:szCs w:val="21"/>
                <w:color w:val="auto"/>
              </w:rPr>
            </w:pPr>
          </w:p>
        </w:tc>
        <w:tc>
          <w:tcPr>
            <w:tcW w:w="1080" w:type="dxa"/>
            <w:vAlign w:val="bottom"/>
          </w:tcPr>
          <w:p>
            <w:pPr>
              <w:jc w:val="right"/>
              <w:ind w:right="33"/>
              <w:spacing w:after="0"/>
              <w:rPr>
                <w:sz w:val="20"/>
                <w:szCs w:val="20"/>
                <w:color w:val="auto"/>
              </w:rPr>
            </w:pPr>
            <w:r>
              <w:rPr>
                <w:rFonts w:ascii="Arial" w:cs="Arial" w:eastAsia="Arial" w:hAnsi="Arial"/>
                <w:sz w:val="18"/>
                <w:szCs w:val="18"/>
                <w:color w:val="auto"/>
              </w:rPr>
              <w:t>5,274,005</w:t>
            </w:r>
          </w:p>
        </w:tc>
        <w:tc>
          <w:tcPr>
            <w:tcW w:w="1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834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80" w:type="dxa"/>
            <w:vAlign w:val="bottom"/>
          </w:tcPr>
          <w:p>
            <w:pPr>
              <w:spacing w:after="0"/>
              <w:rPr>
                <w:sz w:val="2"/>
                <w:szCs w:val="2"/>
                <w:color w:val="auto"/>
              </w:rPr>
            </w:pPr>
          </w:p>
        </w:tc>
        <w:tc>
          <w:tcPr>
            <w:tcW w:w="140" w:type="dxa"/>
            <w:vAlign w:val="bottom"/>
          </w:tcPr>
          <w:p>
            <w:pPr>
              <w:spacing w:after="0"/>
              <w:rPr>
                <w:sz w:val="2"/>
                <w:szCs w:val="2"/>
                <w:color w:val="auto"/>
              </w:rPr>
            </w:pPr>
          </w:p>
        </w:tc>
        <w:tc>
          <w:tcPr>
            <w:tcW w:w="16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834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Income tax payable</w:t>
            </w:r>
          </w:p>
        </w:tc>
        <w:tc>
          <w:tcPr>
            <w:tcW w:w="16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ind w:left="420"/>
              <w:spacing w:after="0"/>
              <w:rPr>
                <w:sz w:val="20"/>
                <w:szCs w:val="20"/>
                <w:color w:val="auto"/>
              </w:rPr>
            </w:pPr>
            <w:r>
              <w:rPr>
                <w:rFonts w:ascii="Arial" w:cs="Arial" w:eastAsia="Arial" w:hAnsi="Arial"/>
                <w:sz w:val="18"/>
                <w:szCs w:val="18"/>
                <w:color w:val="auto"/>
              </w:rPr>
              <w:t>371,186</w:t>
            </w:r>
          </w:p>
        </w:tc>
        <w:tc>
          <w:tcPr>
            <w:tcW w:w="120" w:type="dxa"/>
            <w:vAlign w:val="bottom"/>
            <w:tcBorders>
              <w:bottom w:val="single" w:sz="8" w:color="CCEEFF"/>
            </w:tcBorders>
            <w:shd w:val="clear" w:color="auto" w:fill="CCEEFF"/>
          </w:tcPr>
          <w:p>
            <w:pPr>
              <w:spacing w:after="0"/>
              <w:rPr>
                <w:sz w:val="21"/>
                <w:szCs w:val="21"/>
                <w:color w:val="auto"/>
              </w:rPr>
            </w:pPr>
          </w:p>
        </w:tc>
        <w:tc>
          <w:tcPr>
            <w:tcW w:w="8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33"/>
              <w:spacing w:after="0"/>
              <w:rPr>
                <w:sz w:val="20"/>
                <w:szCs w:val="20"/>
                <w:color w:val="auto"/>
              </w:rPr>
            </w:pPr>
            <w:r>
              <w:rPr>
                <w:rFonts w:ascii="Arial" w:cs="Arial" w:eastAsia="Arial" w:hAnsi="Arial"/>
                <w:sz w:val="18"/>
                <w:szCs w:val="18"/>
                <w:color w:val="auto"/>
              </w:rPr>
              <w:t>403,548</w:t>
            </w:r>
          </w:p>
        </w:tc>
        <w:tc>
          <w:tcPr>
            <w:tcW w:w="10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8340" w:type="dxa"/>
            <w:vAlign w:val="bottom"/>
          </w:tcPr>
          <w:p>
            <w:pPr>
              <w:ind w:left="380"/>
              <w:spacing w:after="0"/>
              <w:rPr>
                <w:sz w:val="20"/>
                <w:szCs w:val="20"/>
                <w:color w:val="auto"/>
              </w:rPr>
            </w:pPr>
            <w:r>
              <w:rPr>
                <w:rFonts w:ascii="Arial" w:cs="Arial" w:eastAsia="Arial" w:hAnsi="Arial"/>
                <w:sz w:val="18"/>
                <w:szCs w:val="18"/>
                <w:color w:val="auto"/>
              </w:rPr>
              <w:t>Accrued professional fees</w:t>
            </w:r>
          </w:p>
        </w:tc>
        <w:tc>
          <w:tcPr>
            <w:tcW w:w="16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120" w:type="dxa"/>
            <w:vAlign w:val="bottom"/>
          </w:tcPr>
          <w:p>
            <w:pPr>
              <w:ind w:left="420"/>
              <w:spacing w:after="0"/>
              <w:rPr>
                <w:sz w:val="20"/>
                <w:szCs w:val="20"/>
                <w:color w:val="auto"/>
              </w:rPr>
            </w:pPr>
            <w:r>
              <w:rPr>
                <w:rFonts w:ascii="Arial" w:cs="Arial" w:eastAsia="Arial" w:hAnsi="Arial"/>
                <w:sz w:val="18"/>
                <w:szCs w:val="18"/>
                <w:color w:val="auto"/>
              </w:rPr>
              <w:t>122,626</w:t>
            </w:r>
          </w:p>
        </w:tc>
        <w:tc>
          <w:tcPr>
            <w:tcW w:w="12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080" w:type="dxa"/>
            <w:vAlign w:val="bottom"/>
          </w:tcPr>
          <w:p>
            <w:pPr>
              <w:jc w:val="right"/>
              <w:ind w:right="33"/>
              <w:spacing w:after="0"/>
              <w:rPr>
                <w:sz w:val="20"/>
                <w:szCs w:val="20"/>
                <w:color w:val="auto"/>
              </w:rPr>
            </w:pPr>
            <w:r>
              <w:rPr>
                <w:rFonts w:ascii="Arial" w:cs="Arial" w:eastAsia="Arial" w:hAnsi="Arial"/>
                <w:sz w:val="18"/>
                <w:szCs w:val="18"/>
                <w:color w:val="auto"/>
              </w:rPr>
              <w:t>117,445</w:t>
            </w:r>
          </w:p>
        </w:tc>
        <w:tc>
          <w:tcPr>
            <w:tcW w:w="1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834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80" w:type="dxa"/>
            <w:vAlign w:val="bottom"/>
          </w:tcPr>
          <w:p>
            <w:pPr>
              <w:spacing w:after="0"/>
              <w:rPr>
                <w:sz w:val="2"/>
                <w:szCs w:val="2"/>
                <w:color w:val="auto"/>
              </w:rPr>
            </w:pPr>
          </w:p>
        </w:tc>
        <w:tc>
          <w:tcPr>
            <w:tcW w:w="140" w:type="dxa"/>
            <w:vAlign w:val="bottom"/>
          </w:tcPr>
          <w:p>
            <w:pPr>
              <w:spacing w:after="0"/>
              <w:rPr>
                <w:sz w:val="2"/>
                <w:szCs w:val="2"/>
                <w:color w:val="auto"/>
              </w:rPr>
            </w:pPr>
          </w:p>
        </w:tc>
        <w:tc>
          <w:tcPr>
            <w:tcW w:w="16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834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Deferred rent</w:t>
            </w:r>
          </w:p>
        </w:tc>
        <w:tc>
          <w:tcPr>
            <w:tcW w:w="16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ind w:left="420"/>
              <w:spacing w:after="0"/>
              <w:rPr>
                <w:sz w:val="20"/>
                <w:szCs w:val="20"/>
                <w:color w:val="auto"/>
              </w:rPr>
            </w:pPr>
            <w:r>
              <w:rPr>
                <w:rFonts w:ascii="Arial" w:cs="Arial" w:eastAsia="Arial" w:hAnsi="Arial"/>
                <w:sz w:val="18"/>
                <w:szCs w:val="18"/>
                <w:color w:val="auto"/>
              </w:rPr>
              <w:t>148,506</w:t>
            </w:r>
          </w:p>
        </w:tc>
        <w:tc>
          <w:tcPr>
            <w:tcW w:w="120" w:type="dxa"/>
            <w:vAlign w:val="bottom"/>
            <w:tcBorders>
              <w:bottom w:val="single" w:sz="8" w:color="CCEEFF"/>
            </w:tcBorders>
            <w:shd w:val="clear" w:color="auto" w:fill="CCEEFF"/>
          </w:tcPr>
          <w:p>
            <w:pPr>
              <w:spacing w:after="0"/>
              <w:rPr>
                <w:sz w:val="21"/>
                <w:szCs w:val="21"/>
                <w:color w:val="auto"/>
              </w:rPr>
            </w:pPr>
          </w:p>
        </w:tc>
        <w:tc>
          <w:tcPr>
            <w:tcW w:w="8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33"/>
              <w:spacing w:after="0"/>
              <w:rPr>
                <w:sz w:val="20"/>
                <w:szCs w:val="20"/>
                <w:color w:val="auto"/>
              </w:rPr>
            </w:pPr>
            <w:r>
              <w:rPr>
                <w:rFonts w:ascii="Arial" w:cs="Arial" w:eastAsia="Arial" w:hAnsi="Arial"/>
                <w:sz w:val="18"/>
                <w:szCs w:val="18"/>
                <w:color w:val="auto"/>
              </w:rPr>
              <w:t>144,741</w:t>
            </w:r>
          </w:p>
        </w:tc>
        <w:tc>
          <w:tcPr>
            <w:tcW w:w="10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8340" w:type="dxa"/>
            <w:vAlign w:val="bottom"/>
          </w:tcPr>
          <w:p>
            <w:pPr>
              <w:ind w:left="380"/>
              <w:spacing w:after="0"/>
              <w:rPr>
                <w:sz w:val="20"/>
                <w:szCs w:val="20"/>
                <w:color w:val="auto"/>
              </w:rPr>
            </w:pPr>
            <w:r>
              <w:rPr>
                <w:rFonts w:ascii="Arial" w:cs="Arial" w:eastAsia="Arial" w:hAnsi="Arial"/>
                <w:sz w:val="18"/>
                <w:szCs w:val="18"/>
                <w:color w:val="auto"/>
              </w:rPr>
              <w:t>Royalties</w:t>
            </w:r>
          </w:p>
        </w:tc>
        <w:tc>
          <w:tcPr>
            <w:tcW w:w="16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120" w:type="dxa"/>
            <w:vAlign w:val="bottom"/>
          </w:tcPr>
          <w:p>
            <w:pPr>
              <w:ind w:left="420"/>
              <w:spacing w:after="0"/>
              <w:rPr>
                <w:sz w:val="20"/>
                <w:szCs w:val="20"/>
                <w:color w:val="auto"/>
              </w:rPr>
            </w:pPr>
            <w:r>
              <w:rPr>
                <w:rFonts w:ascii="Arial" w:cs="Arial" w:eastAsia="Arial" w:hAnsi="Arial"/>
                <w:sz w:val="18"/>
                <w:szCs w:val="18"/>
                <w:color w:val="auto"/>
              </w:rPr>
              <w:t>148,433</w:t>
            </w:r>
          </w:p>
        </w:tc>
        <w:tc>
          <w:tcPr>
            <w:tcW w:w="12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080" w:type="dxa"/>
            <w:vAlign w:val="bottom"/>
          </w:tcPr>
          <w:p>
            <w:pPr>
              <w:jc w:val="right"/>
              <w:ind w:right="33"/>
              <w:spacing w:after="0"/>
              <w:rPr>
                <w:sz w:val="20"/>
                <w:szCs w:val="20"/>
                <w:color w:val="auto"/>
              </w:rPr>
            </w:pPr>
            <w:r>
              <w:rPr>
                <w:rFonts w:ascii="Arial" w:cs="Arial" w:eastAsia="Arial" w:hAnsi="Arial"/>
                <w:sz w:val="18"/>
                <w:szCs w:val="18"/>
                <w:color w:val="auto"/>
              </w:rPr>
              <w:t>290,235</w:t>
            </w:r>
          </w:p>
        </w:tc>
        <w:tc>
          <w:tcPr>
            <w:tcW w:w="1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834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80" w:type="dxa"/>
            <w:vAlign w:val="bottom"/>
          </w:tcPr>
          <w:p>
            <w:pPr>
              <w:spacing w:after="0"/>
              <w:rPr>
                <w:sz w:val="2"/>
                <w:szCs w:val="2"/>
                <w:color w:val="auto"/>
              </w:rPr>
            </w:pPr>
          </w:p>
        </w:tc>
        <w:tc>
          <w:tcPr>
            <w:tcW w:w="140" w:type="dxa"/>
            <w:vAlign w:val="bottom"/>
          </w:tcPr>
          <w:p>
            <w:pPr>
              <w:spacing w:after="0"/>
              <w:rPr>
                <w:sz w:val="2"/>
                <w:szCs w:val="2"/>
                <w:color w:val="auto"/>
              </w:rPr>
            </w:pPr>
          </w:p>
        </w:tc>
        <w:tc>
          <w:tcPr>
            <w:tcW w:w="16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834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Accrued interest</w:t>
            </w:r>
          </w:p>
        </w:tc>
        <w:tc>
          <w:tcPr>
            <w:tcW w:w="16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8,854</w:t>
            </w:r>
          </w:p>
        </w:tc>
        <w:tc>
          <w:tcPr>
            <w:tcW w:w="120" w:type="dxa"/>
            <w:vAlign w:val="bottom"/>
            <w:tcBorders>
              <w:bottom w:val="single" w:sz="8" w:color="CCEEFF"/>
            </w:tcBorders>
            <w:shd w:val="clear" w:color="auto" w:fill="CCEEFF"/>
          </w:tcPr>
          <w:p>
            <w:pPr>
              <w:spacing w:after="0"/>
              <w:rPr>
                <w:sz w:val="21"/>
                <w:szCs w:val="21"/>
                <w:color w:val="auto"/>
              </w:rPr>
            </w:pPr>
          </w:p>
        </w:tc>
        <w:tc>
          <w:tcPr>
            <w:tcW w:w="8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33"/>
              <w:spacing w:after="0"/>
              <w:rPr>
                <w:sz w:val="20"/>
                <w:szCs w:val="20"/>
                <w:color w:val="auto"/>
              </w:rPr>
            </w:pPr>
            <w:r>
              <w:rPr>
                <w:rFonts w:ascii="Arial" w:cs="Arial" w:eastAsia="Arial" w:hAnsi="Arial"/>
                <w:sz w:val="18"/>
                <w:szCs w:val="18"/>
                <w:color w:val="auto"/>
              </w:rPr>
              <w:t>—</w:t>
            </w:r>
          </w:p>
        </w:tc>
        <w:tc>
          <w:tcPr>
            <w:tcW w:w="10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8340" w:type="dxa"/>
            <w:vAlign w:val="bottom"/>
          </w:tcPr>
          <w:p>
            <w:pPr>
              <w:ind w:left="380"/>
              <w:spacing w:after="0"/>
              <w:rPr>
                <w:sz w:val="20"/>
                <w:szCs w:val="20"/>
                <w:color w:val="auto"/>
              </w:rPr>
            </w:pPr>
            <w:r>
              <w:rPr>
                <w:rFonts w:ascii="Arial" w:cs="Arial" w:eastAsia="Arial" w:hAnsi="Arial"/>
                <w:sz w:val="18"/>
                <w:szCs w:val="18"/>
                <w:color w:val="auto"/>
              </w:rPr>
              <w:t>Accrued liabilities - other</w:t>
            </w:r>
          </w:p>
        </w:tc>
        <w:tc>
          <w:tcPr>
            <w:tcW w:w="16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120" w:type="dxa"/>
            <w:vAlign w:val="bottom"/>
          </w:tcPr>
          <w:p>
            <w:pPr>
              <w:ind w:left="420"/>
              <w:spacing w:after="0"/>
              <w:rPr>
                <w:sz w:val="20"/>
                <w:szCs w:val="20"/>
                <w:color w:val="auto"/>
              </w:rPr>
            </w:pPr>
            <w:r>
              <w:rPr>
                <w:rFonts w:ascii="Arial" w:cs="Arial" w:eastAsia="Arial" w:hAnsi="Arial"/>
                <w:sz w:val="18"/>
                <w:szCs w:val="18"/>
                <w:color w:val="auto"/>
              </w:rPr>
              <w:t>358,414</w:t>
            </w:r>
          </w:p>
        </w:tc>
        <w:tc>
          <w:tcPr>
            <w:tcW w:w="12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080" w:type="dxa"/>
            <w:vAlign w:val="bottom"/>
          </w:tcPr>
          <w:p>
            <w:pPr>
              <w:jc w:val="right"/>
              <w:ind w:right="33"/>
              <w:spacing w:after="0"/>
              <w:rPr>
                <w:sz w:val="20"/>
                <w:szCs w:val="20"/>
                <w:color w:val="auto"/>
              </w:rPr>
            </w:pPr>
            <w:r>
              <w:rPr>
                <w:rFonts w:ascii="Arial" w:cs="Arial" w:eastAsia="Arial" w:hAnsi="Arial"/>
                <w:sz w:val="18"/>
                <w:szCs w:val="18"/>
                <w:color w:val="auto"/>
              </w:rPr>
              <w:t>327,675</w:t>
            </w:r>
          </w:p>
        </w:tc>
        <w:tc>
          <w:tcPr>
            <w:tcW w:w="1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834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8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0" w:type="dxa"/>
            <w:vAlign w:val="bottom"/>
          </w:tcPr>
          <w:p>
            <w:pPr>
              <w:spacing w:after="0"/>
              <w:rPr>
                <w:sz w:val="1"/>
                <w:szCs w:val="1"/>
                <w:color w:val="auto"/>
              </w:rPr>
            </w:pPr>
          </w:p>
        </w:tc>
      </w:tr>
      <w:tr>
        <w:trPr>
          <w:trHeight w:val="269"/>
        </w:trPr>
        <w:tc>
          <w:tcPr>
            <w:tcW w:w="83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Total accrued liabilities</w:t>
            </w: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20" w:type="dxa"/>
            <w:vAlign w:val="bottom"/>
            <w:tcBorders>
              <w:bottom w:val="single" w:sz="8" w:color="CCEEFF"/>
            </w:tcBorders>
            <w:shd w:val="clear" w:color="auto" w:fill="CCEEFF"/>
          </w:tcPr>
          <w:p>
            <w:pPr>
              <w:spacing w:after="0"/>
              <w:rPr>
                <w:sz w:val="22"/>
                <w:szCs w:val="22"/>
                <w:color w:val="auto"/>
              </w:rPr>
            </w:pPr>
          </w:p>
        </w:tc>
        <w:tc>
          <w:tcPr>
            <w:tcW w:w="112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5,554,481</w:t>
            </w:r>
          </w:p>
        </w:tc>
        <w:tc>
          <w:tcPr>
            <w:tcW w:w="120" w:type="dxa"/>
            <w:vAlign w:val="bottom"/>
            <w:tcBorders>
              <w:bottom w:val="single" w:sz="8" w:color="CCEEFF"/>
            </w:tcBorders>
            <w:shd w:val="clear" w:color="auto" w:fill="CCEEFF"/>
          </w:tcPr>
          <w:p>
            <w:pPr>
              <w:spacing w:after="0"/>
              <w:rPr>
                <w:sz w:val="22"/>
                <w:szCs w:val="22"/>
                <w:color w:val="auto"/>
              </w:rPr>
            </w:pPr>
          </w:p>
        </w:tc>
        <w:tc>
          <w:tcPr>
            <w:tcW w:w="220" w:type="dxa"/>
            <w:vAlign w:val="bottom"/>
            <w:tcBorders>
              <w:bottom w:val="single" w:sz="8" w:color="CCEEFF"/>
            </w:tcBorders>
            <w:gridSpan w:val="2"/>
            <w:shd w:val="clear" w:color="auto" w:fill="CCEEFF"/>
          </w:tcPr>
          <w:p>
            <w:pPr>
              <w:ind w:left="120"/>
              <w:spacing w:after="0"/>
              <w:rPr>
                <w:sz w:val="20"/>
                <w:szCs w:val="20"/>
                <w:color w:val="auto"/>
              </w:rPr>
            </w:pPr>
            <w:r>
              <w:rPr>
                <w:rFonts w:ascii="Arial" w:cs="Arial" w:eastAsia="Arial" w:hAnsi="Arial"/>
                <w:sz w:val="18"/>
                <w:szCs w:val="18"/>
                <w:color w:val="auto"/>
                <w:w w:val="79"/>
              </w:rPr>
              <w:t>$</w:t>
            </w:r>
          </w:p>
        </w:tc>
        <w:tc>
          <w:tcPr>
            <w:tcW w:w="160" w:type="dxa"/>
            <w:vAlign w:val="bottom"/>
            <w:tcBorders>
              <w:bottom w:val="single" w:sz="8" w:color="CCEEFF"/>
            </w:tcBorders>
            <w:shd w:val="clear" w:color="auto" w:fill="CCEEFF"/>
          </w:tcPr>
          <w:p>
            <w:pPr>
              <w:spacing w:after="0"/>
              <w:rPr>
                <w:sz w:val="22"/>
                <w:szCs w:val="22"/>
                <w:color w:val="auto"/>
              </w:rPr>
            </w:pPr>
          </w:p>
        </w:tc>
        <w:tc>
          <w:tcPr>
            <w:tcW w:w="1080" w:type="dxa"/>
            <w:vAlign w:val="bottom"/>
            <w:tcBorders>
              <w:bottom w:val="single" w:sz="8" w:color="CCEEFF"/>
            </w:tcBorders>
            <w:shd w:val="clear" w:color="auto" w:fill="CCEEFF"/>
          </w:tcPr>
          <w:p>
            <w:pPr>
              <w:jc w:val="right"/>
              <w:ind w:right="33"/>
              <w:spacing w:after="0"/>
              <w:rPr>
                <w:sz w:val="20"/>
                <w:szCs w:val="20"/>
                <w:color w:val="auto"/>
              </w:rPr>
            </w:pPr>
            <w:r>
              <w:rPr>
                <w:rFonts w:ascii="Arial" w:cs="Arial" w:eastAsia="Arial" w:hAnsi="Arial"/>
                <w:sz w:val="18"/>
                <w:szCs w:val="18"/>
                <w:color w:val="auto"/>
              </w:rPr>
              <w:t>6,557,649</w:t>
            </w:r>
          </w:p>
        </w:tc>
        <w:tc>
          <w:tcPr>
            <w:tcW w:w="100" w:type="dxa"/>
            <w:vAlign w:val="bottom"/>
            <w:tcBorders>
              <w:bottom w:val="single" w:sz="8" w:color="CCEEFF"/>
            </w:tcBorders>
            <w:shd w:val="clear" w:color="auto" w:fill="CCEEFF"/>
          </w:tcPr>
          <w:p>
            <w:pPr>
              <w:spacing w:after="0"/>
              <w:rPr>
                <w:sz w:val="22"/>
                <w:szCs w:val="22"/>
                <w:color w:val="auto"/>
              </w:rPr>
            </w:pPr>
          </w:p>
        </w:tc>
        <w:tc>
          <w:tcPr>
            <w:tcW w:w="0" w:type="dxa"/>
            <w:vAlign w:val="bottom"/>
          </w:tcPr>
          <w:p>
            <w:pPr>
              <w:spacing w:after="0"/>
              <w:rPr>
                <w:sz w:val="1"/>
                <w:szCs w:val="1"/>
                <w:color w:val="auto"/>
              </w:rPr>
            </w:pPr>
          </w:p>
        </w:tc>
      </w:tr>
      <w:tr>
        <w:trPr>
          <w:trHeight w:val="20"/>
        </w:trPr>
        <w:tc>
          <w:tcPr>
            <w:tcW w:w="8340" w:type="dxa"/>
            <w:vAlign w:val="bottom"/>
            <w:tcBorders>
              <w:top w:val="single" w:sz="8" w:color="CCEEFF"/>
              <w:bottom w:val="single" w:sz="8" w:color="CCEEFF"/>
            </w:tcBorders>
            <w:vMerge w:val="restart"/>
          </w:tcPr>
          <w:p>
            <w:pPr>
              <w:ind w:left="5620"/>
              <w:spacing w:after="0"/>
              <w:rPr>
                <w:sz w:val="20"/>
                <w:szCs w:val="20"/>
                <w:color w:val="auto"/>
              </w:rPr>
            </w:pPr>
            <w:r>
              <w:rPr>
                <w:rFonts w:ascii="Arial" w:cs="Arial" w:eastAsia="Arial" w:hAnsi="Arial"/>
                <w:sz w:val="18"/>
                <w:szCs w:val="18"/>
                <w:color w:val="auto"/>
              </w:rPr>
              <w:t>15</w:t>
            </w:r>
          </w:p>
        </w:tc>
        <w:tc>
          <w:tcPr>
            <w:tcW w:w="1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11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10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656"/>
        </w:trPr>
        <w:tc>
          <w:tcPr>
            <w:tcW w:w="8340" w:type="dxa"/>
            <w:vAlign w:val="bottom"/>
            <w:vMerge w:val="continue"/>
          </w:tcPr>
          <w:p>
            <w:pPr>
              <w:spacing w:after="0"/>
              <w:rPr>
                <w:sz w:val="24"/>
                <w:szCs w:val="24"/>
                <w:color w:val="auto"/>
              </w:rPr>
            </w:pPr>
          </w:p>
        </w:tc>
        <w:tc>
          <w:tcPr>
            <w:tcW w:w="1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420"/>
          </w:cols>
          <w:pgMar w:left="240" w:top="118" w:right="239" w:bottom="1440" w:gutter="0" w:footer="0" w:header="0"/>
        </w:sectPr>
      </w:pPr>
    </w:p>
    <w:bookmarkStart w:id="15" w:name="page16"/>
    <w:bookmarkEnd w:id="15"/>
    <w:p>
      <w:pPr>
        <w:spacing w:after="0"/>
        <w:rPr>
          <w:rFonts w:ascii="Arial" w:cs="Arial" w:eastAsia="Arial" w:hAnsi="Arial"/>
          <w:sz w:val="14"/>
          <w:szCs w:val="14"/>
          <w:b w:val="1"/>
          <w:bCs w:val="1"/>
          <w:u w:val="single" w:color="auto"/>
          <w:color w:val="0000EE"/>
        </w:rPr>
      </w:pPr>
      <w:hyperlink w:anchor="page2">
        <w:r>
          <w:rPr>
            <w:rFonts w:ascii="Arial" w:cs="Arial" w:eastAsia="Arial" w:hAnsi="Arial"/>
            <w:sz w:val="14"/>
            <w:szCs w:val="14"/>
            <w:b w:val="1"/>
            <w:bCs w:val="1"/>
            <w:u w:val="single" w:color="auto"/>
            <w:color w:val="0000EE"/>
          </w:rPr>
          <w:t>Table of Contents</w:t>
        </w:r>
      </w:hyperlink>
    </w:p>
    <w:p>
      <w:pPr>
        <w:spacing w:after="0" w:line="248" w:lineRule="exact"/>
        <w:rPr>
          <w:sz w:val="20"/>
          <w:szCs w:val="20"/>
          <w:color w:val="auto"/>
        </w:rPr>
      </w:pPr>
    </w:p>
    <w:p>
      <w:pPr>
        <w:ind w:left="500" w:hanging="492"/>
        <w:spacing w:after="0"/>
        <w:tabs>
          <w:tab w:leader="none" w:pos="500" w:val="left"/>
        </w:tabs>
        <w:numPr>
          <w:ilvl w:val="0"/>
          <w:numId w:val="9"/>
        </w:numPr>
        <w:rPr>
          <w:rFonts w:ascii="Arial" w:cs="Arial" w:eastAsia="Arial" w:hAnsi="Arial"/>
          <w:sz w:val="18"/>
          <w:szCs w:val="18"/>
          <w:b w:val="1"/>
          <w:bCs w:val="1"/>
          <w:color w:val="auto"/>
        </w:rPr>
      </w:pPr>
      <w:r>
        <w:rPr>
          <w:rFonts w:ascii="Arial" w:cs="Arial" w:eastAsia="Arial" w:hAnsi="Arial"/>
          <w:sz w:val="18"/>
          <w:szCs w:val="18"/>
          <w:b w:val="1"/>
          <w:bCs w:val="1"/>
          <w:color w:val="auto"/>
        </w:rPr>
        <w:t>Debt</w:t>
      </w:r>
    </w:p>
    <w:p>
      <w:pPr>
        <w:spacing w:after="0" w:line="67"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Silicon Valley Bank Facility</w:t>
      </w:r>
    </w:p>
    <w:p>
      <w:pPr>
        <w:spacing w:after="0" w:line="158" w:lineRule="exact"/>
        <w:rPr>
          <w:sz w:val="20"/>
          <w:szCs w:val="20"/>
          <w:color w:val="auto"/>
        </w:rPr>
      </w:pPr>
    </w:p>
    <w:p>
      <w:pPr>
        <w:ind w:right="20" w:firstLine="432"/>
        <w:spacing w:after="0" w:line="257" w:lineRule="auto"/>
        <w:rPr>
          <w:sz w:val="20"/>
          <w:szCs w:val="20"/>
          <w:color w:val="auto"/>
        </w:rPr>
      </w:pPr>
      <w:r>
        <w:rPr>
          <w:rFonts w:ascii="Arial" w:cs="Arial" w:eastAsia="Arial" w:hAnsi="Arial"/>
          <w:sz w:val="18"/>
          <w:szCs w:val="18"/>
          <w:color w:val="auto"/>
        </w:rPr>
        <w:t>We currently have a Loan and Security Agreement with SVB (the "Credit Facility") under which, as amended on May 8, 2015, we have a term loan with an original borrowing amount of $6.0 million (the “Original Term Loan”). The Original Term Loan is repayable in 48 monthly installments of $125,000, plus accrued interest payable monthly in arrears, and unless earlier terminated, is scheduled to mature in May 2020. The Original Term Loan carries a floating annual interest rate equal to SVB’s prime rate then in effect plus 2%. We may prepay amounts due under the Original Term Loan at any time, subject to an early termination fee of up to 2% of the amount of prepayment.</w:t>
      </w:r>
    </w:p>
    <w:p>
      <w:pPr>
        <w:spacing w:after="0" w:line="80" w:lineRule="exact"/>
        <w:rPr>
          <w:sz w:val="20"/>
          <w:szCs w:val="20"/>
          <w:color w:val="auto"/>
        </w:rPr>
      </w:pPr>
    </w:p>
    <w:p>
      <w:pPr>
        <w:ind w:right="140" w:firstLine="432"/>
        <w:spacing w:after="0" w:line="259" w:lineRule="auto"/>
        <w:rPr>
          <w:sz w:val="20"/>
          <w:szCs w:val="20"/>
          <w:color w:val="auto"/>
        </w:rPr>
      </w:pPr>
      <w:r>
        <w:rPr>
          <w:rFonts w:ascii="Arial" w:cs="Arial" w:eastAsia="Arial" w:hAnsi="Arial"/>
          <w:sz w:val="18"/>
          <w:szCs w:val="18"/>
          <w:color w:val="auto"/>
        </w:rPr>
        <w:t>In September 2015, we entered into the Waiver and Seventh Loan Modification Agreement, which provided an additional $1 million of available financing for purchases of equipment through December 31, 2015, which we fully borrowed in December 2015 (the "Second Term Loan" and, together with the Original Term Loan, the "Term Loans"). The Second Term Loan also bears interest at a floating prime rate plus 2% and is to be repaid in 35 monthly installments of $27,778 plus accrued interest.</w:t>
      </w:r>
    </w:p>
    <w:p>
      <w:pPr>
        <w:spacing w:after="0" w:line="79" w:lineRule="exact"/>
        <w:rPr>
          <w:sz w:val="20"/>
          <w:szCs w:val="20"/>
          <w:color w:val="auto"/>
        </w:rPr>
      </w:pPr>
    </w:p>
    <w:p>
      <w:pPr>
        <w:ind w:right="40" w:firstLine="432"/>
        <w:spacing w:after="0" w:line="259" w:lineRule="auto"/>
        <w:rPr>
          <w:sz w:val="20"/>
          <w:szCs w:val="20"/>
          <w:color w:val="auto"/>
        </w:rPr>
      </w:pPr>
      <w:r>
        <w:rPr>
          <w:rFonts w:ascii="Arial" w:cs="Arial" w:eastAsia="Arial" w:hAnsi="Arial"/>
          <w:sz w:val="18"/>
          <w:szCs w:val="18"/>
          <w:color w:val="auto"/>
        </w:rPr>
        <w:t>The Credit Facility requires us to maintain a minimum cash balance of $4.0 million and to maintain at each month end a ratio of cash plus 60% of accounts receivable greater than or equal to 1.5 times the outstanding principal of the Term Loans. The Credit Facility also requires us to observe a number of additional operational covenants, including protection and registration of intellectual property rights, and certain customary negative covenants. As of June 30, 2018, we were in compliance with all covenants under the Credit Facility.</w:t>
      </w:r>
    </w:p>
    <w:p>
      <w:pPr>
        <w:spacing w:after="0" w:line="79" w:lineRule="exact"/>
        <w:rPr>
          <w:sz w:val="20"/>
          <w:szCs w:val="20"/>
          <w:color w:val="auto"/>
        </w:rPr>
      </w:pPr>
    </w:p>
    <w:p>
      <w:pPr>
        <w:ind w:right="180" w:firstLine="432"/>
        <w:spacing w:after="0" w:line="255" w:lineRule="auto"/>
        <w:rPr>
          <w:sz w:val="20"/>
          <w:szCs w:val="20"/>
          <w:color w:val="auto"/>
        </w:rPr>
      </w:pPr>
      <w:r>
        <w:rPr>
          <w:rFonts w:ascii="Arial" w:cs="Arial" w:eastAsia="Arial" w:hAnsi="Arial"/>
          <w:sz w:val="18"/>
          <w:szCs w:val="18"/>
          <w:color w:val="auto"/>
        </w:rPr>
        <w:t>Amounts due under the Credit Facility are secured by substantially all of our assets, including intellectual property, personal property and bank accounts. In addition, the Credit Facility contains customary events of default, including nonpayment of principal, interest or other amounts, violation of covenants, material adverse change, an event of default under any subordinated debt documents, incorrectness of representations and warranties in any material respect, bankruptcy, judgments in excess of a threshold amount, and violations of other agreements in excess of a threshold amount. If any event of default occurs SVB may declare due immediately all borrowings under the Credit Facility and foreclose on the collateral. Furthermore, an event of default under the Credit Facility would result in an increase in the interest rate on any amounts outstanding. As of June 30, 2018, there were no events of default on the Credit Facility.</w:t>
      </w:r>
    </w:p>
    <w:p>
      <w:pPr>
        <w:spacing w:after="0" w:line="81" w:lineRule="exact"/>
        <w:rPr>
          <w:sz w:val="20"/>
          <w:szCs w:val="20"/>
          <w:color w:val="auto"/>
        </w:rPr>
      </w:pPr>
    </w:p>
    <w:p>
      <w:pPr>
        <w:ind w:right="60" w:firstLine="432"/>
        <w:spacing w:after="0" w:line="259" w:lineRule="auto"/>
        <w:rPr>
          <w:sz w:val="20"/>
          <w:szCs w:val="20"/>
          <w:color w:val="auto"/>
        </w:rPr>
      </w:pPr>
      <w:r>
        <w:rPr>
          <w:rFonts w:ascii="Arial" w:cs="Arial" w:eastAsia="Arial" w:hAnsi="Arial"/>
          <w:sz w:val="18"/>
          <w:szCs w:val="18"/>
          <w:color w:val="auto"/>
        </w:rPr>
        <w:t>The aggregate balance under the Term Loans at June 30, 2018 and December 31, 2017, was $1.5 million and $2.5 million, respectively. One term loan, with a balance of $0.2 million and $0.3 million as of June 30, 2018 and December 31, 2017, respectively, matures on December 1, 2018. The other term loan, with a balance of $1.4 million and $2.1 million as of June 30, 2018 and December 31, 2017, respectively, matures on May 1, 2019. The effective rate of our Term Loan at June 30, 2018 was 7%.</w:t>
      </w:r>
    </w:p>
    <w:p>
      <w:pPr>
        <w:spacing w:after="0" w:line="79"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9140" w:type="dxa"/>
            <w:vAlign w:val="bottom"/>
            <w:gridSpan w:val="4"/>
          </w:tcPr>
          <w:p>
            <w:pPr>
              <w:ind w:left="440"/>
              <w:spacing w:after="0"/>
              <w:rPr>
                <w:sz w:val="20"/>
                <w:szCs w:val="20"/>
                <w:color w:val="auto"/>
              </w:rPr>
            </w:pPr>
            <w:r>
              <w:rPr>
                <w:rFonts w:ascii="Arial" w:cs="Arial" w:eastAsia="Arial" w:hAnsi="Arial"/>
                <w:sz w:val="18"/>
                <w:szCs w:val="18"/>
                <w:color w:val="auto"/>
              </w:rPr>
              <w:t>The following table presents a summary of debt outstanding as of June 30, 2018 and December 31, 2017:</w:t>
            </w:r>
          </w:p>
        </w:tc>
        <w:tc>
          <w:tcPr>
            <w:tcW w:w="460" w:type="dxa"/>
            <w:vAlign w:val="bottom"/>
          </w:tcPr>
          <w:p>
            <w:pPr>
              <w:spacing w:after="0"/>
              <w:rPr>
                <w:sz w:val="20"/>
                <w:szCs w:val="20"/>
                <w:color w:val="auto"/>
              </w:rPr>
            </w:pPr>
          </w:p>
        </w:tc>
        <w:tc>
          <w:tcPr>
            <w:tcW w:w="1180" w:type="dxa"/>
            <w:vAlign w:val="bottom"/>
          </w:tcPr>
          <w:p>
            <w:pPr>
              <w:spacing w:after="0"/>
              <w:rPr>
                <w:sz w:val="20"/>
                <w:szCs w:val="20"/>
                <w:color w:val="auto"/>
              </w:rPr>
            </w:pPr>
          </w:p>
        </w:tc>
        <w:tc>
          <w:tcPr>
            <w:tcW w:w="100" w:type="dxa"/>
            <w:vAlign w:val="bottom"/>
          </w:tcPr>
          <w:p>
            <w:pPr>
              <w:spacing w:after="0"/>
              <w:rPr>
                <w:sz w:val="20"/>
                <w:szCs w:val="20"/>
                <w:color w:val="auto"/>
              </w:rPr>
            </w:pPr>
          </w:p>
        </w:tc>
      </w:tr>
      <w:tr>
        <w:trPr>
          <w:trHeight w:val="378"/>
        </w:trPr>
        <w:tc>
          <w:tcPr>
            <w:tcW w:w="74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560" w:type="dxa"/>
            <w:vAlign w:val="bottom"/>
            <w:gridSpan w:val="2"/>
          </w:tcPr>
          <w:p>
            <w:pPr>
              <w:jc w:val="center"/>
              <w:ind w:right="400"/>
              <w:spacing w:after="0"/>
              <w:rPr>
                <w:sz w:val="20"/>
                <w:szCs w:val="20"/>
                <w:color w:val="auto"/>
              </w:rPr>
            </w:pPr>
            <w:r>
              <w:rPr>
                <w:rFonts w:ascii="Arial" w:cs="Arial" w:eastAsia="Arial" w:hAnsi="Arial"/>
                <w:sz w:val="18"/>
                <w:szCs w:val="18"/>
                <w:b w:val="1"/>
                <w:bCs w:val="1"/>
                <w:color w:val="auto"/>
                <w:w w:val="88"/>
              </w:rPr>
              <w:t>June 30, 2018</w:t>
            </w:r>
          </w:p>
        </w:tc>
        <w:tc>
          <w:tcPr>
            <w:tcW w:w="1740" w:type="dxa"/>
            <w:vAlign w:val="bottom"/>
            <w:gridSpan w:val="3"/>
          </w:tcPr>
          <w:p>
            <w:pPr>
              <w:ind w:left="80"/>
              <w:spacing w:after="0"/>
              <w:rPr>
                <w:sz w:val="20"/>
                <w:szCs w:val="20"/>
                <w:color w:val="auto"/>
              </w:rPr>
            </w:pPr>
            <w:r>
              <w:rPr>
                <w:rFonts w:ascii="Arial" w:cs="Arial" w:eastAsia="Arial" w:hAnsi="Arial"/>
                <w:sz w:val="18"/>
                <w:szCs w:val="18"/>
                <w:b w:val="1"/>
                <w:bCs w:val="1"/>
                <w:color w:val="auto"/>
              </w:rPr>
              <w:t>December 31, 2017</w:t>
            </w:r>
          </w:p>
        </w:tc>
      </w:tr>
      <w:tr>
        <w:trPr>
          <w:trHeight w:val="27"/>
        </w:trPr>
        <w:tc>
          <w:tcPr>
            <w:tcW w:w="74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c>
          <w:tcPr>
            <w:tcW w:w="220" w:type="dxa"/>
            <w:vAlign w:val="bottom"/>
            <w:tcBorders>
              <w:bottom w:val="single" w:sz="8" w:color="CCEEFF"/>
            </w:tcBorders>
          </w:tcPr>
          <w:p>
            <w:pPr>
              <w:spacing w:after="0"/>
              <w:rPr>
                <w:sz w:val="2"/>
                <w:szCs w:val="2"/>
                <w:color w:val="auto"/>
              </w:rPr>
            </w:pPr>
          </w:p>
        </w:tc>
        <w:tc>
          <w:tcPr>
            <w:tcW w:w="46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r>
      <w:tr>
        <w:trPr>
          <w:trHeight w:val="244"/>
        </w:trPr>
        <w:tc>
          <w:tcPr>
            <w:tcW w:w="74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560" w:type="dxa"/>
            <w:vAlign w:val="bottom"/>
            <w:tcBorders>
              <w:bottom w:val="single" w:sz="8" w:color="CCEEFF"/>
            </w:tcBorders>
            <w:gridSpan w:val="2"/>
            <w:shd w:val="clear" w:color="auto" w:fill="CCEEFF"/>
          </w:tcPr>
          <w:p>
            <w:pPr>
              <w:jc w:val="center"/>
              <w:ind w:right="400"/>
              <w:spacing w:after="0"/>
              <w:rPr>
                <w:sz w:val="20"/>
                <w:szCs w:val="20"/>
                <w:color w:val="auto"/>
              </w:rPr>
            </w:pPr>
            <w:r>
              <w:rPr>
                <w:rFonts w:ascii="Arial" w:cs="Arial" w:eastAsia="Arial" w:hAnsi="Arial"/>
                <w:sz w:val="18"/>
                <w:szCs w:val="18"/>
                <w:color w:val="auto"/>
                <w:w w:val="92"/>
              </w:rPr>
              <w:t>(unaudited)</w:t>
            </w:r>
          </w:p>
        </w:tc>
        <w:tc>
          <w:tcPr>
            <w:tcW w:w="46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r>
      <w:tr>
        <w:trPr>
          <w:trHeight w:val="243"/>
        </w:trPr>
        <w:tc>
          <w:tcPr>
            <w:tcW w:w="7400" w:type="dxa"/>
            <w:vAlign w:val="bottom"/>
          </w:tcPr>
          <w:p>
            <w:pPr>
              <w:ind w:left="40"/>
              <w:spacing w:after="0"/>
              <w:rPr>
                <w:sz w:val="20"/>
                <w:szCs w:val="20"/>
                <w:color w:val="auto"/>
              </w:rPr>
            </w:pPr>
            <w:r>
              <w:rPr>
                <w:rFonts w:ascii="Arial" w:cs="Arial" w:eastAsia="Arial" w:hAnsi="Arial"/>
                <w:sz w:val="18"/>
                <w:szCs w:val="18"/>
                <w:color w:val="auto"/>
              </w:rPr>
              <w:t>Silicon Valley Bank Term Loan</w:t>
            </w:r>
          </w:p>
        </w:tc>
        <w:tc>
          <w:tcPr>
            <w:tcW w:w="18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340" w:type="dxa"/>
            <w:vAlign w:val="bottom"/>
          </w:tcPr>
          <w:p>
            <w:pPr>
              <w:jc w:val="right"/>
              <w:ind w:right="10"/>
              <w:spacing w:after="0"/>
              <w:rPr>
                <w:sz w:val="20"/>
                <w:szCs w:val="20"/>
                <w:color w:val="auto"/>
              </w:rPr>
            </w:pPr>
            <w:r>
              <w:rPr>
                <w:rFonts w:ascii="Arial" w:cs="Arial" w:eastAsia="Arial" w:hAnsi="Arial"/>
                <w:sz w:val="18"/>
                <w:szCs w:val="18"/>
                <w:color w:val="auto"/>
              </w:rPr>
              <w:t>1,541,667</w:t>
            </w:r>
          </w:p>
        </w:tc>
        <w:tc>
          <w:tcPr>
            <w:tcW w:w="220" w:type="dxa"/>
            <w:vAlign w:val="bottom"/>
          </w:tcPr>
          <w:p>
            <w:pPr>
              <w:spacing w:after="0"/>
              <w:rPr>
                <w:sz w:val="21"/>
                <w:szCs w:val="21"/>
                <w:color w:val="auto"/>
              </w:rPr>
            </w:pPr>
          </w:p>
        </w:tc>
        <w:tc>
          <w:tcPr>
            <w:tcW w:w="460" w:type="dxa"/>
            <w:vAlign w:val="bottom"/>
          </w:tcPr>
          <w:p>
            <w:pPr>
              <w:jc w:val="right"/>
              <w:ind w:right="250"/>
              <w:spacing w:after="0"/>
              <w:rPr>
                <w:sz w:val="20"/>
                <w:szCs w:val="20"/>
                <w:color w:val="auto"/>
              </w:rPr>
            </w:pPr>
            <w:r>
              <w:rPr>
                <w:rFonts w:ascii="Arial" w:cs="Arial" w:eastAsia="Arial" w:hAnsi="Arial"/>
                <w:sz w:val="18"/>
                <w:szCs w:val="18"/>
                <w:color w:val="auto"/>
                <w:w w:val="99"/>
              </w:rPr>
              <w:t>$</w:t>
            </w:r>
          </w:p>
        </w:tc>
        <w:tc>
          <w:tcPr>
            <w:tcW w:w="1180" w:type="dxa"/>
            <w:vAlign w:val="bottom"/>
          </w:tcPr>
          <w:p>
            <w:pPr>
              <w:jc w:val="right"/>
              <w:ind w:right="30"/>
              <w:spacing w:after="0"/>
              <w:rPr>
                <w:sz w:val="20"/>
                <w:szCs w:val="20"/>
                <w:color w:val="auto"/>
              </w:rPr>
            </w:pPr>
            <w:r>
              <w:rPr>
                <w:rFonts w:ascii="Arial" w:cs="Arial" w:eastAsia="Arial" w:hAnsi="Arial"/>
                <w:sz w:val="18"/>
                <w:szCs w:val="18"/>
                <w:color w:val="auto"/>
              </w:rPr>
              <w:t>2,458,333</w:t>
            </w:r>
          </w:p>
        </w:tc>
        <w:tc>
          <w:tcPr>
            <w:tcW w:w="100" w:type="dxa"/>
            <w:vAlign w:val="bottom"/>
          </w:tcPr>
          <w:p>
            <w:pPr>
              <w:spacing w:after="0"/>
              <w:rPr>
                <w:sz w:val="21"/>
                <w:szCs w:val="21"/>
                <w:color w:val="auto"/>
              </w:rPr>
            </w:pPr>
          </w:p>
        </w:tc>
      </w:tr>
      <w:tr>
        <w:trPr>
          <w:trHeight w:val="27"/>
        </w:trPr>
        <w:tc>
          <w:tcPr>
            <w:tcW w:w="74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40" w:type="dxa"/>
            <w:vAlign w:val="bottom"/>
          </w:tcPr>
          <w:p>
            <w:pPr>
              <w:spacing w:after="0"/>
              <w:rPr>
                <w:sz w:val="2"/>
                <w:szCs w:val="2"/>
                <w:color w:val="auto"/>
              </w:rPr>
            </w:pPr>
          </w:p>
        </w:tc>
        <w:tc>
          <w:tcPr>
            <w:tcW w:w="220" w:type="dxa"/>
            <w:vAlign w:val="bottom"/>
          </w:tcPr>
          <w:p>
            <w:pPr>
              <w:spacing w:after="0"/>
              <w:rPr>
                <w:sz w:val="2"/>
                <w:szCs w:val="2"/>
                <w:color w:val="auto"/>
              </w:rPr>
            </w:pPr>
          </w:p>
        </w:tc>
        <w:tc>
          <w:tcPr>
            <w:tcW w:w="46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00" w:type="dxa"/>
            <w:vAlign w:val="bottom"/>
          </w:tcPr>
          <w:p>
            <w:pPr>
              <w:spacing w:after="0"/>
              <w:rPr>
                <w:sz w:val="2"/>
                <w:szCs w:val="2"/>
                <w:color w:val="auto"/>
              </w:rPr>
            </w:pPr>
          </w:p>
        </w:tc>
      </w:tr>
      <w:tr>
        <w:trPr>
          <w:trHeight w:val="250"/>
        </w:trPr>
        <w:tc>
          <w:tcPr>
            <w:tcW w:w="74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Less: unamortized debt issuance costs</w:t>
            </w:r>
          </w:p>
        </w:tc>
        <w:tc>
          <w:tcPr>
            <w:tcW w:w="18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13,839</w:t>
            </w:r>
          </w:p>
        </w:tc>
        <w:tc>
          <w:tcPr>
            <w:tcW w:w="220" w:type="dxa"/>
            <w:vAlign w:val="bottom"/>
            <w:tcBorders>
              <w:bottom w:val="single" w:sz="8" w:color="CCEEFF"/>
            </w:tcBorders>
            <w:shd w:val="clear" w:color="auto" w:fill="CCEEFF"/>
          </w:tcPr>
          <w:p>
            <w:pPr>
              <w:spacing w:after="0"/>
              <w:rPr>
                <w:sz w:val="21"/>
                <w:szCs w:val="21"/>
                <w:color w:val="auto"/>
              </w:rPr>
            </w:pPr>
          </w:p>
        </w:tc>
        <w:tc>
          <w:tcPr>
            <w:tcW w:w="46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21,993</w:t>
            </w:r>
          </w:p>
        </w:tc>
        <w:tc>
          <w:tcPr>
            <w:tcW w:w="100" w:type="dxa"/>
            <w:vAlign w:val="bottom"/>
            <w:tcBorders>
              <w:bottom w:val="single" w:sz="8" w:color="CCEEFF"/>
            </w:tcBorders>
            <w:shd w:val="clear" w:color="auto" w:fill="CCEEFF"/>
          </w:tcPr>
          <w:p>
            <w:pPr>
              <w:spacing w:after="0"/>
              <w:rPr>
                <w:sz w:val="21"/>
                <w:szCs w:val="21"/>
                <w:color w:val="auto"/>
              </w:rPr>
            </w:pPr>
          </w:p>
        </w:tc>
      </w:tr>
      <w:tr>
        <w:trPr>
          <w:trHeight w:val="243"/>
        </w:trPr>
        <w:tc>
          <w:tcPr>
            <w:tcW w:w="7400" w:type="dxa"/>
            <w:vAlign w:val="bottom"/>
          </w:tcPr>
          <w:p>
            <w:pPr>
              <w:ind w:left="40"/>
              <w:spacing w:after="0"/>
              <w:rPr>
                <w:sz w:val="20"/>
                <w:szCs w:val="20"/>
                <w:color w:val="auto"/>
              </w:rPr>
            </w:pPr>
            <w:r>
              <w:rPr>
                <w:rFonts w:ascii="Arial" w:cs="Arial" w:eastAsia="Arial" w:hAnsi="Arial"/>
                <w:sz w:val="18"/>
                <w:szCs w:val="18"/>
                <w:color w:val="auto"/>
              </w:rPr>
              <w:t>Less: current portion</w:t>
            </w:r>
          </w:p>
        </w:tc>
        <w:tc>
          <w:tcPr>
            <w:tcW w:w="180" w:type="dxa"/>
            <w:vAlign w:val="bottom"/>
          </w:tcPr>
          <w:p>
            <w:pPr>
              <w:spacing w:after="0"/>
              <w:rPr>
                <w:sz w:val="21"/>
                <w:szCs w:val="21"/>
                <w:color w:val="auto"/>
              </w:rPr>
            </w:pPr>
          </w:p>
        </w:tc>
        <w:tc>
          <w:tcPr>
            <w:tcW w:w="1340" w:type="dxa"/>
            <w:vAlign w:val="bottom"/>
          </w:tcPr>
          <w:p>
            <w:pPr>
              <w:jc w:val="right"/>
              <w:ind w:right="10"/>
              <w:spacing w:after="0"/>
              <w:rPr>
                <w:sz w:val="20"/>
                <w:szCs w:val="20"/>
                <w:color w:val="auto"/>
              </w:rPr>
            </w:pPr>
            <w:r>
              <w:rPr>
                <w:rFonts w:ascii="Arial" w:cs="Arial" w:eastAsia="Arial" w:hAnsi="Arial"/>
                <w:sz w:val="18"/>
                <w:szCs w:val="18"/>
                <w:color w:val="auto"/>
              </w:rPr>
              <w:t>1,527,828</w:t>
            </w:r>
          </w:p>
        </w:tc>
        <w:tc>
          <w:tcPr>
            <w:tcW w:w="220" w:type="dxa"/>
            <w:vAlign w:val="bottom"/>
          </w:tcPr>
          <w:p>
            <w:pPr>
              <w:spacing w:after="0"/>
              <w:rPr>
                <w:sz w:val="21"/>
                <w:szCs w:val="21"/>
                <w:color w:val="auto"/>
              </w:rPr>
            </w:pPr>
          </w:p>
        </w:tc>
        <w:tc>
          <w:tcPr>
            <w:tcW w:w="460" w:type="dxa"/>
            <w:vAlign w:val="bottom"/>
          </w:tcPr>
          <w:p>
            <w:pPr>
              <w:spacing w:after="0"/>
              <w:rPr>
                <w:sz w:val="21"/>
                <w:szCs w:val="21"/>
                <w:color w:val="auto"/>
              </w:rPr>
            </w:pPr>
          </w:p>
        </w:tc>
        <w:tc>
          <w:tcPr>
            <w:tcW w:w="1180" w:type="dxa"/>
            <w:vAlign w:val="bottom"/>
          </w:tcPr>
          <w:p>
            <w:pPr>
              <w:jc w:val="right"/>
              <w:ind w:right="30"/>
              <w:spacing w:after="0"/>
              <w:rPr>
                <w:sz w:val="20"/>
                <w:szCs w:val="20"/>
                <w:color w:val="auto"/>
              </w:rPr>
            </w:pPr>
            <w:r>
              <w:rPr>
                <w:rFonts w:ascii="Arial" w:cs="Arial" w:eastAsia="Arial" w:hAnsi="Arial"/>
                <w:sz w:val="18"/>
                <w:szCs w:val="18"/>
                <w:color w:val="auto"/>
              </w:rPr>
              <w:t>1,833,333</w:t>
            </w:r>
          </w:p>
        </w:tc>
        <w:tc>
          <w:tcPr>
            <w:tcW w:w="100" w:type="dxa"/>
            <w:vAlign w:val="bottom"/>
          </w:tcPr>
          <w:p>
            <w:pPr>
              <w:spacing w:after="0"/>
              <w:rPr>
                <w:sz w:val="21"/>
                <w:szCs w:val="21"/>
                <w:color w:val="auto"/>
              </w:rPr>
            </w:pPr>
          </w:p>
        </w:tc>
      </w:tr>
      <w:tr>
        <w:trPr>
          <w:trHeight w:val="27"/>
        </w:trPr>
        <w:tc>
          <w:tcPr>
            <w:tcW w:w="74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c>
          <w:tcPr>
            <w:tcW w:w="220" w:type="dxa"/>
            <w:vAlign w:val="bottom"/>
            <w:tcBorders>
              <w:bottom w:val="single" w:sz="8" w:color="CCEEFF"/>
            </w:tcBorders>
          </w:tcPr>
          <w:p>
            <w:pPr>
              <w:spacing w:after="0"/>
              <w:rPr>
                <w:sz w:val="2"/>
                <w:szCs w:val="2"/>
                <w:color w:val="auto"/>
              </w:rPr>
            </w:pPr>
          </w:p>
        </w:tc>
        <w:tc>
          <w:tcPr>
            <w:tcW w:w="46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r>
      <w:tr>
        <w:trPr>
          <w:trHeight w:val="257"/>
        </w:trPr>
        <w:tc>
          <w:tcPr>
            <w:tcW w:w="7400" w:type="dxa"/>
            <w:vAlign w:val="bottom"/>
            <w:shd w:val="clear" w:color="auto" w:fill="CCEEFF"/>
          </w:tcPr>
          <w:p>
            <w:pPr>
              <w:ind w:left="380"/>
              <w:spacing w:after="0"/>
              <w:rPr>
                <w:sz w:val="20"/>
                <w:szCs w:val="20"/>
                <w:color w:val="auto"/>
              </w:rPr>
            </w:pPr>
            <w:r>
              <w:rPr>
                <w:rFonts w:ascii="Arial" w:cs="Arial" w:eastAsia="Arial" w:hAnsi="Arial"/>
                <w:sz w:val="18"/>
                <w:szCs w:val="18"/>
                <w:color w:val="auto"/>
              </w:rPr>
              <w:t>Total long-term debt</w:t>
            </w:r>
          </w:p>
        </w:tc>
        <w:tc>
          <w:tcPr>
            <w:tcW w:w="1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56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w:t>
            </w:r>
          </w:p>
        </w:tc>
        <w:tc>
          <w:tcPr>
            <w:tcW w:w="460" w:type="dxa"/>
            <w:vAlign w:val="bottom"/>
            <w:shd w:val="clear" w:color="auto" w:fill="CCEEFF"/>
          </w:tcPr>
          <w:p>
            <w:pPr>
              <w:jc w:val="right"/>
              <w:ind w:right="250"/>
              <w:spacing w:after="0"/>
              <w:rPr>
                <w:sz w:val="20"/>
                <w:szCs w:val="20"/>
                <w:color w:val="auto"/>
              </w:rPr>
            </w:pPr>
            <w:r>
              <w:rPr>
                <w:rFonts w:ascii="Arial" w:cs="Arial" w:eastAsia="Arial" w:hAnsi="Arial"/>
                <w:sz w:val="18"/>
                <w:szCs w:val="18"/>
                <w:color w:val="auto"/>
                <w:w w:val="99"/>
              </w:rPr>
              <w:t>$</w:t>
            </w:r>
          </w:p>
        </w:tc>
        <w:tc>
          <w:tcPr>
            <w:tcW w:w="118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rPr>
              <w:t>603,007</w:t>
            </w:r>
          </w:p>
        </w:tc>
        <w:tc>
          <w:tcPr>
            <w:tcW w:w="100" w:type="dxa"/>
            <w:vAlign w:val="bottom"/>
            <w:shd w:val="clear" w:color="auto" w:fill="CCEEFF"/>
          </w:tcPr>
          <w:p>
            <w:pPr>
              <w:spacing w:after="0"/>
              <w:rPr>
                <w:sz w:val="22"/>
                <w:szCs w:val="22"/>
                <w:color w:val="auto"/>
              </w:rPr>
            </w:pPr>
          </w:p>
        </w:tc>
      </w:tr>
      <w:tr>
        <w:trPr>
          <w:trHeight w:val="20"/>
        </w:trPr>
        <w:tc>
          <w:tcPr>
            <w:tcW w:w="740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134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top w:val="single" w:sz="8" w:color="CCEEFF"/>
            </w:tcBorders>
          </w:tcPr>
          <w:p>
            <w:pPr>
              <w:spacing w:after="0" w:line="20" w:lineRule="exact"/>
              <w:rPr>
                <w:sz w:val="1"/>
                <w:szCs w:val="1"/>
                <w:color w:val="auto"/>
              </w:rPr>
            </w:pPr>
          </w:p>
        </w:tc>
        <w:tc>
          <w:tcPr>
            <w:tcW w:w="460" w:type="dxa"/>
            <w:vAlign w:val="bottom"/>
            <w:tcBorders>
              <w:top w:val="single" w:sz="8" w:color="auto"/>
              <w:bottom w:val="single" w:sz="8" w:color="auto"/>
            </w:tcBorders>
          </w:tcPr>
          <w:p>
            <w:pPr>
              <w:spacing w:after="0" w:line="20" w:lineRule="exact"/>
              <w:rPr>
                <w:sz w:val="1"/>
                <w:szCs w:val="1"/>
                <w:color w:val="auto"/>
              </w:rPr>
            </w:pPr>
          </w:p>
        </w:tc>
        <w:tc>
          <w:tcPr>
            <w:tcW w:w="11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r>
    </w:tbl>
    <w:p>
      <w:pPr>
        <w:spacing w:after="0" w:line="310"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420" w:type="dxa"/>
            <w:vAlign w:val="bottom"/>
          </w:tcPr>
          <w:p>
            <w:pPr>
              <w:spacing w:after="0"/>
              <w:rPr>
                <w:sz w:val="20"/>
                <w:szCs w:val="20"/>
                <w:color w:val="auto"/>
              </w:rPr>
            </w:pPr>
          </w:p>
        </w:tc>
        <w:tc>
          <w:tcPr>
            <w:tcW w:w="9740" w:type="dxa"/>
            <w:vAlign w:val="bottom"/>
            <w:gridSpan w:val="2"/>
          </w:tcPr>
          <w:p>
            <w:pPr>
              <w:ind w:left="20"/>
              <w:spacing w:after="0"/>
              <w:rPr>
                <w:sz w:val="20"/>
                <w:szCs w:val="20"/>
                <w:color w:val="auto"/>
              </w:rPr>
            </w:pPr>
            <w:r>
              <w:rPr>
                <w:rFonts w:ascii="Arial" w:cs="Arial" w:eastAsia="Arial" w:hAnsi="Arial"/>
                <w:sz w:val="18"/>
                <w:szCs w:val="18"/>
                <w:color w:val="auto"/>
              </w:rPr>
              <w:t>The schedule of remaining principal payments under our Term Loans as of June 30, 2018 was as follows:</w:t>
            </w:r>
          </w:p>
        </w:tc>
        <w:tc>
          <w:tcPr>
            <w:tcW w:w="1260" w:type="dxa"/>
            <w:vAlign w:val="bottom"/>
          </w:tcPr>
          <w:p>
            <w:pPr>
              <w:spacing w:after="0"/>
              <w:rPr>
                <w:sz w:val="20"/>
                <w:szCs w:val="20"/>
                <w:color w:val="auto"/>
              </w:rPr>
            </w:pPr>
          </w:p>
        </w:tc>
      </w:tr>
      <w:tr>
        <w:trPr>
          <w:trHeight w:val="243"/>
        </w:trPr>
        <w:tc>
          <w:tcPr>
            <w:tcW w:w="420" w:type="dxa"/>
            <w:vAlign w:val="bottom"/>
          </w:tcPr>
          <w:p>
            <w:pPr>
              <w:spacing w:after="0"/>
              <w:rPr>
                <w:sz w:val="21"/>
                <w:szCs w:val="21"/>
                <w:color w:val="auto"/>
              </w:rPr>
            </w:pPr>
          </w:p>
        </w:tc>
        <w:tc>
          <w:tcPr>
            <w:tcW w:w="9180" w:type="dxa"/>
            <w:vAlign w:val="bottom"/>
          </w:tcPr>
          <w:p>
            <w:pPr>
              <w:spacing w:after="0"/>
              <w:rPr>
                <w:sz w:val="21"/>
                <w:szCs w:val="21"/>
                <w:color w:val="auto"/>
              </w:rPr>
            </w:pPr>
          </w:p>
        </w:tc>
        <w:tc>
          <w:tcPr>
            <w:tcW w:w="560" w:type="dxa"/>
            <w:vAlign w:val="bottom"/>
          </w:tcPr>
          <w:p>
            <w:pPr>
              <w:spacing w:after="0"/>
              <w:rPr>
                <w:sz w:val="21"/>
                <w:szCs w:val="21"/>
                <w:color w:val="auto"/>
              </w:rPr>
            </w:pPr>
          </w:p>
        </w:tc>
        <w:tc>
          <w:tcPr>
            <w:tcW w:w="1260" w:type="dxa"/>
            <w:vAlign w:val="bottom"/>
          </w:tcPr>
          <w:p>
            <w:pPr>
              <w:spacing w:after="0"/>
              <w:rPr>
                <w:sz w:val="21"/>
                <w:szCs w:val="21"/>
                <w:color w:val="auto"/>
              </w:rPr>
            </w:pPr>
          </w:p>
        </w:tc>
      </w:tr>
      <w:tr>
        <w:trPr>
          <w:trHeight w:val="250"/>
        </w:trPr>
        <w:tc>
          <w:tcPr>
            <w:tcW w:w="4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4"/>
              </w:rPr>
              <w:t>2018</w:t>
            </w:r>
          </w:p>
        </w:tc>
        <w:tc>
          <w:tcPr>
            <w:tcW w:w="974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8"/>
                <w:szCs w:val="18"/>
                <w:color w:val="auto"/>
              </w:rPr>
              <w:t>(remaining six months)</w:t>
            </w:r>
          </w:p>
        </w:tc>
        <w:tc>
          <w:tcPr>
            <w:tcW w:w="12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916,666</w:t>
            </w:r>
          </w:p>
        </w:tc>
      </w:tr>
      <w:tr>
        <w:trPr>
          <w:trHeight w:val="243"/>
        </w:trPr>
        <w:tc>
          <w:tcPr>
            <w:tcW w:w="420" w:type="dxa"/>
            <w:vAlign w:val="bottom"/>
          </w:tcPr>
          <w:p>
            <w:pPr>
              <w:jc w:val="right"/>
              <w:spacing w:after="0"/>
              <w:rPr>
                <w:sz w:val="20"/>
                <w:szCs w:val="20"/>
                <w:color w:val="auto"/>
              </w:rPr>
            </w:pPr>
            <w:r>
              <w:rPr>
                <w:rFonts w:ascii="Arial" w:cs="Arial" w:eastAsia="Arial" w:hAnsi="Arial"/>
                <w:sz w:val="18"/>
                <w:szCs w:val="18"/>
                <w:color w:val="auto"/>
                <w:w w:val="94"/>
              </w:rPr>
              <w:t>2019</w:t>
            </w:r>
          </w:p>
        </w:tc>
        <w:tc>
          <w:tcPr>
            <w:tcW w:w="9180" w:type="dxa"/>
            <w:vAlign w:val="bottom"/>
          </w:tcPr>
          <w:p>
            <w:pPr>
              <w:spacing w:after="0"/>
              <w:rPr>
                <w:sz w:val="21"/>
                <w:szCs w:val="21"/>
                <w:color w:val="auto"/>
              </w:rPr>
            </w:pPr>
          </w:p>
        </w:tc>
        <w:tc>
          <w:tcPr>
            <w:tcW w:w="560" w:type="dxa"/>
            <w:vAlign w:val="bottom"/>
          </w:tcPr>
          <w:p>
            <w:pPr>
              <w:spacing w:after="0"/>
              <w:rPr>
                <w:sz w:val="21"/>
                <w:szCs w:val="21"/>
                <w:color w:val="auto"/>
              </w:rPr>
            </w:pPr>
          </w:p>
        </w:tc>
        <w:tc>
          <w:tcPr>
            <w:tcW w:w="1260" w:type="dxa"/>
            <w:vAlign w:val="bottom"/>
          </w:tcPr>
          <w:p>
            <w:pPr>
              <w:jc w:val="right"/>
              <w:ind w:right="10"/>
              <w:spacing w:after="0"/>
              <w:rPr>
                <w:sz w:val="20"/>
                <w:szCs w:val="20"/>
                <w:color w:val="auto"/>
              </w:rPr>
            </w:pPr>
            <w:r>
              <w:rPr>
                <w:rFonts w:ascii="Arial" w:cs="Arial" w:eastAsia="Arial" w:hAnsi="Arial"/>
                <w:sz w:val="18"/>
                <w:szCs w:val="18"/>
                <w:color w:val="auto"/>
              </w:rPr>
              <w:t>625,000</w:t>
            </w:r>
          </w:p>
        </w:tc>
      </w:tr>
      <w:tr>
        <w:trPr>
          <w:trHeight w:val="27"/>
        </w:trPr>
        <w:tc>
          <w:tcPr>
            <w:tcW w:w="420" w:type="dxa"/>
            <w:vAlign w:val="bottom"/>
            <w:tcBorders>
              <w:bottom w:val="single" w:sz="8" w:color="CCEEFF"/>
            </w:tcBorders>
          </w:tcPr>
          <w:p>
            <w:pPr>
              <w:spacing w:after="0"/>
              <w:rPr>
                <w:sz w:val="2"/>
                <w:szCs w:val="2"/>
                <w:color w:val="auto"/>
              </w:rPr>
            </w:pPr>
          </w:p>
        </w:tc>
        <w:tc>
          <w:tcPr>
            <w:tcW w:w="9180" w:type="dxa"/>
            <w:vAlign w:val="bottom"/>
            <w:tcBorders>
              <w:bottom w:val="single" w:sz="8" w:color="CCEEFF"/>
            </w:tcBorders>
          </w:tcPr>
          <w:p>
            <w:pPr>
              <w:spacing w:after="0"/>
              <w:rPr>
                <w:sz w:val="2"/>
                <w:szCs w:val="2"/>
                <w:color w:val="auto"/>
              </w:rPr>
            </w:pPr>
          </w:p>
        </w:tc>
        <w:tc>
          <w:tcPr>
            <w:tcW w:w="56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r>
      <w:tr>
        <w:trPr>
          <w:trHeight w:val="269"/>
        </w:trPr>
        <w:tc>
          <w:tcPr>
            <w:tcW w:w="420" w:type="dxa"/>
            <w:vAlign w:val="bottom"/>
            <w:tcBorders>
              <w:bottom w:val="single" w:sz="8" w:color="CCEEFF"/>
            </w:tcBorders>
            <w:shd w:val="clear" w:color="auto" w:fill="CCEEFF"/>
          </w:tcPr>
          <w:p>
            <w:pPr>
              <w:spacing w:after="0"/>
              <w:rPr>
                <w:sz w:val="22"/>
                <w:szCs w:val="22"/>
                <w:color w:val="auto"/>
              </w:rPr>
            </w:pPr>
          </w:p>
        </w:tc>
        <w:tc>
          <w:tcPr>
            <w:tcW w:w="9740" w:type="dxa"/>
            <w:vAlign w:val="bottom"/>
            <w:tcBorders>
              <w:bottom w:val="single" w:sz="8" w:color="CCEEFF"/>
            </w:tcBorders>
            <w:gridSpan w:val="2"/>
            <w:shd w:val="clear" w:color="auto" w:fill="CCEEFF"/>
          </w:tcPr>
          <w:p>
            <w:pPr>
              <w:jc w:val="right"/>
              <w:ind w:right="440"/>
              <w:spacing w:after="0"/>
              <w:rPr>
                <w:sz w:val="20"/>
                <w:szCs w:val="20"/>
                <w:color w:val="auto"/>
              </w:rPr>
            </w:pPr>
            <w:r>
              <w:rPr>
                <w:rFonts w:ascii="Arial" w:cs="Arial" w:eastAsia="Arial" w:hAnsi="Arial"/>
                <w:sz w:val="18"/>
                <w:szCs w:val="18"/>
                <w:color w:val="auto"/>
              </w:rPr>
              <w:t>$</w:t>
            </w:r>
          </w:p>
        </w:tc>
        <w:tc>
          <w:tcPr>
            <w:tcW w:w="12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1,541,666</w:t>
            </w:r>
          </w:p>
        </w:tc>
      </w:tr>
      <w:tr>
        <w:trPr>
          <w:trHeight w:val="20"/>
        </w:trPr>
        <w:tc>
          <w:tcPr>
            <w:tcW w:w="420" w:type="dxa"/>
            <w:vAlign w:val="bottom"/>
            <w:tcBorders>
              <w:top w:val="single" w:sz="8" w:color="CCEEFF"/>
            </w:tcBorders>
          </w:tcPr>
          <w:p>
            <w:pPr>
              <w:spacing w:after="0" w:line="20" w:lineRule="exact"/>
              <w:rPr>
                <w:sz w:val="1"/>
                <w:szCs w:val="1"/>
                <w:color w:val="auto"/>
              </w:rPr>
            </w:pPr>
          </w:p>
        </w:tc>
        <w:tc>
          <w:tcPr>
            <w:tcW w:w="9180" w:type="dxa"/>
            <w:vAlign w:val="bottom"/>
            <w:tcBorders>
              <w:top w:val="single" w:sz="8" w:color="CCEEFF"/>
            </w:tcBorders>
          </w:tcPr>
          <w:p>
            <w:pPr>
              <w:spacing w:after="0" w:line="20" w:lineRule="exact"/>
              <w:rPr>
                <w:sz w:val="1"/>
                <w:szCs w:val="1"/>
                <w:color w:val="auto"/>
              </w:rPr>
            </w:pPr>
          </w:p>
        </w:tc>
        <w:tc>
          <w:tcPr>
            <w:tcW w:w="560" w:type="dxa"/>
            <w:vAlign w:val="bottom"/>
            <w:tcBorders>
              <w:top w:val="single" w:sz="8" w:color="auto"/>
              <w:bottom w:val="single" w:sz="8" w:color="auto"/>
            </w:tcBorders>
          </w:tcPr>
          <w:p>
            <w:pPr>
              <w:spacing w:after="0" w:line="20" w:lineRule="exact"/>
              <w:rPr>
                <w:sz w:val="1"/>
                <w:szCs w:val="1"/>
                <w:color w:val="auto"/>
              </w:rPr>
            </w:pPr>
          </w:p>
        </w:tc>
        <w:tc>
          <w:tcPr>
            <w:tcW w:w="1260" w:type="dxa"/>
            <w:vAlign w:val="bottom"/>
            <w:tcBorders>
              <w:top w:val="single" w:sz="8" w:color="auto"/>
              <w:bottom w:val="single" w:sz="8" w:color="auto"/>
            </w:tcBorders>
          </w:tcPr>
          <w:p>
            <w:pPr>
              <w:spacing w:after="0" w:line="20" w:lineRule="exact"/>
              <w:rPr>
                <w:sz w:val="1"/>
                <w:szCs w:val="1"/>
                <w:color w:val="auto"/>
              </w:rPr>
            </w:pPr>
          </w:p>
        </w:tc>
      </w:tr>
    </w:tbl>
    <w:p>
      <w:pPr>
        <w:spacing w:after="0" w:line="306" w:lineRule="exact"/>
        <w:rPr>
          <w:sz w:val="20"/>
          <w:szCs w:val="20"/>
          <w:color w:val="auto"/>
        </w:rPr>
      </w:pPr>
    </w:p>
    <w:p>
      <w:pPr>
        <w:ind w:left="500" w:hanging="492"/>
        <w:spacing w:after="0"/>
        <w:tabs>
          <w:tab w:leader="none" w:pos="500" w:val="left"/>
        </w:tabs>
        <w:numPr>
          <w:ilvl w:val="0"/>
          <w:numId w:val="10"/>
        </w:numPr>
        <w:rPr>
          <w:rFonts w:ascii="Arial" w:cs="Arial" w:eastAsia="Arial" w:hAnsi="Arial"/>
          <w:sz w:val="18"/>
          <w:szCs w:val="18"/>
          <w:b w:val="1"/>
          <w:bCs w:val="1"/>
          <w:color w:val="auto"/>
        </w:rPr>
      </w:pPr>
      <w:r>
        <w:rPr>
          <w:rFonts w:ascii="Arial" w:cs="Arial" w:eastAsia="Arial" w:hAnsi="Arial"/>
          <w:sz w:val="18"/>
          <w:szCs w:val="18"/>
          <w:b w:val="1"/>
          <w:bCs w:val="1"/>
          <w:color w:val="auto"/>
        </w:rPr>
        <w:t>Capital Stock and Share-Based Compensation</w:t>
      </w:r>
    </w:p>
    <w:p>
      <w:pPr>
        <w:spacing w:after="0" w:line="121" w:lineRule="exact"/>
        <w:rPr>
          <w:sz w:val="20"/>
          <w:szCs w:val="20"/>
          <w:color w:val="auto"/>
        </w:rPr>
      </w:pPr>
    </w:p>
    <w:p>
      <w:pPr>
        <w:ind w:right="120" w:firstLine="432"/>
        <w:spacing w:after="0" w:line="264" w:lineRule="auto"/>
        <w:rPr>
          <w:sz w:val="20"/>
          <w:szCs w:val="20"/>
          <w:color w:val="auto"/>
        </w:rPr>
      </w:pPr>
      <w:r>
        <w:rPr>
          <w:rFonts w:ascii="Arial" w:cs="Arial" w:eastAsia="Arial" w:hAnsi="Arial"/>
          <w:sz w:val="18"/>
          <w:szCs w:val="18"/>
          <w:color w:val="auto"/>
        </w:rPr>
        <w:t>We recognize share-based compensation expense based upon the fair value of the underlying equity award on the date of the grant. For restricted stock awards and restricted stock units, we recognize expense based upon the price of our underlying stock at the date of the grant. We have elected to use the Black-Scholes-Merton option pricing model to value any option or</w:t>
      </w:r>
    </w:p>
    <w:p>
      <w:pPr>
        <w:spacing w:after="0" w:line="20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16</w:t>
      </w:r>
    </w:p>
    <w:p>
      <w:pPr>
        <w:sectPr>
          <w:pgSz w:w="11900" w:h="16838" w:orient="portrait"/>
          <w:cols w:equalWidth="0" w:num="1">
            <w:col w:w="11420"/>
          </w:cols>
          <w:pgMar w:left="240" w:top="118" w:right="239" w:bottom="1440" w:gutter="0" w:footer="0" w:header="0"/>
        </w:sectPr>
      </w:pPr>
    </w:p>
    <w:bookmarkStart w:id="16" w:name="page17"/>
    <w:bookmarkEnd w:id="16"/>
    <w:p>
      <w:pPr>
        <w:spacing w:after="0"/>
        <w:rPr>
          <w:rFonts w:ascii="Arial" w:cs="Arial" w:eastAsia="Arial" w:hAnsi="Arial"/>
          <w:sz w:val="14"/>
          <w:szCs w:val="14"/>
          <w:b w:val="1"/>
          <w:bCs w:val="1"/>
          <w:u w:val="single" w:color="auto"/>
          <w:color w:val="0000EE"/>
        </w:rPr>
      </w:pPr>
      <w:hyperlink w:anchor="page2">
        <w:r>
          <w:rPr>
            <w:rFonts w:ascii="Arial" w:cs="Arial" w:eastAsia="Arial" w:hAnsi="Arial"/>
            <w:sz w:val="14"/>
            <w:szCs w:val="14"/>
            <w:b w:val="1"/>
            <w:bCs w:val="1"/>
            <w:u w:val="single" w:color="auto"/>
            <w:color w:val="0000EE"/>
          </w:rPr>
          <w:t>Table of Contents</w:t>
        </w:r>
      </w:hyperlink>
    </w:p>
    <w:p>
      <w:pPr>
        <w:spacing w:after="0" w:line="360" w:lineRule="exact"/>
        <w:rPr>
          <w:sz w:val="20"/>
          <w:szCs w:val="20"/>
          <w:color w:val="auto"/>
        </w:rPr>
      </w:pPr>
    </w:p>
    <w:p>
      <w:pPr>
        <w:jc w:val="both"/>
        <w:ind w:right="40"/>
        <w:spacing w:after="0" w:line="279" w:lineRule="auto"/>
        <w:rPr>
          <w:sz w:val="20"/>
          <w:szCs w:val="20"/>
          <w:color w:val="auto"/>
        </w:rPr>
      </w:pPr>
      <w:r>
        <w:rPr>
          <w:rFonts w:ascii="Arial" w:cs="Arial" w:eastAsia="Arial" w:hAnsi="Arial"/>
          <w:sz w:val="17"/>
          <w:szCs w:val="17"/>
          <w:color w:val="auto"/>
        </w:rPr>
        <w:t>warrant awards granted. We recognize share-based compensation for such awards on a straight-line basis over the requisite service period of the awards. The risk-free interest rate is based on U.S. Treasury interest rates, the terms of which are consistent with the expected life of the stock options. The expected life is based upon historical experience of homogeneous groups within our company. We also assume an expected dividend yield of zero for all periods, as we have never paid a dividend on our common stock and do not have any plans to do so in the future.</w:t>
      </w:r>
    </w:p>
    <w:p>
      <w:pPr>
        <w:spacing w:after="0" w:line="388"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Stock Options</w:t>
      </w:r>
    </w:p>
    <w:p>
      <w:pPr>
        <w:spacing w:after="0" w:line="225" w:lineRule="exact"/>
        <w:rPr>
          <w:sz w:val="20"/>
          <w:szCs w:val="20"/>
          <w:color w:val="auto"/>
        </w:rPr>
      </w:pPr>
    </w:p>
    <w:p>
      <w:pPr>
        <w:ind w:left="440"/>
        <w:spacing w:after="0"/>
        <w:rPr>
          <w:sz w:val="20"/>
          <w:szCs w:val="20"/>
          <w:color w:val="auto"/>
        </w:rPr>
      </w:pPr>
      <w:r>
        <w:rPr>
          <w:rFonts w:ascii="Arial" w:cs="Arial" w:eastAsia="Arial" w:hAnsi="Arial"/>
          <w:sz w:val="18"/>
          <w:szCs w:val="18"/>
          <w:color w:val="auto"/>
        </w:rPr>
        <w:t>A summary of the stock option activity for the six months ended June 30, 2018 is presented below:</w:t>
      </w:r>
    </w:p>
    <w:p>
      <w:pPr>
        <w:spacing w:after="0" w:line="230"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2420" w:type="dxa"/>
            <w:vAlign w:val="bottom"/>
          </w:tcPr>
          <w:p>
            <w:pPr>
              <w:spacing w:after="0"/>
              <w:rPr>
                <w:sz w:val="16"/>
                <w:szCs w:val="16"/>
                <w:color w:val="auto"/>
              </w:rPr>
            </w:pPr>
          </w:p>
        </w:tc>
        <w:tc>
          <w:tcPr>
            <w:tcW w:w="116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2860" w:type="dxa"/>
            <w:vAlign w:val="bottom"/>
            <w:tcBorders>
              <w:bottom w:val="single" w:sz="8" w:color="auto"/>
            </w:tcBorders>
            <w:gridSpan w:val="5"/>
          </w:tcPr>
          <w:p>
            <w:pPr>
              <w:ind w:left="720"/>
              <w:spacing w:after="0"/>
              <w:rPr>
                <w:sz w:val="20"/>
                <w:szCs w:val="20"/>
                <w:color w:val="auto"/>
              </w:rPr>
            </w:pPr>
            <w:r>
              <w:rPr>
                <w:rFonts w:ascii="Arial" w:cs="Arial" w:eastAsia="Arial" w:hAnsi="Arial"/>
                <w:sz w:val="14"/>
                <w:szCs w:val="14"/>
                <w:b w:val="1"/>
                <w:bCs w:val="1"/>
                <w:color w:val="auto"/>
              </w:rPr>
              <w:t>Options Outstanding</w:t>
            </w:r>
          </w:p>
        </w:tc>
        <w:tc>
          <w:tcPr>
            <w:tcW w:w="180" w:type="dxa"/>
            <w:vAlign w:val="bottom"/>
            <w:tcBorders>
              <w:bottom w:val="single" w:sz="8" w:color="auto"/>
            </w:tcBorders>
          </w:tcPr>
          <w:p>
            <w:pPr>
              <w:spacing w:after="0"/>
              <w:rPr>
                <w:sz w:val="16"/>
                <w:szCs w:val="16"/>
                <w:color w:val="auto"/>
              </w:rPr>
            </w:pPr>
          </w:p>
        </w:tc>
        <w:tc>
          <w:tcPr>
            <w:tcW w:w="960" w:type="dxa"/>
            <w:vAlign w:val="bottom"/>
            <w:tcBorders>
              <w:bottom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1140" w:type="dxa"/>
            <w:vAlign w:val="bottom"/>
            <w:tcBorders>
              <w:bottom w:val="single" w:sz="8" w:color="auto"/>
            </w:tcBorders>
          </w:tcPr>
          <w:p>
            <w:pPr>
              <w:spacing w:after="0"/>
              <w:rPr>
                <w:sz w:val="16"/>
                <w:szCs w:val="16"/>
                <w:color w:val="auto"/>
              </w:rPr>
            </w:pPr>
          </w:p>
        </w:tc>
        <w:tc>
          <w:tcPr>
            <w:tcW w:w="1340" w:type="dxa"/>
            <w:vAlign w:val="bottom"/>
            <w:tcBorders>
              <w:bottom w:val="single" w:sz="8" w:color="auto"/>
            </w:tcBorders>
            <w:gridSpan w:val="4"/>
          </w:tcPr>
          <w:p>
            <w:pPr>
              <w:jc w:val="center"/>
              <w:spacing w:after="0"/>
              <w:rPr>
                <w:sz w:val="20"/>
                <w:szCs w:val="20"/>
                <w:color w:val="auto"/>
              </w:rPr>
            </w:pPr>
            <w:r>
              <w:rPr>
                <w:rFonts w:ascii="Arial" w:cs="Arial" w:eastAsia="Arial" w:hAnsi="Arial"/>
                <w:sz w:val="14"/>
                <w:szCs w:val="14"/>
                <w:b w:val="1"/>
                <w:bCs w:val="1"/>
                <w:color w:val="auto"/>
                <w:w w:val="92"/>
              </w:rPr>
              <w:t>Options Exercisable</w:t>
            </w:r>
          </w:p>
        </w:tc>
        <w:tc>
          <w:tcPr>
            <w:tcW w:w="200" w:type="dxa"/>
            <w:vAlign w:val="bottom"/>
            <w:tcBorders>
              <w:bottom w:val="single" w:sz="8" w:color="auto"/>
            </w:tcBorders>
          </w:tcPr>
          <w:p>
            <w:pPr>
              <w:spacing w:after="0"/>
              <w:rPr>
                <w:sz w:val="16"/>
                <w:szCs w:val="16"/>
                <w:color w:val="auto"/>
              </w:rPr>
            </w:pPr>
          </w:p>
        </w:tc>
        <w:tc>
          <w:tcPr>
            <w:tcW w:w="94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52"/>
        </w:trPr>
        <w:tc>
          <w:tcPr>
            <w:tcW w:w="2420" w:type="dxa"/>
            <w:vAlign w:val="bottom"/>
          </w:tcPr>
          <w:p>
            <w:pPr>
              <w:spacing w:after="0"/>
              <w:rPr>
                <w:sz w:val="13"/>
                <w:szCs w:val="13"/>
                <w:color w:val="auto"/>
              </w:rPr>
            </w:pPr>
          </w:p>
        </w:tc>
        <w:tc>
          <w:tcPr>
            <w:tcW w:w="11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4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1060" w:type="dxa"/>
            <w:vAlign w:val="bottom"/>
            <w:gridSpan w:val="2"/>
          </w:tcPr>
          <w:p>
            <w:pPr>
              <w:jc w:val="center"/>
              <w:ind w:right="320"/>
              <w:spacing w:after="0" w:line="153" w:lineRule="exact"/>
              <w:rPr>
                <w:sz w:val="20"/>
                <w:szCs w:val="20"/>
                <w:color w:val="auto"/>
              </w:rPr>
            </w:pPr>
            <w:r>
              <w:rPr>
                <w:rFonts w:ascii="Arial" w:cs="Arial" w:eastAsia="Arial" w:hAnsi="Arial"/>
                <w:sz w:val="14"/>
                <w:szCs w:val="14"/>
                <w:b w:val="1"/>
                <w:bCs w:val="1"/>
                <w:color w:val="auto"/>
                <w:w w:val="91"/>
              </w:rPr>
              <w:t>Weighted</w:t>
            </w:r>
          </w:p>
        </w:tc>
        <w:tc>
          <w:tcPr>
            <w:tcW w:w="180" w:type="dxa"/>
            <w:vAlign w:val="bottom"/>
          </w:tcPr>
          <w:p>
            <w:pPr>
              <w:spacing w:after="0"/>
              <w:rPr>
                <w:sz w:val="13"/>
                <w:szCs w:val="13"/>
                <w:color w:val="auto"/>
              </w:rPr>
            </w:pPr>
          </w:p>
        </w:tc>
        <w:tc>
          <w:tcPr>
            <w:tcW w:w="1060" w:type="dxa"/>
            <w:vAlign w:val="bottom"/>
            <w:gridSpan w:val="2"/>
            <w:vMerge w:val="restart"/>
          </w:tcPr>
          <w:p>
            <w:pPr>
              <w:ind w:left="80"/>
              <w:spacing w:after="0"/>
              <w:rPr>
                <w:sz w:val="20"/>
                <w:szCs w:val="20"/>
                <w:color w:val="auto"/>
              </w:rPr>
            </w:pPr>
            <w:r>
              <w:rPr>
                <w:rFonts w:ascii="Arial" w:cs="Arial" w:eastAsia="Arial" w:hAnsi="Arial"/>
                <w:sz w:val="14"/>
                <w:szCs w:val="14"/>
                <w:b w:val="1"/>
                <w:bCs w:val="1"/>
                <w:color w:val="auto"/>
              </w:rPr>
              <w:t>Aggregate</w:t>
            </w:r>
          </w:p>
        </w:tc>
        <w:tc>
          <w:tcPr>
            <w:tcW w:w="11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1040" w:type="dxa"/>
            <w:vAlign w:val="bottom"/>
            <w:gridSpan w:val="2"/>
          </w:tcPr>
          <w:p>
            <w:pPr>
              <w:jc w:val="center"/>
              <w:ind w:right="300"/>
              <w:spacing w:after="0" w:line="153" w:lineRule="exact"/>
              <w:rPr>
                <w:sz w:val="20"/>
                <w:szCs w:val="20"/>
                <w:color w:val="auto"/>
              </w:rPr>
            </w:pPr>
            <w:r>
              <w:rPr>
                <w:rFonts w:ascii="Arial" w:cs="Arial" w:eastAsia="Arial" w:hAnsi="Arial"/>
                <w:sz w:val="14"/>
                <w:szCs w:val="14"/>
                <w:b w:val="1"/>
                <w:bCs w:val="1"/>
                <w:color w:val="auto"/>
                <w:w w:val="91"/>
              </w:rPr>
              <w:t>Weighted</w:t>
            </w:r>
          </w:p>
        </w:tc>
        <w:tc>
          <w:tcPr>
            <w:tcW w:w="200" w:type="dxa"/>
            <w:vAlign w:val="bottom"/>
          </w:tcPr>
          <w:p>
            <w:pPr>
              <w:spacing w:after="0"/>
              <w:rPr>
                <w:sz w:val="13"/>
                <w:szCs w:val="13"/>
                <w:color w:val="auto"/>
              </w:rPr>
            </w:pPr>
          </w:p>
        </w:tc>
        <w:tc>
          <w:tcPr>
            <w:tcW w:w="940" w:type="dxa"/>
            <w:vAlign w:val="bottom"/>
            <w:vMerge w:val="restart"/>
          </w:tcPr>
          <w:p>
            <w:pPr>
              <w:ind w:left="60"/>
              <w:spacing w:after="0"/>
              <w:rPr>
                <w:sz w:val="20"/>
                <w:szCs w:val="20"/>
                <w:color w:val="auto"/>
              </w:rPr>
            </w:pPr>
            <w:r>
              <w:rPr>
                <w:rFonts w:ascii="Arial" w:cs="Arial" w:eastAsia="Arial" w:hAnsi="Arial"/>
                <w:sz w:val="14"/>
                <w:szCs w:val="14"/>
                <w:b w:val="1"/>
                <w:bCs w:val="1"/>
                <w:color w:val="auto"/>
              </w:rPr>
              <w:t>Aggregate</w:t>
            </w:r>
          </w:p>
        </w:tc>
        <w:tc>
          <w:tcPr>
            <w:tcW w:w="0" w:type="dxa"/>
            <w:vAlign w:val="bottom"/>
          </w:tcPr>
          <w:p>
            <w:pPr>
              <w:spacing w:after="0"/>
              <w:rPr>
                <w:sz w:val="1"/>
                <w:szCs w:val="1"/>
                <w:color w:val="auto"/>
              </w:rPr>
            </w:pPr>
          </w:p>
        </w:tc>
      </w:tr>
      <w:tr>
        <w:trPr>
          <w:trHeight w:val="149"/>
        </w:trPr>
        <w:tc>
          <w:tcPr>
            <w:tcW w:w="2420" w:type="dxa"/>
            <w:vAlign w:val="bottom"/>
          </w:tcPr>
          <w:p>
            <w:pPr>
              <w:spacing w:after="0"/>
              <w:rPr>
                <w:sz w:val="12"/>
                <w:szCs w:val="12"/>
                <w:color w:val="auto"/>
              </w:rPr>
            </w:pPr>
          </w:p>
        </w:tc>
        <w:tc>
          <w:tcPr>
            <w:tcW w:w="1280" w:type="dxa"/>
            <w:vAlign w:val="bottom"/>
            <w:gridSpan w:val="2"/>
            <w:vMerge w:val="restart"/>
          </w:tcPr>
          <w:p>
            <w:pPr>
              <w:ind w:left="300"/>
              <w:spacing w:after="0"/>
              <w:rPr>
                <w:sz w:val="20"/>
                <w:szCs w:val="20"/>
                <w:color w:val="auto"/>
              </w:rPr>
            </w:pPr>
            <w:r>
              <w:rPr>
                <w:rFonts w:ascii="Arial" w:cs="Arial" w:eastAsia="Arial" w:hAnsi="Arial"/>
                <w:sz w:val="14"/>
                <w:szCs w:val="14"/>
                <w:b w:val="1"/>
                <w:bCs w:val="1"/>
                <w:color w:val="auto"/>
              </w:rPr>
              <w:t>Number of</w:t>
            </w:r>
          </w:p>
        </w:tc>
        <w:tc>
          <w:tcPr>
            <w:tcW w:w="1600" w:type="dxa"/>
            <w:vAlign w:val="bottom"/>
            <w:gridSpan w:val="2"/>
            <w:vMerge w:val="restart"/>
          </w:tcPr>
          <w:p>
            <w:pPr>
              <w:jc w:val="center"/>
              <w:ind w:right="120"/>
              <w:spacing w:after="0"/>
              <w:rPr>
                <w:sz w:val="20"/>
                <w:szCs w:val="20"/>
                <w:color w:val="auto"/>
              </w:rPr>
            </w:pPr>
            <w:r>
              <w:rPr>
                <w:rFonts w:ascii="Arial" w:cs="Arial" w:eastAsia="Arial" w:hAnsi="Arial"/>
                <w:sz w:val="14"/>
                <w:szCs w:val="14"/>
                <w:b w:val="1"/>
                <w:bCs w:val="1"/>
                <w:color w:val="auto"/>
                <w:w w:val="93"/>
              </w:rPr>
              <w:t>Price per Share</w:t>
            </w:r>
          </w:p>
        </w:tc>
        <w:tc>
          <w:tcPr>
            <w:tcW w:w="200" w:type="dxa"/>
            <w:vAlign w:val="bottom"/>
          </w:tcPr>
          <w:p>
            <w:pPr>
              <w:spacing w:after="0"/>
              <w:rPr>
                <w:sz w:val="12"/>
                <w:szCs w:val="12"/>
                <w:color w:val="auto"/>
              </w:rPr>
            </w:pPr>
          </w:p>
        </w:tc>
        <w:tc>
          <w:tcPr>
            <w:tcW w:w="1060" w:type="dxa"/>
            <w:vAlign w:val="bottom"/>
            <w:gridSpan w:val="2"/>
          </w:tcPr>
          <w:p>
            <w:pPr>
              <w:jc w:val="center"/>
              <w:ind w:right="320"/>
              <w:spacing w:after="0" w:line="149" w:lineRule="exact"/>
              <w:rPr>
                <w:sz w:val="20"/>
                <w:szCs w:val="20"/>
                <w:color w:val="auto"/>
              </w:rPr>
            </w:pPr>
            <w:r>
              <w:rPr>
                <w:rFonts w:ascii="Arial" w:cs="Arial" w:eastAsia="Arial" w:hAnsi="Arial"/>
                <w:sz w:val="14"/>
                <w:szCs w:val="14"/>
                <w:b w:val="1"/>
                <w:bCs w:val="1"/>
                <w:color w:val="auto"/>
                <w:w w:val="90"/>
              </w:rPr>
              <w:t>Average</w:t>
            </w:r>
          </w:p>
        </w:tc>
        <w:tc>
          <w:tcPr>
            <w:tcW w:w="180" w:type="dxa"/>
            <w:vAlign w:val="bottom"/>
          </w:tcPr>
          <w:p>
            <w:pPr>
              <w:spacing w:after="0"/>
              <w:rPr>
                <w:sz w:val="12"/>
                <w:szCs w:val="12"/>
                <w:color w:val="auto"/>
              </w:rPr>
            </w:pPr>
          </w:p>
        </w:tc>
        <w:tc>
          <w:tcPr>
            <w:tcW w:w="1060" w:type="dxa"/>
            <w:vAlign w:val="bottom"/>
            <w:gridSpan w:val="2"/>
            <w:vMerge w:val="continue"/>
          </w:tcPr>
          <w:p>
            <w:pPr>
              <w:spacing w:after="0"/>
              <w:rPr>
                <w:sz w:val="12"/>
                <w:szCs w:val="12"/>
                <w:color w:val="auto"/>
              </w:rPr>
            </w:pPr>
          </w:p>
        </w:tc>
        <w:tc>
          <w:tcPr>
            <w:tcW w:w="1140" w:type="dxa"/>
            <w:vAlign w:val="bottom"/>
            <w:vMerge w:val="restart"/>
          </w:tcPr>
          <w:p>
            <w:pPr>
              <w:jc w:val="right"/>
              <w:ind w:right="159"/>
              <w:spacing w:after="0"/>
              <w:rPr>
                <w:sz w:val="20"/>
                <w:szCs w:val="20"/>
                <w:color w:val="auto"/>
              </w:rPr>
            </w:pPr>
            <w:r>
              <w:rPr>
                <w:rFonts w:ascii="Arial" w:cs="Arial" w:eastAsia="Arial" w:hAnsi="Arial"/>
                <w:sz w:val="14"/>
                <w:szCs w:val="14"/>
                <w:b w:val="1"/>
                <w:bCs w:val="1"/>
                <w:color w:val="auto"/>
              </w:rPr>
              <w:t>Number of</w:t>
            </w:r>
          </w:p>
        </w:tc>
        <w:tc>
          <w:tcPr>
            <w:tcW w:w="10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040" w:type="dxa"/>
            <w:vAlign w:val="bottom"/>
            <w:gridSpan w:val="2"/>
          </w:tcPr>
          <w:p>
            <w:pPr>
              <w:jc w:val="center"/>
              <w:ind w:right="300"/>
              <w:spacing w:after="0" w:line="149" w:lineRule="exact"/>
              <w:rPr>
                <w:sz w:val="20"/>
                <w:szCs w:val="20"/>
                <w:color w:val="auto"/>
              </w:rPr>
            </w:pPr>
            <w:r>
              <w:rPr>
                <w:rFonts w:ascii="Arial" w:cs="Arial" w:eastAsia="Arial" w:hAnsi="Arial"/>
                <w:sz w:val="14"/>
                <w:szCs w:val="14"/>
                <w:b w:val="1"/>
                <w:bCs w:val="1"/>
                <w:color w:val="auto"/>
                <w:w w:val="90"/>
              </w:rPr>
              <w:t>Average</w:t>
            </w:r>
          </w:p>
        </w:tc>
        <w:tc>
          <w:tcPr>
            <w:tcW w:w="200" w:type="dxa"/>
            <w:vAlign w:val="bottom"/>
          </w:tcPr>
          <w:p>
            <w:pPr>
              <w:spacing w:after="0"/>
              <w:rPr>
                <w:sz w:val="12"/>
                <w:szCs w:val="12"/>
                <w:color w:val="auto"/>
              </w:rPr>
            </w:pPr>
          </w:p>
        </w:tc>
        <w:tc>
          <w:tcPr>
            <w:tcW w:w="94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420" w:type="dxa"/>
            <w:vAlign w:val="bottom"/>
          </w:tcPr>
          <w:p>
            <w:pPr>
              <w:spacing w:after="0"/>
              <w:rPr>
                <w:sz w:val="12"/>
                <w:szCs w:val="12"/>
                <w:color w:val="auto"/>
              </w:rPr>
            </w:pPr>
          </w:p>
        </w:tc>
        <w:tc>
          <w:tcPr>
            <w:tcW w:w="1280" w:type="dxa"/>
            <w:vAlign w:val="bottom"/>
            <w:gridSpan w:val="2"/>
            <w:vMerge w:val="continue"/>
          </w:tcPr>
          <w:p>
            <w:pPr>
              <w:spacing w:after="0"/>
              <w:rPr>
                <w:sz w:val="12"/>
                <w:szCs w:val="12"/>
                <w:color w:val="auto"/>
              </w:rPr>
            </w:pPr>
          </w:p>
        </w:tc>
        <w:tc>
          <w:tcPr>
            <w:tcW w:w="1600" w:type="dxa"/>
            <w:vAlign w:val="bottom"/>
            <w:gridSpan w:val="2"/>
            <w:vMerge w:val="continue"/>
          </w:tcPr>
          <w:p>
            <w:pPr>
              <w:spacing w:after="0"/>
              <w:rPr>
                <w:sz w:val="12"/>
                <w:szCs w:val="12"/>
                <w:color w:val="auto"/>
              </w:rPr>
            </w:pPr>
          </w:p>
        </w:tc>
        <w:tc>
          <w:tcPr>
            <w:tcW w:w="200" w:type="dxa"/>
            <w:vAlign w:val="bottom"/>
          </w:tcPr>
          <w:p>
            <w:pPr>
              <w:spacing w:after="0"/>
              <w:rPr>
                <w:sz w:val="12"/>
                <w:szCs w:val="12"/>
                <w:color w:val="auto"/>
              </w:rPr>
            </w:pPr>
          </w:p>
        </w:tc>
        <w:tc>
          <w:tcPr>
            <w:tcW w:w="1060" w:type="dxa"/>
            <w:vAlign w:val="bottom"/>
            <w:gridSpan w:val="2"/>
          </w:tcPr>
          <w:p>
            <w:pPr>
              <w:jc w:val="center"/>
              <w:ind w:right="300"/>
              <w:spacing w:after="0" w:line="149" w:lineRule="exact"/>
              <w:rPr>
                <w:sz w:val="20"/>
                <w:szCs w:val="20"/>
                <w:color w:val="auto"/>
              </w:rPr>
            </w:pPr>
            <w:r>
              <w:rPr>
                <w:rFonts w:ascii="Arial" w:cs="Arial" w:eastAsia="Arial" w:hAnsi="Arial"/>
                <w:sz w:val="14"/>
                <w:szCs w:val="14"/>
                <w:b w:val="1"/>
                <w:bCs w:val="1"/>
                <w:color w:val="auto"/>
                <w:w w:val="90"/>
              </w:rPr>
              <w:t>Exercise</w:t>
            </w:r>
          </w:p>
        </w:tc>
        <w:tc>
          <w:tcPr>
            <w:tcW w:w="180" w:type="dxa"/>
            <w:vAlign w:val="bottom"/>
          </w:tcPr>
          <w:p>
            <w:pPr>
              <w:spacing w:after="0"/>
              <w:rPr>
                <w:sz w:val="12"/>
                <w:szCs w:val="12"/>
                <w:color w:val="auto"/>
              </w:rPr>
            </w:pPr>
          </w:p>
        </w:tc>
        <w:tc>
          <w:tcPr>
            <w:tcW w:w="1060" w:type="dxa"/>
            <w:vAlign w:val="bottom"/>
            <w:gridSpan w:val="2"/>
          </w:tcPr>
          <w:p>
            <w:pPr>
              <w:ind w:left="120"/>
              <w:spacing w:after="0" w:line="149" w:lineRule="exact"/>
              <w:rPr>
                <w:sz w:val="20"/>
                <w:szCs w:val="20"/>
                <w:color w:val="auto"/>
              </w:rPr>
            </w:pPr>
            <w:r>
              <w:rPr>
                <w:rFonts w:ascii="Arial" w:cs="Arial" w:eastAsia="Arial" w:hAnsi="Arial"/>
                <w:sz w:val="14"/>
                <w:szCs w:val="14"/>
                <w:b w:val="1"/>
                <w:bCs w:val="1"/>
                <w:color w:val="auto"/>
              </w:rPr>
              <w:t>Intrinsic</w:t>
            </w:r>
          </w:p>
        </w:tc>
        <w:tc>
          <w:tcPr>
            <w:tcW w:w="1140" w:type="dxa"/>
            <w:vAlign w:val="bottom"/>
            <w:vMerge w:val="continue"/>
          </w:tcPr>
          <w:p>
            <w:pPr>
              <w:spacing w:after="0"/>
              <w:rPr>
                <w:sz w:val="12"/>
                <w:szCs w:val="12"/>
                <w:color w:val="auto"/>
              </w:rPr>
            </w:pPr>
          </w:p>
        </w:tc>
        <w:tc>
          <w:tcPr>
            <w:tcW w:w="10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040" w:type="dxa"/>
            <w:vAlign w:val="bottom"/>
            <w:gridSpan w:val="2"/>
          </w:tcPr>
          <w:p>
            <w:pPr>
              <w:jc w:val="center"/>
              <w:ind w:right="300"/>
              <w:spacing w:after="0" w:line="149" w:lineRule="exact"/>
              <w:rPr>
                <w:sz w:val="20"/>
                <w:szCs w:val="20"/>
                <w:color w:val="auto"/>
              </w:rPr>
            </w:pPr>
            <w:r>
              <w:rPr>
                <w:rFonts w:ascii="Arial" w:cs="Arial" w:eastAsia="Arial" w:hAnsi="Arial"/>
                <w:sz w:val="14"/>
                <w:szCs w:val="14"/>
                <w:b w:val="1"/>
                <w:bCs w:val="1"/>
                <w:color w:val="auto"/>
                <w:w w:val="86"/>
              </w:rPr>
              <w:t>Exercise</w:t>
            </w:r>
          </w:p>
        </w:tc>
        <w:tc>
          <w:tcPr>
            <w:tcW w:w="200" w:type="dxa"/>
            <w:vAlign w:val="bottom"/>
          </w:tcPr>
          <w:p>
            <w:pPr>
              <w:spacing w:after="0"/>
              <w:rPr>
                <w:sz w:val="12"/>
                <w:szCs w:val="12"/>
                <w:color w:val="auto"/>
              </w:rPr>
            </w:pPr>
          </w:p>
        </w:tc>
        <w:tc>
          <w:tcPr>
            <w:tcW w:w="940" w:type="dxa"/>
            <w:vAlign w:val="bottom"/>
          </w:tcPr>
          <w:p>
            <w:pPr>
              <w:ind w:left="100"/>
              <w:spacing w:after="0" w:line="149" w:lineRule="exact"/>
              <w:rPr>
                <w:sz w:val="20"/>
                <w:szCs w:val="20"/>
                <w:color w:val="auto"/>
              </w:rPr>
            </w:pPr>
            <w:r>
              <w:rPr>
                <w:rFonts w:ascii="Arial" w:cs="Arial" w:eastAsia="Arial" w:hAnsi="Arial"/>
                <w:sz w:val="14"/>
                <w:szCs w:val="14"/>
                <w:b w:val="1"/>
                <w:bCs w:val="1"/>
                <w:color w:val="auto"/>
              </w:rPr>
              <w:t>Intrinsic</w:t>
            </w:r>
          </w:p>
        </w:tc>
        <w:tc>
          <w:tcPr>
            <w:tcW w:w="0" w:type="dxa"/>
            <w:vAlign w:val="bottom"/>
          </w:tcPr>
          <w:p>
            <w:pPr>
              <w:spacing w:after="0"/>
              <w:rPr>
                <w:sz w:val="1"/>
                <w:szCs w:val="1"/>
                <w:color w:val="auto"/>
              </w:rPr>
            </w:pPr>
          </w:p>
        </w:tc>
      </w:tr>
      <w:tr>
        <w:trPr>
          <w:trHeight w:val="192"/>
        </w:trPr>
        <w:tc>
          <w:tcPr>
            <w:tcW w:w="2420" w:type="dxa"/>
            <w:vAlign w:val="bottom"/>
            <w:tcBorders>
              <w:bottom w:val="single" w:sz="8" w:color="CCEEFF"/>
            </w:tcBorders>
          </w:tcPr>
          <w:p>
            <w:pPr>
              <w:spacing w:after="0"/>
              <w:rPr>
                <w:sz w:val="16"/>
                <w:szCs w:val="16"/>
                <w:color w:val="auto"/>
              </w:rPr>
            </w:pPr>
          </w:p>
        </w:tc>
        <w:tc>
          <w:tcPr>
            <w:tcW w:w="1160" w:type="dxa"/>
            <w:vAlign w:val="bottom"/>
            <w:tcBorders>
              <w:bottom w:val="single" w:sz="8" w:color="auto"/>
            </w:tcBorders>
          </w:tcPr>
          <w:p>
            <w:pPr>
              <w:jc w:val="right"/>
              <w:ind w:right="235"/>
              <w:spacing w:after="0"/>
              <w:rPr>
                <w:sz w:val="20"/>
                <w:szCs w:val="20"/>
                <w:color w:val="auto"/>
              </w:rPr>
            </w:pPr>
            <w:r>
              <w:rPr>
                <w:rFonts w:ascii="Arial" w:cs="Arial" w:eastAsia="Arial" w:hAnsi="Arial"/>
                <w:sz w:val="14"/>
                <w:szCs w:val="14"/>
                <w:b w:val="1"/>
                <w:bCs w:val="1"/>
                <w:color w:val="auto"/>
              </w:rPr>
              <w:t>Shares</w:t>
            </w:r>
          </w:p>
        </w:tc>
        <w:tc>
          <w:tcPr>
            <w:tcW w:w="120" w:type="dxa"/>
            <w:vAlign w:val="bottom"/>
            <w:tcBorders>
              <w:bottom w:val="single" w:sz="8" w:color="CCEEFF"/>
            </w:tcBorders>
          </w:tcPr>
          <w:p>
            <w:pPr>
              <w:spacing w:after="0"/>
              <w:rPr>
                <w:sz w:val="16"/>
                <w:szCs w:val="16"/>
                <w:color w:val="auto"/>
              </w:rPr>
            </w:pPr>
          </w:p>
        </w:tc>
        <w:tc>
          <w:tcPr>
            <w:tcW w:w="148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3"/>
              </w:rPr>
              <w:t>Range</w:t>
            </w:r>
          </w:p>
        </w:tc>
        <w:tc>
          <w:tcPr>
            <w:tcW w:w="120" w:type="dxa"/>
            <w:vAlign w:val="bottom"/>
            <w:tcBorders>
              <w:bottom w:val="single" w:sz="8" w:color="CCEEFF"/>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960" w:type="dxa"/>
            <w:vAlign w:val="bottom"/>
            <w:tcBorders>
              <w:bottom w:val="single" w:sz="8" w:color="auto"/>
            </w:tcBorders>
          </w:tcPr>
          <w:p>
            <w:pPr>
              <w:jc w:val="center"/>
              <w:ind w:right="118"/>
              <w:spacing w:after="0"/>
              <w:rPr>
                <w:sz w:val="20"/>
                <w:szCs w:val="20"/>
                <w:color w:val="auto"/>
              </w:rPr>
            </w:pPr>
            <w:r>
              <w:rPr>
                <w:rFonts w:ascii="Arial" w:cs="Arial" w:eastAsia="Arial" w:hAnsi="Arial"/>
                <w:sz w:val="14"/>
                <w:szCs w:val="14"/>
                <w:b w:val="1"/>
                <w:bCs w:val="1"/>
                <w:color w:val="auto"/>
                <w:w w:val="93"/>
              </w:rPr>
              <w:t>Price</w:t>
            </w:r>
          </w:p>
        </w:tc>
        <w:tc>
          <w:tcPr>
            <w:tcW w:w="100" w:type="dxa"/>
            <w:vAlign w:val="bottom"/>
            <w:tcBorders>
              <w:bottom w:val="single" w:sz="8" w:color="CCEEFF"/>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960" w:type="dxa"/>
            <w:vAlign w:val="bottom"/>
            <w:tcBorders>
              <w:bottom w:val="single" w:sz="8" w:color="auto"/>
            </w:tcBorders>
          </w:tcPr>
          <w:p>
            <w:pPr>
              <w:ind w:left="120"/>
              <w:spacing w:after="0"/>
              <w:rPr>
                <w:sz w:val="20"/>
                <w:szCs w:val="20"/>
                <w:color w:val="auto"/>
              </w:rPr>
            </w:pPr>
            <w:r>
              <w:rPr>
                <w:rFonts w:ascii="Arial" w:cs="Arial" w:eastAsia="Arial" w:hAnsi="Arial"/>
                <w:sz w:val="14"/>
                <w:szCs w:val="14"/>
                <w:b w:val="1"/>
                <w:bCs w:val="1"/>
                <w:color w:val="auto"/>
              </w:rPr>
              <w:t>Value (1)</w:t>
            </w:r>
          </w:p>
        </w:tc>
        <w:tc>
          <w:tcPr>
            <w:tcW w:w="100" w:type="dxa"/>
            <w:vAlign w:val="bottom"/>
            <w:tcBorders>
              <w:bottom w:val="single" w:sz="8" w:color="CCEEFF"/>
            </w:tcBorders>
          </w:tcPr>
          <w:p>
            <w:pPr>
              <w:spacing w:after="0"/>
              <w:rPr>
                <w:sz w:val="16"/>
                <w:szCs w:val="16"/>
                <w:color w:val="auto"/>
              </w:rPr>
            </w:pPr>
          </w:p>
        </w:tc>
        <w:tc>
          <w:tcPr>
            <w:tcW w:w="1140" w:type="dxa"/>
            <w:vAlign w:val="bottom"/>
            <w:tcBorders>
              <w:bottom w:val="single" w:sz="8" w:color="auto"/>
            </w:tcBorders>
          </w:tcPr>
          <w:p>
            <w:pPr>
              <w:jc w:val="right"/>
              <w:ind w:right="279"/>
              <w:spacing w:after="0"/>
              <w:rPr>
                <w:sz w:val="20"/>
                <w:szCs w:val="20"/>
                <w:color w:val="auto"/>
              </w:rPr>
            </w:pPr>
            <w:r>
              <w:rPr>
                <w:rFonts w:ascii="Arial" w:cs="Arial" w:eastAsia="Arial" w:hAnsi="Arial"/>
                <w:sz w:val="14"/>
                <w:szCs w:val="14"/>
                <w:b w:val="1"/>
                <w:bCs w:val="1"/>
                <w:color w:val="auto"/>
              </w:rPr>
              <w:t>Shares</w:t>
            </w:r>
          </w:p>
        </w:tc>
        <w:tc>
          <w:tcPr>
            <w:tcW w:w="100" w:type="dxa"/>
            <w:vAlign w:val="bottom"/>
            <w:tcBorders>
              <w:bottom w:val="single" w:sz="8" w:color="CCEEFF"/>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940" w:type="dxa"/>
            <w:vAlign w:val="bottom"/>
            <w:tcBorders>
              <w:bottom w:val="single" w:sz="8" w:color="auto"/>
            </w:tcBorders>
          </w:tcPr>
          <w:p>
            <w:pPr>
              <w:jc w:val="center"/>
              <w:ind w:right="102"/>
              <w:spacing w:after="0"/>
              <w:rPr>
                <w:sz w:val="20"/>
                <w:szCs w:val="20"/>
                <w:color w:val="auto"/>
              </w:rPr>
            </w:pPr>
            <w:r>
              <w:rPr>
                <w:rFonts w:ascii="Arial" w:cs="Arial" w:eastAsia="Arial" w:hAnsi="Arial"/>
                <w:sz w:val="14"/>
                <w:szCs w:val="14"/>
                <w:b w:val="1"/>
                <w:bCs w:val="1"/>
                <w:color w:val="auto"/>
                <w:w w:val="93"/>
              </w:rPr>
              <w:t>Price</w:t>
            </w:r>
          </w:p>
        </w:tc>
        <w:tc>
          <w:tcPr>
            <w:tcW w:w="100" w:type="dxa"/>
            <w:vAlign w:val="bottom"/>
            <w:tcBorders>
              <w:bottom w:val="single" w:sz="8" w:color="CCEEFF"/>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940" w:type="dxa"/>
            <w:vAlign w:val="bottom"/>
            <w:tcBorders>
              <w:bottom w:val="single" w:sz="8" w:color="auto"/>
            </w:tcBorders>
          </w:tcPr>
          <w:p>
            <w:pPr>
              <w:ind w:left="100"/>
              <w:spacing w:after="0"/>
              <w:rPr>
                <w:sz w:val="20"/>
                <w:szCs w:val="20"/>
                <w:color w:val="auto"/>
              </w:rPr>
            </w:pPr>
            <w:r>
              <w:rPr>
                <w:rFonts w:ascii="Arial" w:cs="Arial" w:eastAsia="Arial" w:hAnsi="Arial"/>
                <w:sz w:val="14"/>
                <w:szCs w:val="14"/>
                <w:b w:val="1"/>
                <w:bCs w:val="1"/>
                <w:color w:val="auto"/>
              </w:rPr>
              <w:t>Value (1)</w:t>
            </w:r>
          </w:p>
        </w:tc>
        <w:tc>
          <w:tcPr>
            <w:tcW w:w="0" w:type="dxa"/>
            <w:vAlign w:val="bottom"/>
          </w:tcPr>
          <w:p>
            <w:pPr>
              <w:spacing w:after="0"/>
              <w:rPr>
                <w:sz w:val="1"/>
                <w:szCs w:val="1"/>
                <w:color w:val="auto"/>
              </w:rPr>
            </w:pPr>
          </w:p>
        </w:tc>
      </w:tr>
      <w:tr>
        <w:trPr>
          <w:trHeight w:val="250"/>
        </w:trPr>
        <w:tc>
          <w:tcPr>
            <w:tcW w:w="24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Balance, January 1, 2018</w:t>
            </w:r>
          </w:p>
        </w:tc>
        <w:tc>
          <w:tcPr>
            <w:tcW w:w="1160" w:type="dxa"/>
            <w:vAlign w:val="bottom"/>
            <w:tcBorders>
              <w:bottom w:val="single" w:sz="8" w:color="CCEEFF"/>
            </w:tcBorders>
            <w:shd w:val="clear" w:color="auto" w:fill="CCEEFF"/>
          </w:tcPr>
          <w:p>
            <w:pPr>
              <w:jc w:val="right"/>
              <w:ind w:right="35"/>
              <w:spacing w:after="0"/>
              <w:rPr>
                <w:sz w:val="20"/>
                <w:szCs w:val="20"/>
                <w:color w:val="auto"/>
              </w:rPr>
            </w:pPr>
            <w:r>
              <w:rPr>
                <w:rFonts w:ascii="Arial" w:cs="Arial" w:eastAsia="Arial" w:hAnsi="Arial"/>
                <w:sz w:val="18"/>
                <w:szCs w:val="18"/>
                <w:color w:val="auto"/>
              </w:rPr>
              <w:t>2,714,561</w:t>
            </w:r>
          </w:p>
        </w:tc>
        <w:tc>
          <w:tcPr>
            <w:tcW w:w="120" w:type="dxa"/>
            <w:vAlign w:val="bottom"/>
            <w:tcBorders>
              <w:bottom w:val="single" w:sz="8" w:color="CCEEFF"/>
            </w:tcBorders>
            <w:shd w:val="clear" w:color="auto" w:fill="CCEEFF"/>
          </w:tcPr>
          <w:p>
            <w:pPr>
              <w:spacing w:after="0"/>
              <w:rPr>
                <w:sz w:val="21"/>
                <w:szCs w:val="21"/>
                <w:color w:val="auto"/>
              </w:rPr>
            </w:pPr>
          </w:p>
        </w:tc>
        <w:tc>
          <w:tcPr>
            <w:tcW w:w="148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8"/>
                <w:szCs w:val="18"/>
                <w:color w:val="auto"/>
                <w:w w:val="90"/>
              </w:rPr>
              <w:t>$0.61 - $6.55</w:t>
            </w:r>
          </w:p>
        </w:tc>
        <w:tc>
          <w:tcPr>
            <w:tcW w:w="1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960" w:type="dxa"/>
            <w:vAlign w:val="bottom"/>
            <w:tcBorders>
              <w:bottom w:val="single" w:sz="8" w:color="CCEEFF"/>
            </w:tcBorders>
            <w:shd w:val="clear" w:color="auto" w:fill="CCEEFF"/>
          </w:tcPr>
          <w:p>
            <w:pPr>
              <w:jc w:val="right"/>
              <w:ind w:right="38"/>
              <w:spacing w:after="0"/>
              <w:rPr>
                <w:sz w:val="20"/>
                <w:szCs w:val="20"/>
                <w:color w:val="auto"/>
              </w:rPr>
            </w:pPr>
            <w:r>
              <w:rPr>
                <w:rFonts w:ascii="Arial" w:cs="Arial" w:eastAsia="Arial" w:hAnsi="Arial"/>
                <w:sz w:val="18"/>
                <w:szCs w:val="18"/>
                <w:color w:val="auto"/>
              </w:rPr>
              <w:t>1.88</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960" w:type="dxa"/>
            <w:vAlign w:val="bottom"/>
            <w:tcBorders>
              <w:bottom w:val="single" w:sz="8" w:color="CCEEFF"/>
            </w:tcBorders>
            <w:shd w:val="clear" w:color="auto" w:fill="CCEEFF"/>
          </w:tcPr>
          <w:p>
            <w:pPr>
              <w:ind w:left="120"/>
              <w:spacing w:after="0"/>
              <w:rPr>
                <w:sz w:val="20"/>
                <w:szCs w:val="20"/>
                <w:color w:val="auto"/>
              </w:rPr>
            </w:pPr>
            <w:r>
              <w:rPr>
                <w:rFonts w:ascii="Arial" w:cs="Arial" w:eastAsia="Arial" w:hAnsi="Arial"/>
                <w:sz w:val="18"/>
                <w:szCs w:val="18"/>
                <w:color w:val="auto"/>
              </w:rPr>
              <w:t>2,098,195</w:t>
            </w:r>
          </w:p>
        </w:tc>
        <w:tc>
          <w:tcPr>
            <w:tcW w:w="10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8"/>
                <w:szCs w:val="18"/>
                <w:color w:val="auto"/>
              </w:rPr>
              <w:t>2,590,030</w:t>
            </w:r>
          </w:p>
        </w:tc>
        <w:tc>
          <w:tcPr>
            <w:tcW w:w="300" w:type="dxa"/>
            <w:vAlign w:val="bottom"/>
            <w:tcBorders>
              <w:bottom w:val="single" w:sz="8" w:color="CCEEFF"/>
            </w:tcBorders>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w:t>
            </w:r>
          </w:p>
        </w:tc>
        <w:tc>
          <w:tcPr>
            <w:tcW w:w="940" w:type="dxa"/>
            <w:vAlign w:val="bottom"/>
            <w:tcBorders>
              <w:bottom w:val="single" w:sz="8" w:color="CCEEFF"/>
            </w:tcBorders>
            <w:shd w:val="clear" w:color="auto" w:fill="CCEEFF"/>
          </w:tcPr>
          <w:p>
            <w:pPr>
              <w:jc w:val="right"/>
              <w:ind w:right="42"/>
              <w:spacing w:after="0"/>
              <w:rPr>
                <w:sz w:val="20"/>
                <w:szCs w:val="20"/>
                <w:color w:val="auto"/>
              </w:rPr>
            </w:pPr>
            <w:r>
              <w:rPr>
                <w:rFonts w:ascii="Arial" w:cs="Arial" w:eastAsia="Arial" w:hAnsi="Arial"/>
                <w:sz w:val="18"/>
                <w:szCs w:val="18"/>
                <w:color w:val="auto"/>
              </w:rPr>
              <w:t>1.89</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940" w:type="dxa"/>
            <w:vAlign w:val="bottom"/>
            <w:tcBorders>
              <w:bottom w:val="single" w:sz="8" w:color="CCEEFF"/>
            </w:tcBorders>
            <w:shd w:val="clear" w:color="auto" w:fill="CCEEFF"/>
          </w:tcPr>
          <w:p>
            <w:pPr>
              <w:ind w:left="120"/>
              <w:spacing w:after="0"/>
              <w:rPr>
                <w:sz w:val="20"/>
                <w:szCs w:val="20"/>
                <w:color w:val="auto"/>
              </w:rPr>
            </w:pPr>
            <w:r>
              <w:rPr>
                <w:rFonts w:ascii="Arial" w:cs="Arial" w:eastAsia="Arial" w:hAnsi="Arial"/>
                <w:sz w:val="18"/>
                <w:szCs w:val="18"/>
                <w:color w:val="auto"/>
                <w:w w:val="99"/>
              </w:rPr>
              <w:t>2,013,034</w:t>
            </w:r>
          </w:p>
        </w:tc>
        <w:tc>
          <w:tcPr>
            <w:tcW w:w="0" w:type="dxa"/>
            <w:vAlign w:val="bottom"/>
          </w:tcPr>
          <w:p>
            <w:pPr>
              <w:spacing w:after="0"/>
              <w:rPr>
                <w:sz w:val="1"/>
                <w:szCs w:val="1"/>
                <w:color w:val="auto"/>
              </w:rPr>
            </w:pPr>
          </w:p>
        </w:tc>
      </w:tr>
      <w:tr>
        <w:trPr>
          <w:trHeight w:val="243"/>
        </w:trPr>
        <w:tc>
          <w:tcPr>
            <w:tcW w:w="2420" w:type="dxa"/>
            <w:vAlign w:val="bottom"/>
          </w:tcPr>
          <w:p>
            <w:pPr>
              <w:ind w:left="380"/>
              <w:spacing w:after="0"/>
              <w:rPr>
                <w:sz w:val="20"/>
                <w:szCs w:val="20"/>
                <w:color w:val="auto"/>
              </w:rPr>
            </w:pPr>
            <w:r>
              <w:rPr>
                <w:rFonts w:ascii="Arial" w:cs="Arial" w:eastAsia="Arial" w:hAnsi="Arial"/>
                <w:sz w:val="18"/>
                <w:szCs w:val="18"/>
                <w:color w:val="auto"/>
              </w:rPr>
              <w:t>Granted</w:t>
            </w:r>
          </w:p>
        </w:tc>
        <w:tc>
          <w:tcPr>
            <w:tcW w:w="1160" w:type="dxa"/>
            <w:vAlign w:val="bottom"/>
          </w:tcPr>
          <w:p>
            <w:pPr>
              <w:jc w:val="right"/>
              <w:ind w:right="35"/>
              <w:spacing w:after="0"/>
              <w:rPr>
                <w:sz w:val="20"/>
                <w:szCs w:val="20"/>
                <w:color w:val="auto"/>
              </w:rPr>
            </w:pPr>
            <w:r>
              <w:rPr>
                <w:rFonts w:ascii="Arial" w:cs="Arial" w:eastAsia="Arial" w:hAnsi="Arial"/>
                <w:sz w:val="18"/>
                <w:szCs w:val="18"/>
                <w:color w:val="auto"/>
              </w:rPr>
              <w:t>73,212</w:t>
            </w:r>
          </w:p>
        </w:tc>
        <w:tc>
          <w:tcPr>
            <w:tcW w:w="120" w:type="dxa"/>
            <w:vAlign w:val="bottom"/>
          </w:tcPr>
          <w:p>
            <w:pPr>
              <w:spacing w:after="0"/>
              <w:rPr>
                <w:sz w:val="21"/>
                <w:szCs w:val="21"/>
                <w:color w:val="auto"/>
              </w:rPr>
            </w:pPr>
          </w:p>
        </w:tc>
        <w:tc>
          <w:tcPr>
            <w:tcW w:w="1480" w:type="dxa"/>
            <w:vAlign w:val="bottom"/>
          </w:tcPr>
          <w:p>
            <w:pPr>
              <w:jc w:val="center"/>
              <w:spacing w:after="0"/>
              <w:rPr>
                <w:sz w:val="20"/>
                <w:szCs w:val="20"/>
                <w:color w:val="auto"/>
              </w:rPr>
            </w:pPr>
            <w:r>
              <w:rPr>
                <w:rFonts w:ascii="Arial" w:cs="Arial" w:eastAsia="Arial" w:hAnsi="Arial"/>
                <w:sz w:val="18"/>
                <w:szCs w:val="18"/>
                <w:color w:val="auto"/>
                <w:w w:val="90"/>
              </w:rPr>
              <w:t>$2.32 - $2.67</w:t>
            </w:r>
          </w:p>
        </w:tc>
        <w:tc>
          <w:tcPr>
            <w:tcW w:w="120" w:type="dxa"/>
            <w:vAlign w:val="bottom"/>
          </w:tcPr>
          <w:p>
            <w:pPr>
              <w:spacing w:after="0"/>
              <w:rPr>
                <w:sz w:val="21"/>
                <w:szCs w:val="21"/>
                <w:color w:val="auto"/>
              </w:rPr>
            </w:pPr>
          </w:p>
        </w:tc>
        <w:tc>
          <w:tcPr>
            <w:tcW w:w="20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960" w:type="dxa"/>
            <w:vAlign w:val="bottom"/>
          </w:tcPr>
          <w:p>
            <w:pPr>
              <w:jc w:val="right"/>
              <w:ind w:right="38"/>
              <w:spacing w:after="0"/>
              <w:rPr>
                <w:sz w:val="20"/>
                <w:szCs w:val="20"/>
                <w:color w:val="auto"/>
              </w:rPr>
            </w:pPr>
            <w:r>
              <w:rPr>
                <w:rFonts w:ascii="Arial" w:cs="Arial" w:eastAsia="Arial" w:hAnsi="Arial"/>
                <w:sz w:val="18"/>
                <w:szCs w:val="18"/>
                <w:color w:val="auto"/>
              </w:rPr>
              <w:t>2.46</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96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1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9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94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242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9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9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9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9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242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Exercised</w:t>
            </w:r>
          </w:p>
        </w:tc>
        <w:tc>
          <w:tcPr>
            <w:tcW w:w="1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(53,939)</w:t>
            </w:r>
          </w:p>
        </w:tc>
        <w:tc>
          <w:tcPr>
            <w:tcW w:w="120" w:type="dxa"/>
            <w:vAlign w:val="bottom"/>
            <w:tcBorders>
              <w:bottom w:val="single" w:sz="8" w:color="CCEEFF"/>
            </w:tcBorders>
            <w:shd w:val="clear" w:color="auto" w:fill="CCEEFF"/>
          </w:tcPr>
          <w:p>
            <w:pPr>
              <w:spacing w:after="0"/>
              <w:rPr>
                <w:sz w:val="21"/>
                <w:szCs w:val="21"/>
                <w:color w:val="auto"/>
              </w:rPr>
            </w:pPr>
          </w:p>
        </w:tc>
        <w:tc>
          <w:tcPr>
            <w:tcW w:w="148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8"/>
                <w:szCs w:val="18"/>
                <w:color w:val="auto"/>
                <w:w w:val="90"/>
              </w:rPr>
              <w:t>$0.65 - $2.46</w:t>
            </w:r>
          </w:p>
        </w:tc>
        <w:tc>
          <w:tcPr>
            <w:tcW w:w="1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960" w:type="dxa"/>
            <w:vAlign w:val="bottom"/>
            <w:tcBorders>
              <w:bottom w:val="single" w:sz="8" w:color="CCEEFF"/>
            </w:tcBorders>
            <w:shd w:val="clear" w:color="auto" w:fill="CCEEFF"/>
          </w:tcPr>
          <w:p>
            <w:pPr>
              <w:jc w:val="right"/>
              <w:ind w:right="38"/>
              <w:spacing w:after="0"/>
              <w:rPr>
                <w:sz w:val="20"/>
                <w:szCs w:val="20"/>
                <w:color w:val="auto"/>
              </w:rPr>
            </w:pPr>
            <w:r>
              <w:rPr>
                <w:rFonts w:ascii="Arial" w:cs="Arial" w:eastAsia="Arial" w:hAnsi="Arial"/>
                <w:sz w:val="18"/>
                <w:szCs w:val="18"/>
                <w:color w:val="auto"/>
              </w:rPr>
              <w:t>2.27</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2420" w:type="dxa"/>
            <w:vAlign w:val="bottom"/>
          </w:tcPr>
          <w:p>
            <w:pPr>
              <w:ind w:left="380"/>
              <w:spacing w:after="0"/>
              <w:rPr>
                <w:sz w:val="20"/>
                <w:szCs w:val="20"/>
                <w:color w:val="auto"/>
              </w:rPr>
            </w:pPr>
            <w:r>
              <w:rPr>
                <w:rFonts w:ascii="Arial" w:cs="Arial" w:eastAsia="Arial" w:hAnsi="Arial"/>
                <w:sz w:val="18"/>
                <w:szCs w:val="18"/>
                <w:color w:val="auto"/>
              </w:rPr>
              <w:t>Canceled</w:t>
            </w:r>
          </w:p>
        </w:tc>
        <w:tc>
          <w:tcPr>
            <w:tcW w:w="1160" w:type="dxa"/>
            <w:vAlign w:val="bottom"/>
          </w:tcPr>
          <w:p>
            <w:pPr>
              <w:jc w:val="right"/>
              <w:spacing w:after="0"/>
              <w:rPr>
                <w:sz w:val="20"/>
                <w:szCs w:val="20"/>
                <w:color w:val="auto"/>
              </w:rPr>
            </w:pPr>
            <w:r>
              <w:rPr>
                <w:rFonts w:ascii="Arial" w:cs="Arial" w:eastAsia="Arial" w:hAnsi="Arial"/>
                <w:sz w:val="18"/>
                <w:szCs w:val="18"/>
                <w:color w:val="auto"/>
              </w:rPr>
              <w:t>(540,487)</w:t>
            </w:r>
          </w:p>
        </w:tc>
        <w:tc>
          <w:tcPr>
            <w:tcW w:w="120" w:type="dxa"/>
            <w:vAlign w:val="bottom"/>
          </w:tcPr>
          <w:p>
            <w:pPr>
              <w:spacing w:after="0"/>
              <w:rPr>
                <w:sz w:val="21"/>
                <w:szCs w:val="21"/>
                <w:color w:val="auto"/>
              </w:rPr>
            </w:pPr>
          </w:p>
        </w:tc>
        <w:tc>
          <w:tcPr>
            <w:tcW w:w="1480" w:type="dxa"/>
            <w:vAlign w:val="bottom"/>
          </w:tcPr>
          <w:p>
            <w:pPr>
              <w:jc w:val="center"/>
              <w:spacing w:after="0"/>
              <w:rPr>
                <w:sz w:val="20"/>
                <w:szCs w:val="20"/>
                <w:color w:val="auto"/>
              </w:rPr>
            </w:pPr>
            <w:r>
              <w:rPr>
                <w:rFonts w:ascii="Arial" w:cs="Arial" w:eastAsia="Arial" w:hAnsi="Arial"/>
                <w:sz w:val="18"/>
                <w:szCs w:val="18"/>
                <w:color w:val="auto"/>
                <w:w w:val="90"/>
              </w:rPr>
              <w:t>$1.21 - $6.55</w:t>
            </w:r>
          </w:p>
        </w:tc>
        <w:tc>
          <w:tcPr>
            <w:tcW w:w="120" w:type="dxa"/>
            <w:vAlign w:val="bottom"/>
          </w:tcPr>
          <w:p>
            <w:pPr>
              <w:spacing w:after="0"/>
              <w:rPr>
                <w:sz w:val="21"/>
                <w:szCs w:val="21"/>
                <w:color w:val="auto"/>
              </w:rPr>
            </w:pPr>
          </w:p>
        </w:tc>
        <w:tc>
          <w:tcPr>
            <w:tcW w:w="20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960" w:type="dxa"/>
            <w:vAlign w:val="bottom"/>
          </w:tcPr>
          <w:p>
            <w:pPr>
              <w:jc w:val="right"/>
              <w:ind w:right="38"/>
              <w:spacing w:after="0"/>
              <w:rPr>
                <w:sz w:val="20"/>
                <w:szCs w:val="20"/>
                <w:color w:val="auto"/>
              </w:rPr>
            </w:pPr>
            <w:r>
              <w:rPr>
                <w:rFonts w:ascii="Arial" w:cs="Arial" w:eastAsia="Arial" w:hAnsi="Arial"/>
                <w:sz w:val="18"/>
                <w:szCs w:val="18"/>
                <w:color w:val="auto"/>
              </w:rPr>
              <w:t>2.15</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96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1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9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94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2420" w:type="dxa"/>
            <w:vAlign w:val="bottom"/>
            <w:tcBorders>
              <w:bottom w:val="single" w:sz="8" w:color="CCEEFF"/>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4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57"/>
        </w:trPr>
        <w:tc>
          <w:tcPr>
            <w:tcW w:w="2420" w:type="dxa"/>
            <w:vAlign w:val="bottom"/>
            <w:shd w:val="clear" w:color="auto" w:fill="CCEEFF"/>
          </w:tcPr>
          <w:p>
            <w:pPr>
              <w:ind w:left="40"/>
              <w:spacing w:after="0"/>
              <w:rPr>
                <w:sz w:val="20"/>
                <w:szCs w:val="20"/>
                <w:color w:val="auto"/>
              </w:rPr>
            </w:pPr>
            <w:r>
              <w:rPr>
                <w:rFonts w:ascii="Arial" w:cs="Arial" w:eastAsia="Arial" w:hAnsi="Arial"/>
                <w:sz w:val="18"/>
                <w:szCs w:val="18"/>
                <w:color w:val="auto"/>
              </w:rPr>
              <w:t>Balance, June 30, 2018</w:t>
            </w:r>
          </w:p>
        </w:tc>
        <w:tc>
          <w:tcPr>
            <w:tcW w:w="1160" w:type="dxa"/>
            <w:vAlign w:val="bottom"/>
            <w:shd w:val="clear" w:color="auto" w:fill="CCEEFF"/>
          </w:tcPr>
          <w:p>
            <w:pPr>
              <w:jc w:val="right"/>
              <w:ind w:right="35"/>
              <w:spacing w:after="0"/>
              <w:rPr>
                <w:sz w:val="20"/>
                <w:szCs w:val="20"/>
                <w:color w:val="auto"/>
              </w:rPr>
            </w:pPr>
            <w:r>
              <w:rPr>
                <w:rFonts w:ascii="Arial" w:cs="Arial" w:eastAsia="Arial" w:hAnsi="Arial"/>
                <w:sz w:val="18"/>
                <w:szCs w:val="18"/>
                <w:color w:val="auto"/>
              </w:rPr>
              <w:t>2,193,347</w:t>
            </w:r>
          </w:p>
        </w:tc>
        <w:tc>
          <w:tcPr>
            <w:tcW w:w="120" w:type="dxa"/>
            <w:vAlign w:val="bottom"/>
            <w:shd w:val="clear" w:color="auto" w:fill="CCEEFF"/>
          </w:tcPr>
          <w:p>
            <w:pPr>
              <w:spacing w:after="0"/>
              <w:rPr>
                <w:sz w:val="22"/>
                <w:szCs w:val="22"/>
                <w:color w:val="auto"/>
              </w:rPr>
            </w:pPr>
          </w:p>
        </w:tc>
        <w:tc>
          <w:tcPr>
            <w:tcW w:w="148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0"/>
              </w:rPr>
              <w:t>$0.61 - $6.23</w:t>
            </w:r>
          </w:p>
        </w:tc>
        <w:tc>
          <w:tcPr>
            <w:tcW w:w="120" w:type="dxa"/>
            <w:vAlign w:val="bottom"/>
            <w:shd w:val="clear" w:color="auto" w:fill="CCEEFF"/>
          </w:tcPr>
          <w:p>
            <w:pPr>
              <w:spacing w:after="0"/>
              <w:rPr>
                <w:sz w:val="22"/>
                <w:szCs w:val="22"/>
                <w:color w:val="auto"/>
              </w:rPr>
            </w:pPr>
          </w:p>
        </w:tc>
        <w:tc>
          <w:tcPr>
            <w:tcW w:w="2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960" w:type="dxa"/>
            <w:vAlign w:val="bottom"/>
            <w:shd w:val="clear" w:color="auto" w:fill="CCEEFF"/>
          </w:tcPr>
          <w:p>
            <w:pPr>
              <w:jc w:val="right"/>
              <w:ind w:right="38"/>
              <w:spacing w:after="0"/>
              <w:rPr>
                <w:sz w:val="20"/>
                <w:szCs w:val="20"/>
                <w:color w:val="auto"/>
              </w:rPr>
            </w:pPr>
            <w:r>
              <w:rPr>
                <w:rFonts w:ascii="Arial" w:cs="Arial" w:eastAsia="Arial" w:hAnsi="Arial"/>
                <w:sz w:val="18"/>
                <w:szCs w:val="18"/>
                <w:color w:val="auto"/>
              </w:rPr>
              <w:t>1.83</w:t>
            </w:r>
          </w:p>
        </w:tc>
        <w:tc>
          <w:tcPr>
            <w:tcW w:w="100" w:type="dxa"/>
            <w:vAlign w:val="bottom"/>
            <w:shd w:val="clear" w:color="auto" w:fill="CCEEFF"/>
          </w:tcPr>
          <w:p>
            <w:pPr>
              <w:spacing w:after="0"/>
              <w:rPr>
                <w:sz w:val="22"/>
                <w:szCs w:val="22"/>
                <w:color w:val="auto"/>
              </w:rPr>
            </w:pPr>
          </w:p>
        </w:tc>
        <w:tc>
          <w:tcPr>
            <w:tcW w:w="1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960" w:type="dxa"/>
            <w:vAlign w:val="bottom"/>
            <w:shd w:val="clear" w:color="auto" w:fill="CCEEFF"/>
          </w:tcPr>
          <w:p>
            <w:pPr>
              <w:ind w:left="140"/>
              <w:spacing w:after="0"/>
              <w:rPr>
                <w:sz w:val="20"/>
                <w:szCs w:val="20"/>
                <w:color w:val="auto"/>
              </w:rPr>
            </w:pPr>
            <w:r>
              <w:rPr>
                <w:rFonts w:ascii="Arial" w:cs="Arial" w:eastAsia="Arial" w:hAnsi="Arial"/>
                <w:sz w:val="18"/>
                <w:szCs w:val="18"/>
                <w:color w:val="auto"/>
                <w:w w:val="99"/>
              </w:rPr>
              <w:t>2,911,106</w:t>
            </w:r>
          </w:p>
        </w:tc>
        <w:tc>
          <w:tcPr>
            <w:tcW w:w="100" w:type="dxa"/>
            <w:vAlign w:val="bottom"/>
            <w:shd w:val="clear" w:color="auto" w:fill="CCEEFF"/>
          </w:tcPr>
          <w:p>
            <w:pPr>
              <w:spacing w:after="0"/>
              <w:rPr>
                <w:sz w:val="22"/>
                <w:szCs w:val="22"/>
                <w:color w:val="auto"/>
              </w:rPr>
            </w:pPr>
          </w:p>
        </w:tc>
        <w:tc>
          <w:tcPr>
            <w:tcW w:w="1140" w:type="dxa"/>
            <w:vAlign w:val="bottom"/>
            <w:shd w:val="clear" w:color="auto" w:fill="CCEEFF"/>
          </w:tcPr>
          <w:p>
            <w:pPr>
              <w:jc w:val="right"/>
              <w:ind w:right="39"/>
              <w:spacing w:after="0"/>
              <w:rPr>
                <w:sz w:val="20"/>
                <w:szCs w:val="20"/>
                <w:color w:val="auto"/>
              </w:rPr>
            </w:pPr>
            <w:r>
              <w:rPr>
                <w:rFonts w:ascii="Arial" w:cs="Arial" w:eastAsia="Arial" w:hAnsi="Arial"/>
                <w:sz w:val="18"/>
                <w:szCs w:val="18"/>
                <w:color w:val="auto"/>
              </w:rPr>
              <w:t>2,082,354</w:t>
            </w:r>
          </w:p>
        </w:tc>
        <w:tc>
          <w:tcPr>
            <w:tcW w:w="30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w:t>
            </w:r>
          </w:p>
        </w:tc>
        <w:tc>
          <w:tcPr>
            <w:tcW w:w="940" w:type="dxa"/>
            <w:vAlign w:val="bottom"/>
            <w:shd w:val="clear" w:color="auto" w:fill="CCEEFF"/>
          </w:tcPr>
          <w:p>
            <w:pPr>
              <w:jc w:val="right"/>
              <w:ind w:right="42"/>
              <w:spacing w:after="0"/>
              <w:rPr>
                <w:sz w:val="20"/>
                <w:szCs w:val="20"/>
                <w:color w:val="auto"/>
              </w:rPr>
            </w:pPr>
            <w:r>
              <w:rPr>
                <w:rFonts w:ascii="Arial" w:cs="Arial" w:eastAsia="Arial" w:hAnsi="Arial"/>
                <w:sz w:val="18"/>
                <w:szCs w:val="18"/>
                <w:color w:val="auto"/>
              </w:rPr>
              <w:t>1.81</w:t>
            </w:r>
          </w:p>
        </w:tc>
        <w:tc>
          <w:tcPr>
            <w:tcW w:w="100" w:type="dxa"/>
            <w:vAlign w:val="bottom"/>
            <w:shd w:val="clear" w:color="auto" w:fill="CCEEFF"/>
          </w:tcPr>
          <w:p>
            <w:pPr>
              <w:spacing w:after="0"/>
              <w:rPr>
                <w:sz w:val="22"/>
                <w:szCs w:val="22"/>
                <w:color w:val="auto"/>
              </w:rPr>
            </w:pPr>
          </w:p>
        </w:tc>
        <w:tc>
          <w:tcPr>
            <w:tcW w:w="2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940" w:type="dxa"/>
            <w:vAlign w:val="bottom"/>
            <w:shd w:val="clear" w:color="auto" w:fill="CCEEFF"/>
          </w:tcPr>
          <w:p>
            <w:pPr>
              <w:ind w:left="120"/>
              <w:spacing w:after="0"/>
              <w:rPr>
                <w:sz w:val="20"/>
                <w:szCs w:val="20"/>
                <w:color w:val="auto"/>
              </w:rPr>
            </w:pPr>
            <w:r>
              <w:rPr>
                <w:rFonts w:ascii="Arial" w:cs="Arial" w:eastAsia="Arial" w:hAnsi="Arial"/>
                <w:sz w:val="18"/>
                <w:szCs w:val="18"/>
                <w:color w:val="auto"/>
                <w:w w:val="99"/>
              </w:rPr>
              <w:t>2,812,472</w:t>
            </w:r>
          </w:p>
        </w:tc>
        <w:tc>
          <w:tcPr>
            <w:tcW w:w="0" w:type="dxa"/>
            <w:vAlign w:val="bottom"/>
          </w:tcPr>
          <w:p>
            <w:pPr>
              <w:spacing w:after="0"/>
              <w:rPr>
                <w:sz w:val="1"/>
                <w:szCs w:val="1"/>
                <w:color w:val="auto"/>
              </w:rPr>
            </w:pPr>
          </w:p>
        </w:tc>
      </w:tr>
      <w:tr>
        <w:trPr>
          <w:trHeight w:val="20"/>
        </w:trPr>
        <w:tc>
          <w:tcPr>
            <w:tcW w:w="2420" w:type="dxa"/>
            <w:vAlign w:val="bottom"/>
            <w:tcBorders>
              <w:top w:val="single" w:sz="8" w:color="CCEEFF"/>
            </w:tcBorders>
          </w:tcPr>
          <w:p>
            <w:pPr>
              <w:spacing w:after="0" w:line="20" w:lineRule="exact"/>
              <w:rPr>
                <w:sz w:val="1"/>
                <w:szCs w:val="1"/>
                <w:color w:val="auto"/>
              </w:rPr>
            </w:pPr>
          </w:p>
        </w:tc>
        <w:tc>
          <w:tcPr>
            <w:tcW w:w="11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4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9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9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1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9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94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42" w:lineRule="exact"/>
        <w:rPr>
          <w:sz w:val="20"/>
          <w:szCs w:val="20"/>
          <w:color w:val="auto"/>
        </w:rPr>
      </w:pPr>
    </w:p>
    <w:p>
      <w:pPr>
        <w:ind w:left="540" w:right="60" w:hanging="316"/>
        <w:spacing w:after="0" w:line="264" w:lineRule="auto"/>
        <w:tabs>
          <w:tab w:leader="none" w:pos="540" w:val="left"/>
        </w:tabs>
        <w:numPr>
          <w:ilvl w:val="0"/>
          <w:numId w:val="11"/>
        </w:numPr>
        <w:rPr>
          <w:rFonts w:ascii="Arial" w:cs="Arial" w:eastAsia="Arial" w:hAnsi="Arial"/>
          <w:sz w:val="18"/>
          <w:szCs w:val="18"/>
          <w:color w:val="auto"/>
        </w:rPr>
      </w:pPr>
      <w:r>
        <w:rPr>
          <w:rFonts w:ascii="Arial" w:cs="Arial" w:eastAsia="Arial" w:hAnsi="Arial"/>
          <w:sz w:val="18"/>
          <w:szCs w:val="18"/>
          <w:color w:val="auto"/>
        </w:rPr>
        <w:t>The intrinsic value of an option represents the amount by which the market value of the stock exceeds the exercise price of the option of in-the-money options only. The aggregate intrinsic value is based on the closing price of our common stock on the Nasdaq Capital Market, as applicable, on the respective dates.</w:t>
      </w:r>
    </w:p>
    <w:p>
      <w:pPr>
        <w:spacing w:after="0" w:line="181" w:lineRule="exact"/>
        <w:rPr>
          <w:sz w:val="20"/>
          <w:szCs w:val="20"/>
          <w:color w:val="auto"/>
        </w:rPr>
      </w:pPr>
    </w:p>
    <w:p>
      <w:pPr>
        <w:ind w:right="260" w:firstLine="432"/>
        <w:spacing w:after="0" w:line="259" w:lineRule="auto"/>
        <w:rPr>
          <w:sz w:val="20"/>
          <w:szCs w:val="20"/>
          <w:color w:val="auto"/>
        </w:rPr>
      </w:pPr>
      <w:r>
        <w:rPr>
          <w:rFonts w:ascii="Arial" w:cs="Arial" w:eastAsia="Arial" w:hAnsi="Arial"/>
          <w:sz w:val="18"/>
          <w:szCs w:val="18"/>
          <w:color w:val="auto"/>
        </w:rPr>
        <w:t>At June 30, 2018, the outstanding stock options to purchase an aggregate of 2.2 million shares had a weighted-average remaining contractual term of 4.0 years, and the exercisable stock options to purchase an aggregate of 2.1 million shares had a weighted-average remaining contractual term of 3.7 years. The fair value of shares underlying vested options was $6.2 million at June 30, 2018. The fair value of shares underlying options exercised during the six months ended June 30, 2018 was $172,285.</w:t>
      </w:r>
    </w:p>
    <w:p>
      <w:pPr>
        <w:spacing w:after="0" w:line="187" w:lineRule="exact"/>
        <w:rPr>
          <w:sz w:val="20"/>
          <w:szCs w:val="20"/>
          <w:color w:val="auto"/>
        </w:rPr>
      </w:pPr>
    </w:p>
    <w:p>
      <w:pPr>
        <w:ind w:right="220" w:firstLine="432"/>
        <w:spacing w:after="0" w:line="259" w:lineRule="auto"/>
        <w:rPr>
          <w:sz w:val="20"/>
          <w:szCs w:val="20"/>
          <w:color w:val="auto"/>
        </w:rPr>
      </w:pPr>
      <w:r>
        <w:rPr>
          <w:rFonts w:ascii="Arial" w:cs="Arial" w:eastAsia="Arial" w:hAnsi="Arial"/>
          <w:sz w:val="18"/>
          <w:szCs w:val="18"/>
          <w:color w:val="auto"/>
        </w:rPr>
        <w:t>For the six months ended June 30, 2018 and 2017 we recognized $0.2 million and $0.3 million in share-based compensation expense, respectively, which is included in our selling, general and administrative expense in the accompanying consolidated interim financial statements. We expect to recognize $0.2 million in share-based compensation expense over the weighted-average remaining service period of 3.7 years for stock options outstanding as of June 30, 2018.</w:t>
      </w:r>
    </w:p>
    <w:p>
      <w:pPr>
        <w:spacing w:after="0" w:line="322"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Restricted Stock and Stock Units</w:t>
      </w:r>
    </w:p>
    <w:p>
      <w:pPr>
        <w:spacing w:after="0" w:line="266" w:lineRule="exact"/>
        <w:rPr>
          <w:sz w:val="20"/>
          <w:szCs w:val="20"/>
          <w:color w:val="auto"/>
        </w:rPr>
      </w:pPr>
    </w:p>
    <w:p>
      <w:pPr>
        <w:ind w:left="60" w:right="40" w:firstLine="405"/>
        <w:spacing w:after="0" w:line="264" w:lineRule="auto"/>
        <w:rPr>
          <w:sz w:val="20"/>
          <w:szCs w:val="20"/>
          <w:color w:val="auto"/>
        </w:rPr>
      </w:pPr>
      <w:r>
        <w:rPr>
          <w:rFonts w:ascii="Arial" w:cs="Arial" w:eastAsia="Arial" w:hAnsi="Arial"/>
          <w:sz w:val="18"/>
          <w:szCs w:val="18"/>
          <w:color w:val="auto"/>
        </w:rPr>
        <w:t>For the six months ended June 30, 2018, we issued 280,000 shares of restricted stock to certain employees. Shares of restricted stock issued to employees vest in three equal annual installments on the anniversary dates of their grant. For the six months ended June 30, 2018, 182,500 of restricted stock vested.</w:t>
      </w:r>
    </w:p>
    <w:p>
      <w:pPr>
        <w:spacing w:after="0" w:line="181" w:lineRule="exact"/>
        <w:rPr>
          <w:sz w:val="20"/>
          <w:szCs w:val="20"/>
          <w:color w:val="auto"/>
        </w:rPr>
      </w:pPr>
    </w:p>
    <w:p>
      <w:pPr>
        <w:ind w:left="60" w:right="100" w:firstLine="405"/>
        <w:spacing w:after="0" w:line="276" w:lineRule="auto"/>
        <w:rPr>
          <w:sz w:val="20"/>
          <w:szCs w:val="20"/>
          <w:color w:val="auto"/>
        </w:rPr>
      </w:pPr>
      <w:r>
        <w:rPr>
          <w:rFonts w:ascii="Arial" w:cs="Arial" w:eastAsia="Arial" w:hAnsi="Arial"/>
          <w:sz w:val="17"/>
          <w:szCs w:val="17"/>
          <w:color w:val="auto"/>
        </w:rPr>
        <w:t>For the six months ended June 30, 2018, we issued 16,287 restricted stock units to certain non-employee members of our Board of Directors in respect of the annual equity grants pursuant to our non-employee director compensation policy. This amount represents the equity compensation to those non-employee directors who did not elect to defer the receipt of their equity compensation pursuant to our non-employee director deferred compensation plan described below. Restricted stock units issued to our directors vest at the earlier of the one year anniversary of their grant or the next annual stockholders' meeting. During the six months ended June 30, 2018, 129,865 restricted stock units vested.</w:t>
      </w:r>
    </w:p>
    <w:p>
      <w:pPr>
        <w:spacing w:after="0" w:line="173" w:lineRule="exact"/>
        <w:rPr>
          <w:sz w:val="20"/>
          <w:szCs w:val="20"/>
          <w:color w:val="auto"/>
        </w:rPr>
      </w:pPr>
    </w:p>
    <w:p>
      <w:pPr>
        <w:ind w:left="60"/>
        <w:spacing w:after="0"/>
        <w:rPr>
          <w:sz w:val="20"/>
          <w:szCs w:val="20"/>
          <w:color w:val="auto"/>
        </w:rPr>
      </w:pPr>
      <w:r>
        <w:rPr>
          <w:rFonts w:ascii="Arial" w:cs="Arial" w:eastAsia="Arial" w:hAnsi="Arial"/>
          <w:sz w:val="18"/>
          <w:szCs w:val="18"/>
          <w:color w:val="auto"/>
        </w:rPr>
        <w:t>The following table summarizes the value of our unvested restricted stock awards and restricted stock units:</w:t>
      </w:r>
    </w:p>
    <w:p>
      <w:pPr>
        <w:spacing w:after="0" w:line="25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17</w:t>
      </w:r>
    </w:p>
    <w:p>
      <w:pPr>
        <w:sectPr>
          <w:pgSz w:w="11900" w:h="16838" w:orient="portrait"/>
          <w:cols w:equalWidth="0" w:num="1">
            <w:col w:w="11420"/>
          </w:cols>
          <w:pgMar w:left="240" w:top="118" w:right="239" w:bottom="1440" w:gutter="0" w:footer="0" w:header="0"/>
        </w:sectPr>
      </w:pPr>
    </w:p>
    <w:bookmarkStart w:id="17" w:name="page18"/>
    <w:bookmarkEnd w:id="17"/>
    <w:tbl>
      <w:tblPr>
        <w:tblLayout w:type="fixed"/>
        <w:tblInd w:w="0" w:type="dxa"/>
        <w:tblCellMar>
          <w:top w:w="0" w:type="dxa"/>
          <w:left w:w="0" w:type="dxa"/>
          <w:bottom w:w="0" w:type="dxa"/>
          <w:right w:w="0" w:type="dxa"/>
        </w:tblCellMar>
      </w:tblPr>
      <w:tr>
        <w:trPr>
          <w:trHeight w:val="161"/>
        </w:trPr>
        <w:tc>
          <w:tcPr>
            <w:tcW w:w="6180" w:type="dxa"/>
            <w:vAlign w:val="bottom"/>
            <w:gridSpan w:val="2"/>
          </w:tcPr>
          <w:p>
            <w:pPr>
              <w:spacing w:after="0"/>
              <w:rPr>
                <w:rFonts w:ascii="Arial" w:cs="Arial" w:eastAsia="Arial" w:hAnsi="Arial"/>
                <w:sz w:val="14"/>
                <w:szCs w:val="14"/>
                <w:b w:val="1"/>
                <w:bCs w:val="1"/>
                <w:color w:val="0000EE"/>
              </w:rPr>
            </w:pPr>
            <w:hyperlink w:anchor="page2">
              <w:r>
                <w:rPr>
                  <w:rFonts w:ascii="Arial" w:cs="Arial" w:eastAsia="Arial" w:hAnsi="Arial"/>
                  <w:sz w:val="14"/>
                  <w:szCs w:val="14"/>
                  <w:b w:val="1"/>
                  <w:bCs w:val="1"/>
                  <w:color w:val="0000EE"/>
                </w:rPr>
                <w:t>Table of Contents</w:t>
              </w:r>
            </w:hyperlink>
          </w:p>
        </w:tc>
        <w:tc>
          <w:tcPr>
            <w:tcW w:w="14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7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500" w:type="dxa"/>
            <w:vAlign w:val="bottom"/>
          </w:tcPr>
          <w:p>
            <w:pPr>
              <w:spacing w:after="0"/>
              <w:rPr>
                <w:sz w:val="14"/>
                <w:szCs w:val="14"/>
                <w:color w:val="auto"/>
              </w:rPr>
            </w:pPr>
          </w:p>
        </w:tc>
      </w:tr>
      <w:tr>
        <w:trPr>
          <w:trHeight w:val="538"/>
        </w:trPr>
        <w:tc>
          <w:tcPr>
            <w:tcW w:w="1100" w:type="dxa"/>
            <w:vAlign w:val="bottom"/>
            <w:tcBorders>
              <w:top w:val="single" w:sz="8" w:color="0000EE"/>
            </w:tcBorders>
          </w:tcPr>
          <w:p>
            <w:pPr>
              <w:spacing w:after="0"/>
              <w:rPr>
                <w:sz w:val="24"/>
                <w:szCs w:val="24"/>
                <w:color w:val="auto"/>
              </w:rPr>
            </w:pPr>
          </w:p>
        </w:tc>
        <w:tc>
          <w:tcPr>
            <w:tcW w:w="5080" w:type="dxa"/>
            <w:vAlign w:val="bottom"/>
          </w:tcPr>
          <w:p>
            <w:pPr>
              <w:spacing w:after="0"/>
              <w:rPr>
                <w:sz w:val="24"/>
                <w:szCs w:val="24"/>
                <w:color w:val="auto"/>
              </w:rPr>
            </w:pPr>
          </w:p>
        </w:tc>
        <w:tc>
          <w:tcPr>
            <w:tcW w:w="1600" w:type="dxa"/>
            <w:vAlign w:val="bottom"/>
            <w:gridSpan w:val="2"/>
          </w:tcPr>
          <w:p>
            <w:pPr>
              <w:jc w:val="center"/>
              <w:ind w:right="120"/>
              <w:spacing w:after="0"/>
              <w:rPr>
                <w:sz w:val="20"/>
                <w:szCs w:val="20"/>
                <w:color w:val="auto"/>
              </w:rPr>
            </w:pPr>
            <w:r>
              <w:rPr>
                <w:rFonts w:ascii="Arial" w:cs="Arial" w:eastAsia="Arial" w:hAnsi="Arial"/>
                <w:sz w:val="14"/>
                <w:szCs w:val="14"/>
                <w:b w:val="1"/>
                <w:bCs w:val="1"/>
                <w:color w:val="auto"/>
                <w:w w:val="93"/>
              </w:rPr>
              <w:t>Number of Unvested</w:t>
            </w:r>
          </w:p>
        </w:tc>
        <w:tc>
          <w:tcPr>
            <w:tcW w:w="140" w:type="dxa"/>
            <w:vAlign w:val="bottom"/>
          </w:tcPr>
          <w:p>
            <w:pPr>
              <w:spacing w:after="0"/>
              <w:rPr>
                <w:sz w:val="24"/>
                <w:szCs w:val="24"/>
                <w:color w:val="auto"/>
              </w:rPr>
            </w:pPr>
          </w:p>
        </w:tc>
        <w:tc>
          <w:tcPr>
            <w:tcW w:w="1800" w:type="dxa"/>
            <w:vAlign w:val="bottom"/>
            <w:gridSpan w:val="2"/>
          </w:tcPr>
          <w:p>
            <w:pPr>
              <w:jc w:val="center"/>
              <w:ind w:right="260"/>
              <w:spacing w:after="0"/>
              <w:rPr>
                <w:sz w:val="20"/>
                <w:szCs w:val="20"/>
                <w:color w:val="auto"/>
              </w:rPr>
            </w:pPr>
            <w:r>
              <w:rPr>
                <w:rFonts w:ascii="Arial" w:cs="Arial" w:eastAsia="Arial" w:hAnsi="Arial"/>
                <w:sz w:val="14"/>
                <w:szCs w:val="14"/>
                <w:b w:val="1"/>
                <w:bCs w:val="1"/>
                <w:color w:val="auto"/>
                <w:w w:val="94"/>
              </w:rPr>
              <w:t>Weighted Average Grant</w:t>
            </w:r>
          </w:p>
        </w:tc>
        <w:tc>
          <w:tcPr>
            <w:tcW w:w="200" w:type="dxa"/>
            <w:vAlign w:val="bottom"/>
          </w:tcPr>
          <w:p>
            <w:pPr>
              <w:spacing w:after="0"/>
              <w:rPr>
                <w:sz w:val="24"/>
                <w:szCs w:val="24"/>
                <w:color w:val="auto"/>
              </w:rPr>
            </w:pPr>
          </w:p>
        </w:tc>
        <w:tc>
          <w:tcPr>
            <w:tcW w:w="1500" w:type="dxa"/>
            <w:vAlign w:val="bottom"/>
          </w:tcPr>
          <w:p>
            <w:pPr>
              <w:jc w:val="right"/>
              <w:ind w:right="176"/>
              <w:spacing w:after="0"/>
              <w:rPr>
                <w:sz w:val="20"/>
                <w:szCs w:val="20"/>
                <w:color w:val="auto"/>
              </w:rPr>
            </w:pPr>
            <w:r>
              <w:rPr>
                <w:rFonts w:ascii="Arial" w:cs="Arial" w:eastAsia="Arial" w:hAnsi="Arial"/>
                <w:sz w:val="14"/>
                <w:szCs w:val="14"/>
                <w:b w:val="1"/>
                <w:bCs w:val="1"/>
                <w:color w:val="auto"/>
                <w:w w:val="95"/>
              </w:rPr>
              <w:t>Aggregate Value of</w:t>
            </w:r>
          </w:p>
        </w:tc>
      </w:tr>
      <w:tr>
        <w:trPr>
          <w:trHeight w:val="192"/>
        </w:trPr>
        <w:tc>
          <w:tcPr>
            <w:tcW w:w="1100" w:type="dxa"/>
            <w:vAlign w:val="bottom"/>
          </w:tcPr>
          <w:p>
            <w:pPr>
              <w:spacing w:after="0"/>
              <w:rPr>
                <w:sz w:val="16"/>
                <w:szCs w:val="16"/>
                <w:color w:val="auto"/>
              </w:rPr>
            </w:pPr>
          </w:p>
        </w:tc>
        <w:tc>
          <w:tcPr>
            <w:tcW w:w="5080" w:type="dxa"/>
            <w:vAlign w:val="bottom"/>
          </w:tcPr>
          <w:p>
            <w:pPr>
              <w:spacing w:after="0"/>
              <w:rPr>
                <w:sz w:val="16"/>
                <w:szCs w:val="16"/>
                <w:color w:val="auto"/>
              </w:rPr>
            </w:pPr>
          </w:p>
        </w:tc>
        <w:tc>
          <w:tcPr>
            <w:tcW w:w="1600" w:type="dxa"/>
            <w:vAlign w:val="bottom"/>
            <w:gridSpan w:val="2"/>
          </w:tcPr>
          <w:p>
            <w:pPr>
              <w:jc w:val="center"/>
              <w:ind w:right="120"/>
              <w:spacing w:after="0"/>
              <w:rPr>
                <w:sz w:val="20"/>
                <w:szCs w:val="20"/>
                <w:color w:val="auto"/>
              </w:rPr>
            </w:pPr>
            <w:r>
              <w:rPr>
                <w:rFonts w:ascii="Arial" w:cs="Arial" w:eastAsia="Arial" w:hAnsi="Arial"/>
                <w:sz w:val="14"/>
                <w:szCs w:val="14"/>
                <w:b w:val="1"/>
                <w:bCs w:val="1"/>
                <w:color w:val="auto"/>
                <w:w w:val="85"/>
              </w:rPr>
              <w:t>Shares</w:t>
            </w:r>
          </w:p>
        </w:tc>
        <w:tc>
          <w:tcPr>
            <w:tcW w:w="140" w:type="dxa"/>
            <w:vAlign w:val="bottom"/>
          </w:tcPr>
          <w:p>
            <w:pPr>
              <w:spacing w:after="0"/>
              <w:rPr>
                <w:sz w:val="16"/>
                <w:szCs w:val="16"/>
                <w:color w:val="auto"/>
              </w:rPr>
            </w:pPr>
          </w:p>
        </w:tc>
        <w:tc>
          <w:tcPr>
            <w:tcW w:w="1800" w:type="dxa"/>
            <w:vAlign w:val="bottom"/>
            <w:gridSpan w:val="2"/>
          </w:tcPr>
          <w:p>
            <w:pPr>
              <w:jc w:val="center"/>
              <w:ind w:right="260"/>
              <w:spacing w:after="0"/>
              <w:rPr>
                <w:sz w:val="20"/>
                <w:szCs w:val="20"/>
                <w:color w:val="auto"/>
              </w:rPr>
            </w:pPr>
            <w:r>
              <w:rPr>
                <w:rFonts w:ascii="Arial" w:cs="Arial" w:eastAsia="Arial" w:hAnsi="Arial"/>
                <w:sz w:val="14"/>
                <w:szCs w:val="14"/>
                <w:b w:val="1"/>
                <w:bCs w:val="1"/>
                <w:color w:val="auto"/>
                <w:w w:val="96"/>
              </w:rPr>
              <w:t>Date Fair Value</w:t>
            </w:r>
          </w:p>
        </w:tc>
        <w:tc>
          <w:tcPr>
            <w:tcW w:w="200" w:type="dxa"/>
            <w:vAlign w:val="bottom"/>
          </w:tcPr>
          <w:p>
            <w:pPr>
              <w:spacing w:after="0"/>
              <w:rPr>
                <w:sz w:val="16"/>
                <w:szCs w:val="16"/>
                <w:color w:val="auto"/>
              </w:rPr>
            </w:pPr>
          </w:p>
        </w:tc>
        <w:tc>
          <w:tcPr>
            <w:tcW w:w="1500" w:type="dxa"/>
            <w:vAlign w:val="bottom"/>
          </w:tcPr>
          <w:p>
            <w:pPr>
              <w:jc w:val="right"/>
              <w:ind w:right="256"/>
              <w:spacing w:after="0"/>
              <w:rPr>
                <w:sz w:val="20"/>
                <w:szCs w:val="20"/>
                <w:color w:val="auto"/>
              </w:rPr>
            </w:pPr>
            <w:r>
              <w:rPr>
                <w:rFonts w:ascii="Arial" w:cs="Arial" w:eastAsia="Arial" w:hAnsi="Arial"/>
                <w:sz w:val="14"/>
                <w:szCs w:val="14"/>
                <w:b w:val="1"/>
                <w:bCs w:val="1"/>
                <w:color w:val="auto"/>
              </w:rPr>
              <w:t>Unvested Shares</w:t>
            </w:r>
          </w:p>
        </w:tc>
      </w:tr>
      <w:tr>
        <w:trPr>
          <w:trHeight w:val="263"/>
        </w:trPr>
        <w:tc>
          <w:tcPr>
            <w:tcW w:w="6180" w:type="dxa"/>
            <w:vAlign w:val="bottom"/>
            <w:tcBorders>
              <w:top w:val="single" w:sz="8" w:color="CCEEFF"/>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Balance, January 1, 2018</w:t>
            </w:r>
          </w:p>
        </w:tc>
        <w:tc>
          <w:tcPr>
            <w:tcW w:w="1480" w:type="dxa"/>
            <w:vAlign w:val="bottom"/>
            <w:tcBorders>
              <w:top w:val="single" w:sz="8" w:color="auto"/>
              <w:bottom w:val="single" w:sz="8" w:color="CCEEFF"/>
            </w:tcBorders>
            <w:shd w:val="clear" w:color="auto" w:fill="CCEEFF"/>
          </w:tcPr>
          <w:p>
            <w:pPr>
              <w:jc w:val="right"/>
              <w:ind w:right="16"/>
              <w:spacing w:after="0"/>
              <w:rPr>
                <w:sz w:val="20"/>
                <w:szCs w:val="20"/>
                <w:color w:val="auto"/>
              </w:rPr>
            </w:pPr>
            <w:r>
              <w:rPr>
                <w:rFonts w:ascii="Arial" w:cs="Arial" w:eastAsia="Arial" w:hAnsi="Arial"/>
                <w:sz w:val="18"/>
                <w:szCs w:val="18"/>
                <w:color w:val="auto"/>
              </w:rPr>
              <w:t>489,698</w:t>
            </w:r>
          </w:p>
        </w:tc>
        <w:tc>
          <w:tcPr>
            <w:tcW w:w="120" w:type="dxa"/>
            <w:vAlign w:val="bottom"/>
            <w:tcBorders>
              <w:top w:val="single" w:sz="8" w:color="CCEEFF"/>
              <w:bottom w:val="single" w:sz="8" w:color="CCEEFF"/>
            </w:tcBorders>
            <w:shd w:val="clear" w:color="auto" w:fill="CCEEFF"/>
          </w:tcPr>
          <w:p>
            <w:pPr>
              <w:spacing w:after="0"/>
              <w:rPr>
                <w:sz w:val="22"/>
                <w:szCs w:val="22"/>
                <w:color w:val="auto"/>
              </w:rPr>
            </w:pPr>
          </w:p>
        </w:tc>
        <w:tc>
          <w:tcPr>
            <w:tcW w:w="14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20"/>
                <w:szCs w:val="20"/>
                <w:color w:val="auto"/>
                <w:w w:val="89"/>
              </w:rPr>
              <w:t>$</w:t>
            </w:r>
          </w:p>
        </w:tc>
        <w:tc>
          <w:tcPr>
            <w:tcW w:w="1700" w:type="dxa"/>
            <w:vAlign w:val="bottom"/>
            <w:tcBorders>
              <w:top w:val="single" w:sz="8" w:color="auto"/>
              <w:bottom w:val="single" w:sz="8" w:color="CCEEFF"/>
            </w:tcBorders>
            <w:shd w:val="clear" w:color="auto" w:fill="CCEEFF"/>
          </w:tcPr>
          <w:p>
            <w:pPr>
              <w:jc w:val="right"/>
              <w:ind w:right="30"/>
              <w:spacing w:after="0"/>
              <w:rPr>
                <w:sz w:val="20"/>
                <w:szCs w:val="20"/>
                <w:color w:val="auto"/>
              </w:rPr>
            </w:pPr>
            <w:r>
              <w:rPr>
                <w:rFonts w:ascii="Arial" w:cs="Arial" w:eastAsia="Arial" w:hAnsi="Arial"/>
                <w:sz w:val="20"/>
                <w:szCs w:val="20"/>
                <w:color w:val="auto"/>
              </w:rPr>
              <w:t>1.51</w:t>
            </w:r>
          </w:p>
        </w:tc>
        <w:tc>
          <w:tcPr>
            <w:tcW w:w="100" w:type="dxa"/>
            <w:vAlign w:val="bottom"/>
            <w:tcBorders>
              <w:top w:val="single" w:sz="8" w:color="CCEEFF"/>
              <w:bottom w:val="single" w:sz="8" w:color="CCEEFF"/>
            </w:tcBorders>
            <w:shd w:val="clear" w:color="auto" w:fill="CCEEFF"/>
          </w:tcPr>
          <w:p>
            <w:pPr>
              <w:spacing w:after="0"/>
              <w:rPr>
                <w:sz w:val="22"/>
                <w:szCs w:val="22"/>
                <w:color w:val="auto"/>
              </w:rPr>
            </w:pPr>
          </w:p>
        </w:tc>
        <w:tc>
          <w:tcPr>
            <w:tcW w:w="20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500" w:type="dxa"/>
            <w:vAlign w:val="bottom"/>
            <w:tcBorders>
              <w:top w:val="single" w:sz="8" w:color="auto"/>
              <w:bottom w:val="single" w:sz="8" w:color="CCEEFF"/>
            </w:tcBorders>
            <w:shd w:val="clear" w:color="auto" w:fill="CCEEFF"/>
          </w:tcPr>
          <w:p>
            <w:pPr>
              <w:jc w:val="right"/>
              <w:ind w:right="16"/>
              <w:spacing w:after="0"/>
              <w:rPr>
                <w:sz w:val="20"/>
                <w:szCs w:val="20"/>
                <w:color w:val="auto"/>
              </w:rPr>
            </w:pPr>
            <w:r>
              <w:rPr>
                <w:rFonts w:ascii="Arial" w:cs="Arial" w:eastAsia="Arial" w:hAnsi="Arial"/>
                <w:sz w:val="18"/>
                <w:szCs w:val="18"/>
                <w:color w:val="auto"/>
              </w:rPr>
              <w:t>738,345</w:t>
            </w:r>
          </w:p>
        </w:tc>
      </w:tr>
      <w:tr>
        <w:trPr>
          <w:trHeight w:val="261"/>
        </w:trPr>
        <w:tc>
          <w:tcPr>
            <w:tcW w:w="6180" w:type="dxa"/>
            <w:vAlign w:val="bottom"/>
            <w:gridSpan w:val="2"/>
          </w:tcPr>
          <w:p>
            <w:pPr>
              <w:ind w:left="380"/>
              <w:spacing w:after="0"/>
              <w:rPr>
                <w:sz w:val="20"/>
                <w:szCs w:val="20"/>
                <w:color w:val="auto"/>
              </w:rPr>
            </w:pPr>
            <w:r>
              <w:rPr>
                <w:rFonts w:ascii="Arial" w:cs="Arial" w:eastAsia="Arial" w:hAnsi="Arial"/>
                <w:sz w:val="18"/>
                <w:szCs w:val="18"/>
                <w:color w:val="auto"/>
              </w:rPr>
              <w:t>Granted</w:t>
            </w:r>
          </w:p>
        </w:tc>
        <w:tc>
          <w:tcPr>
            <w:tcW w:w="1480" w:type="dxa"/>
            <w:vAlign w:val="bottom"/>
          </w:tcPr>
          <w:p>
            <w:pPr>
              <w:jc w:val="right"/>
              <w:ind w:right="16"/>
              <w:spacing w:after="0"/>
              <w:rPr>
                <w:sz w:val="20"/>
                <w:szCs w:val="20"/>
                <w:color w:val="auto"/>
              </w:rPr>
            </w:pPr>
            <w:r>
              <w:rPr>
                <w:rFonts w:ascii="Arial" w:cs="Arial" w:eastAsia="Arial" w:hAnsi="Arial"/>
                <w:sz w:val="18"/>
                <w:szCs w:val="18"/>
                <w:color w:val="auto"/>
              </w:rPr>
              <w:t>296,287</w:t>
            </w:r>
          </w:p>
        </w:tc>
        <w:tc>
          <w:tcPr>
            <w:tcW w:w="120" w:type="dxa"/>
            <w:vAlign w:val="bottom"/>
          </w:tcPr>
          <w:p>
            <w:pPr>
              <w:spacing w:after="0"/>
              <w:rPr>
                <w:sz w:val="22"/>
                <w:szCs w:val="22"/>
                <w:color w:val="auto"/>
              </w:rPr>
            </w:pPr>
          </w:p>
        </w:tc>
        <w:tc>
          <w:tcPr>
            <w:tcW w:w="140" w:type="dxa"/>
            <w:vAlign w:val="bottom"/>
          </w:tcPr>
          <w:p>
            <w:pPr>
              <w:jc w:val="right"/>
              <w:spacing w:after="0"/>
              <w:rPr>
                <w:sz w:val="20"/>
                <w:szCs w:val="20"/>
                <w:color w:val="auto"/>
              </w:rPr>
            </w:pPr>
            <w:r>
              <w:rPr>
                <w:rFonts w:ascii="Arial" w:cs="Arial" w:eastAsia="Arial" w:hAnsi="Arial"/>
                <w:sz w:val="20"/>
                <w:szCs w:val="20"/>
                <w:color w:val="auto"/>
                <w:w w:val="89"/>
              </w:rPr>
              <w:t>$</w:t>
            </w:r>
          </w:p>
        </w:tc>
        <w:tc>
          <w:tcPr>
            <w:tcW w:w="1700" w:type="dxa"/>
            <w:vAlign w:val="bottom"/>
          </w:tcPr>
          <w:p>
            <w:pPr>
              <w:jc w:val="right"/>
              <w:ind w:right="30"/>
              <w:spacing w:after="0"/>
              <w:rPr>
                <w:sz w:val="20"/>
                <w:szCs w:val="20"/>
                <w:color w:val="auto"/>
              </w:rPr>
            </w:pPr>
            <w:r>
              <w:rPr>
                <w:rFonts w:ascii="Arial" w:cs="Arial" w:eastAsia="Arial" w:hAnsi="Arial"/>
                <w:sz w:val="20"/>
                <w:szCs w:val="20"/>
                <w:color w:val="auto"/>
              </w:rPr>
              <w:t>3.07</w:t>
            </w:r>
          </w:p>
        </w:tc>
        <w:tc>
          <w:tcPr>
            <w:tcW w:w="1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1500" w:type="dxa"/>
            <w:vAlign w:val="bottom"/>
          </w:tcPr>
          <w:p>
            <w:pPr>
              <w:jc w:val="right"/>
              <w:ind w:right="16"/>
              <w:spacing w:after="0"/>
              <w:rPr>
                <w:sz w:val="20"/>
                <w:szCs w:val="20"/>
                <w:color w:val="auto"/>
              </w:rPr>
            </w:pPr>
            <w:r>
              <w:rPr>
                <w:rFonts w:ascii="Arial" w:cs="Arial" w:eastAsia="Arial" w:hAnsi="Arial"/>
                <w:sz w:val="18"/>
                <w:szCs w:val="18"/>
                <w:color w:val="auto"/>
              </w:rPr>
              <w:t>909,600</w:t>
            </w:r>
          </w:p>
        </w:tc>
      </w:tr>
      <w:tr>
        <w:trPr>
          <w:trHeight w:val="23"/>
        </w:trPr>
        <w:tc>
          <w:tcPr>
            <w:tcW w:w="1100" w:type="dxa"/>
            <w:vAlign w:val="bottom"/>
          </w:tcPr>
          <w:p>
            <w:pPr>
              <w:spacing w:after="0"/>
              <w:rPr>
                <w:sz w:val="2"/>
                <w:szCs w:val="2"/>
                <w:color w:val="auto"/>
              </w:rPr>
            </w:pPr>
          </w:p>
        </w:tc>
        <w:tc>
          <w:tcPr>
            <w:tcW w:w="5080" w:type="dxa"/>
            <w:vAlign w:val="bottom"/>
          </w:tcPr>
          <w:p>
            <w:pPr>
              <w:spacing w:after="0"/>
              <w:rPr>
                <w:sz w:val="2"/>
                <w:szCs w:val="2"/>
                <w:color w:val="auto"/>
              </w:rPr>
            </w:pPr>
          </w:p>
        </w:tc>
        <w:tc>
          <w:tcPr>
            <w:tcW w:w="14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7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500" w:type="dxa"/>
            <w:vAlign w:val="bottom"/>
          </w:tcPr>
          <w:p>
            <w:pPr>
              <w:spacing w:after="0"/>
              <w:rPr>
                <w:sz w:val="2"/>
                <w:szCs w:val="2"/>
                <w:color w:val="auto"/>
              </w:rPr>
            </w:pPr>
          </w:p>
        </w:tc>
      </w:tr>
      <w:tr>
        <w:trPr>
          <w:trHeight w:val="284"/>
        </w:trPr>
        <w:tc>
          <w:tcPr>
            <w:tcW w:w="6180" w:type="dxa"/>
            <w:vAlign w:val="bottom"/>
            <w:tcBorders>
              <w:bottom w:val="single" w:sz="8" w:color="CCEEFF"/>
            </w:tcBorders>
            <w:gridSpan w:val="2"/>
            <w:shd w:val="clear" w:color="auto" w:fill="CCEEFF"/>
          </w:tcPr>
          <w:p>
            <w:pPr>
              <w:ind w:left="380"/>
              <w:spacing w:after="0"/>
              <w:rPr>
                <w:sz w:val="20"/>
                <w:szCs w:val="20"/>
                <w:color w:val="auto"/>
              </w:rPr>
            </w:pPr>
            <w:r>
              <w:rPr>
                <w:rFonts w:ascii="Arial" w:cs="Arial" w:eastAsia="Arial" w:hAnsi="Arial"/>
                <w:sz w:val="18"/>
                <w:szCs w:val="18"/>
                <w:color w:val="auto"/>
              </w:rPr>
              <w:t>Vested</w:t>
            </w:r>
          </w:p>
        </w:tc>
        <w:tc>
          <w:tcPr>
            <w:tcW w:w="14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(312,365)</w:t>
            </w:r>
          </w:p>
        </w:tc>
        <w:tc>
          <w:tcPr>
            <w:tcW w:w="120" w:type="dxa"/>
            <w:vAlign w:val="bottom"/>
            <w:tcBorders>
              <w:bottom w:val="single" w:sz="8" w:color="CCEEFF"/>
            </w:tcBorders>
            <w:shd w:val="clear" w:color="auto" w:fill="CCEEFF"/>
          </w:tcPr>
          <w:p>
            <w:pPr>
              <w:spacing w:after="0"/>
              <w:rPr>
                <w:sz w:val="24"/>
                <w:szCs w:val="24"/>
                <w:color w:val="auto"/>
              </w:rPr>
            </w:pP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20"/>
                <w:szCs w:val="20"/>
                <w:color w:val="auto"/>
                <w:w w:val="89"/>
              </w:rPr>
              <w:t>$</w:t>
            </w:r>
          </w:p>
        </w:tc>
        <w:tc>
          <w:tcPr>
            <w:tcW w:w="170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20"/>
                <w:szCs w:val="20"/>
                <w:color w:val="auto"/>
              </w:rPr>
              <w:t>2.75</w:t>
            </w:r>
          </w:p>
        </w:tc>
        <w:tc>
          <w:tcPr>
            <w:tcW w:w="100" w:type="dxa"/>
            <w:vAlign w:val="bottom"/>
            <w:tcBorders>
              <w:bottom w:val="single" w:sz="8" w:color="CCEEFF"/>
            </w:tcBorders>
            <w:shd w:val="clear" w:color="auto" w:fill="CCEEFF"/>
          </w:tcPr>
          <w:p>
            <w:pPr>
              <w:spacing w:after="0"/>
              <w:rPr>
                <w:sz w:val="24"/>
                <w:szCs w:val="24"/>
                <w:color w:val="auto"/>
              </w:rPr>
            </w:pPr>
          </w:p>
        </w:tc>
        <w:tc>
          <w:tcPr>
            <w:tcW w:w="200" w:type="dxa"/>
            <w:vAlign w:val="bottom"/>
            <w:tcBorders>
              <w:bottom w:val="single" w:sz="8" w:color="CCEEFF"/>
            </w:tcBorders>
            <w:shd w:val="clear" w:color="auto" w:fill="CCEEFF"/>
          </w:tcPr>
          <w:p>
            <w:pPr>
              <w:spacing w:after="0"/>
              <w:rPr>
                <w:sz w:val="24"/>
                <w:szCs w:val="24"/>
                <w:color w:val="auto"/>
              </w:rPr>
            </w:pPr>
          </w:p>
        </w:tc>
        <w:tc>
          <w:tcPr>
            <w:tcW w:w="15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(454,339)</w:t>
            </w:r>
          </w:p>
        </w:tc>
      </w:tr>
      <w:tr>
        <w:trPr>
          <w:trHeight w:val="271"/>
        </w:trPr>
        <w:tc>
          <w:tcPr>
            <w:tcW w:w="6180" w:type="dxa"/>
            <w:vAlign w:val="bottom"/>
            <w:gridSpan w:val="2"/>
          </w:tcPr>
          <w:p>
            <w:pPr>
              <w:ind w:left="40"/>
              <w:spacing w:after="0"/>
              <w:rPr>
                <w:sz w:val="20"/>
                <w:szCs w:val="20"/>
                <w:color w:val="auto"/>
              </w:rPr>
            </w:pPr>
            <w:r>
              <w:rPr>
                <w:rFonts w:ascii="Arial" w:cs="Arial" w:eastAsia="Arial" w:hAnsi="Arial"/>
                <w:sz w:val="18"/>
                <w:szCs w:val="18"/>
                <w:color w:val="auto"/>
              </w:rPr>
              <w:t>Balance, June 30, 2018</w:t>
            </w:r>
          </w:p>
        </w:tc>
        <w:tc>
          <w:tcPr>
            <w:tcW w:w="1480" w:type="dxa"/>
            <w:vAlign w:val="bottom"/>
            <w:tcBorders>
              <w:top w:val="single" w:sz="8" w:color="auto"/>
              <w:bottom w:val="single" w:sz="8" w:color="auto"/>
            </w:tcBorders>
          </w:tcPr>
          <w:p>
            <w:pPr>
              <w:jc w:val="right"/>
              <w:ind w:right="16"/>
              <w:spacing w:after="0"/>
              <w:rPr>
                <w:sz w:val="20"/>
                <w:szCs w:val="20"/>
                <w:color w:val="auto"/>
              </w:rPr>
            </w:pPr>
            <w:r>
              <w:rPr>
                <w:rFonts w:ascii="Arial" w:cs="Arial" w:eastAsia="Arial" w:hAnsi="Arial"/>
                <w:sz w:val="18"/>
                <w:szCs w:val="18"/>
                <w:color w:val="auto"/>
              </w:rPr>
              <w:t>473,620</w:t>
            </w:r>
          </w:p>
        </w:tc>
        <w:tc>
          <w:tcPr>
            <w:tcW w:w="120" w:type="dxa"/>
            <w:vAlign w:val="bottom"/>
          </w:tcPr>
          <w:p>
            <w:pPr>
              <w:spacing w:after="0"/>
              <w:rPr>
                <w:sz w:val="23"/>
                <w:szCs w:val="23"/>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20"/>
                <w:szCs w:val="20"/>
                <w:color w:val="auto"/>
                <w:w w:val="89"/>
              </w:rPr>
              <w:t>$</w:t>
            </w:r>
          </w:p>
        </w:tc>
        <w:tc>
          <w:tcPr>
            <w:tcW w:w="1700" w:type="dxa"/>
            <w:vAlign w:val="bottom"/>
            <w:tcBorders>
              <w:top w:val="single" w:sz="8" w:color="auto"/>
              <w:bottom w:val="single" w:sz="8" w:color="auto"/>
            </w:tcBorders>
          </w:tcPr>
          <w:p>
            <w:pPr>
              <w:jc w:val="right"/>
              <w:ind w:right="30"/>
              <w:spacing w:after="0"/>
              <w:rPr>
                <w:sz w:val="20"/>
                <w:szCs w:val="20"/>
                <w:color w:val="auto"/>
              </w:rPr>
            </w:pPr>
            <w:r>
              <w:rPr>
                <w:rFonts w:ascii="Arial" w:cs="Arial" w:eastAsia="Arial" w:hAnsi="Arial"/>
                <w:sz w:val="20"/>
                <w:szCs w:val="20"/>
                <w:color w:val="auto"/>
              </w:rPr>
              <w:t>2.52</w:t>
            </w:r>
          </w:p>
        </w:tc>
        <w:tc>
          <w:tcPr>
            <w:tcW w:w="100" w:type="dxa"/>
            <w:vAlign w:val="bottom"/>
          </w:tcPr>
          <w:p>
            <w:pPr>
              <w:spacing w:after="0"/>
              <w:rPr>
                <w:sz w:val="23"/>
                <w:szCs w:val="23"/>
                <w:color w:val="auto"/>
              </w:rPr>
            </w:pPr>
          </w:p>
        </w:tc>
        <w:tc>
          <w:tcPr>
            <w:tcW w:w="2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500" w:type="dxa"/>
            <w:vAlign w:val="bottom"/>
            <w:tcBorders>
              <w:top w:val="single" w:sz="8" w:color="auto"/>
              <w:bottom w:val="single" w:sz="8" w:color="auto"/>
            </w:tcBorders>
          </w:tcPr>
          <w:p>
            <w:pPr>
              <w:jc w:val="right"/>
              <w:ind w:right="16"/>
              <w:spacing w:after="0"/>
              <w:rPr>
                <w:sz w:val="20"/>
                <w:szCs w:val="20"/>
                <w:color w:val="auto"/>
              </w:rPr>
            </w:pPr>
            <w:r>
              <w:rPr>
                <w:rFonts w:ascii="Arial" w:cs="Arial" w:eastAsia="Arial" w:hAnsi="Arial"/>
                <w:sz w:val="18"/>
                <w:szCs w:val="18"/>
                <w:color w:val="auto"/>
              </w:rPr>
              <w:t>1,193,606</w:t>
            </w:r>
          </w:p>
        </w:tc>
      </w:tr>
      <w:tr>
        <w:trPr>
          <w:trHeight w:val="20"/>
        </w:trPr>
        <w:tc>
          <w:tcPr>
            <w:tcW w:w="1100" w:type="dxa"/>
            <w:vAlign w:val="bottom"/>
          </w:tcPr>
          <w:p>
            <w:pPr>
              <w:spacing w:after="0" w:line="20" w:lineRule="exact"/>
              <w:rPr>
                <w:sz w:val="1"/>
                <w:szCs w:val="1"/>
                <w:color w:val="auto"/>
              </w:rPr>
            </w:pPr>
          </w:p>
        </w:tc>
        <w:tc>
          <w:tcPr>
            <w:tcW w:w="5080" w:type="dxa"/>
            <w:vAlign w:val="bottom"/>
          </w:tcPr>
          <w:p>
            <w:pPr>
              <w:spacing w:after="0" w:line="20" w:lineRule="exact"/>
              <w:rPr>
                <w:sz w:val="1"/>
                <w:szCs w:val="1"/>
                <w:color w:val="auto"/>
              </w:rPr>
            </w:pPr>
          </w:p>
        </w:tc>
        <w:tc>
          <w:tcPr>
            <w:tcW w:w="14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7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500" w:type="dxa"/>
            <w:vAlign w:val="bottom"/>
            <w:tcBorders>
              <w:bottom w:val="single" w:sz="8" w:color="auto"/>
            </w:tcBorders>
          </w:tcPr>
          <w:p>
            <w:pPr>
              <w:spacing w:after="0" w:line="20" w:lineRule="exact"/>
              <w:rPr>
                <w:sz w:val="1"/>
                <w:szCs w:val="1"/>
                <w:color w:val="auto"/>
              </w:rPr>
            </w:pPr>
          </w:p>
        </w:tc>
      </w:tr>
    </w:tbl>
    <w:p>
      <w:pPr>
        <w:spacing w:after="0" w:line="148"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Non-employee Director Deferred Compensation Plan</w:t>
      </w:r>
    </w:p>
    <w:p>
      <w:pPr>
        <w:spacing w:after="0" w:line="171" w:lineRule="exact"/>
        <w:rPr>
          <w:sz w:val="20"/>
          <w:szCs w:val="20"/>
          <w:color w:val="auto"/>
        </w:rPr>
      </w:pPr>
    </w:p>
    <w:p>
      <w:pPr>
        <w:ind w:right="40" w:firstLine="405"/>
        <w:spacing w:after="0" w:line="255" w:lineRule="auto"/>
        <w:rPr>
          <w:sz w:val="20"/>
          <w:szCs w:val="20"/>
          <w:color w:val="auto"/>
        </w:rPr>
      </w:pPr>
      <w:r>
        <w:rPr>
          <w:rFonts w:ascii="Arial" w:cs="Arial" w:eastAsia="Arial" w:hAnsi="Arial"/>
          <w:sz w:val="18"/>
          <w:szCs w:val="18"/>
          <w:color w:val="auto"/>
        </w:rPr>
        <w:t>We maintain a non-employee director deferred compensation plan (the “Deferred Compensation Plan”) that permits our non-employee directors to defer receipt of certain of the compensation that they receive for serving on our board and board committees. The Deferred Compensation Plan has historically permitted the participants to elect to defer cash fees to which they were entitled for board and committee service. For participating directors, in lieu of payment of cash fees, we credit their accounts under the Deferred Compensation Plan with a number of stock units based on the trading price of our common stock as of the date of the deferral. These stock units vest immediately, although the participating directors do not receive the shares represented by such units until a future qualifying event.</w:t>
      </w:r>
    </w:p>
    <w:p>
      <w:pPr>
        <w:spacing w:after="0" w:line="139" w:lineRule="exact"/>
        <w:rPr>
          <w:sz w:val="20"/>
          <w:szCs w:val="20"/>
          <w:color w:val="auto"/>
        </w:rPr>
      </w:pPr>
    </w:p>
    <w:p>
      <w:pPr>
        <w:ind w:right="40" w:firstLine="405"/>
        <w:spacing w:after="0" w:line="286" w:lineRule="auto"/>
        <w:rPr>
          <w:sz w:val="20"/>
          <w:szCs w:val="20"/>
          <w:color w:val="auto"/>
        </w:rPr>
      </w:pPr>
      <w:r>
        <w:rPr>
          <w:rFonts w:ascii="Arial" w:cs="Arial" w:eastAsia="Arial" w:hAnsi="Arial"/>
          <w:sz w:val="17"/>
          <w:szCs w:val="17"/>
          <w:color w:val="auto"/>
        </w:rPr>
        <w:t>In December 2017, we amended and restated our Deferred Compensation Plan to also permit participating non-employee directors to elect, beginning in 2018, to defer the receipt of some or all of the equity compensation that they receive for board and committee service. Stock units representing this equity compensation vest at the earlier of the one year anniversary of their grant or the next annual stockholders' meeting.</w:t>
      </w:r>
    </w:p>
    <w:p>
      <w:pPr>
        <w:spacing w:after="0" w:line="111" w:lineRule="exact"/>
        <w:rPr>
          <w:sz w:val="20"/>
          <w:szCs w:val="20"/>
          <w:color w:val="auto"/>
        </w:rPr>
      </w:pPr>
    </w:p>
    <w:p>
      <w:pPr>
        <w:ind w:left="420"/>
        <w:spacing w:after="0"/>
        <w:rPr>
          <w:sz w:val="20"/>
          <w:szCs w:val="20"/>
          <w:color w:val="auto"/>
        </w:rPr>
      </w:pPr>
      <w:r>
        <w:rPr>
          <w:rFonts w:ascii="Arial" w:cs="Arial" w:eastAsia="Arial" w:hAnsi="Arial"/>
          <w:sz w:val="18"/>
          <w:szCs w:val="18"/>
          <w:color w:val="auto"/>
        </w:rPr>
        <w:t>The following is a summary of our stock unit activity under the Deferred Compensation Plan for the six months ended June 30, 2018:</w:t>
      </w:r>
    </w:p>
    <w:p>
      <w:pPr>
        <w:spacing w:after="0" w:line="312" w:lineRule="exact"/>
        <w:rPr>
          <w:sz w:val="20"/>
          <w:szCs w:val="20"/>
          <w:color w:val="auto"/>
        </w:rPr>
      </w:pPr>
    </w:p>
    <w:tbl>
      <w:tblPr>
        <w:tblLayout w:type="fixed"/>
        <w:tblInd w:w="1900" w:type="dxa"/>
        <w:tblCellMar>
          <w:top w:w="0" w:type="dxa"/>
          <w:left w:w="0" w:type="dxa"/>
          <w:bottom w:w="0" w:type="dxa"/>
          <w:right w:w="0" w:type="dxa"/>
        </w:tblCellMar>
      </w:tblPr>
      <w:tr>
        <w:trPr>
          <w:trHeight w:val="161"/>
        </w:trPr>
        <w:tc>
          <w:tcPr>
            <w:tcW w:w="3760" w:type="dxa"/>
            <w:vAlign w:val="bottom"/>
          </w:tcPr>
          <w:p>
            <w:pPr>
              <w:spacing w:after="0"/>
              <w:rPr>
                <w:sz w:val="14"/>
                <w:szCs w:val="14"/>
                <w:color w:val="auto"/>
              </w:rPr>
            </w:pPr>
          </w:p>
        </w:tc>
        <w:tc>
          <w:tcPr>
            <w:tcW w:w="1280" w:type="dxa"/>
            <w:vAlign w:val="bottom"/>
            <w:gridSpan w:val="2"/>
            <w:vMerge w:val="restart"/>
          </w:tcPr>
          <w:p>
            <w:pPr>
              <w:jc w:val="center"/>
              <w:ind w:right="160"/>
              <w:spacing w:after="0"/>
              <w:rPr>
                <w:sz w:val="20"/>
                <w:szCs w:val="20"/>
                <w:color w:val="auto"/>
              </w:rPr>
            </w:pPr>
            <w:r>
              <w:rPr>
                <w:rFonts w:ascii="Arial" w:cs="Arial" w:eastAsia="Arial" w:hAnsi="Arial"/>
                <w:sz w:val="14"/>
                <w:szCs w:val="14"/>
                <w:b w:val="1"/>
                <w:bCs w:val="1"/>
                <w:color w:val="auto"/>
                <w:w w:val="92"/>
              </w:rPr>
              <w:t>Number of Stock</w:t>
            </w:r>
          </w:p>
        </w:tc>
        <w:tc>
          <w:tcPr>
            <w:tcW w:w="1340" w:type="dxa"/>
            <w:vAlign w:val="bottom"/>
            <w:gridSpan w:val="2"/>
          </w:tcPr>
          <w:p>
            <w:pPr>
              <w:jc w:val="center"/>
              <w:ind w:right="140"/>
              <w:spacing w:after="0"/>
              <w:rPr>
                <w:sz w:val="20"/>
                <w:szCs w:val="20"/>
                <w:color w:val="auto"/>
              </w:rPr>
            </w:pPr>
            <w:r>
              <w:rPr>
                <w:rFonts w:ascii="Arial" w:cs="Arial" w:eastAsia="Arial" w:hAnsi="Arial"/>
                <w:sz w:val="14"/>
                <w:szCs w:val="14"/>
                <w:b w:val="1"/>
                <w:bCs w:val="1"/>
                <w:color w:val="auto"/>
                <w:w w:val="91"/>
              </w:rPr>
              <w:t>Weighted Average</w:t>
            </w:r>
          </w:p>
        </w:tc>
        <w:tc>
          <w:tcPr>
            <w:tcW w:w="140" w:type="dxa"/>
            <w:vAlign w:val="bottom"/>
          </w:tcPr>
          <w:p>
            <w:pPr>
              <w:spacing w:after="0"/>
              <w:rPr>
                <w:sz w:val="14"/>
                <w:szCs w:val="14"/>
                <w:color w:val="auto"/>
              </w:rPr>
            </w:pPr>
          </w:p>
        </w:tc>
        <w:tc>
          <w:tcPr>
            <w:tcW w:w="1120" w:type="dxa"/>
            <w:vAlign w:val="bottom"/>
            <w:vMerge w:val="restart"/>
          </w:tcPr>
          <w:p>
            <w:pPr>
              <w:jc w:val="right"/>
              <w:ind w:right="99"/>
              <w:spacing w:after="0"/>
              <w:rPr>
                <w:sz w:val="20"/>
                <w:szCs w:val="20"/>
                <w:color w:val="auto"/>
              </w:rPr>
            </w:pPr>
            <w:r>
              <w:rPr>
                <w:rFonts w:ascii="Arial" w:cs="Arial" w:eastAsia="Arial" w:hAnsi="Arial"/>
                <w:sz w:val="14"/>
                <w:szCs w:val="14"/>
                <w:b w:val="1"/>
                <w:bCs w:val="1"/>
                <w:color w:val="auto"/>
                <w:w w:val="96"/>
              </w:rPr>
              <w:t>Intrinsic Value</w:t>
            </w:r>
          </w:p>
        </w:tc>
        <w:tc>
          <w:tcPr>
            <w:tcW w:w="0" w:type="dxa"/>
            <w:vAlign w:val="bottom"/>
          </w:tcPr>
          <w:p>
            <w:pPr>
              <w:spacing w:after="0"/>
              <w:rPr>
                <w:sz w:val="1"/>
                <w:szCs w:val="1"/>
                <w:color w:val="auto"/>
              </w:rPr>
            </w:pPr>
          </w:p>
        </w:tc>
      </w:tr>
      <w:tr>
        <w:trPr>
          <w:trHeight w:val="149"/>
        </w:trPr>
        <w:tc>
          <w:tcPr>
            <w:tcW w:w="3760" w:type="dxa"/>
            <w:vAlign w:val="bottom"/>
          </w:tcPr>
          <w:p>
            <w:pPr>
              <w:spacing w:after="0"/>
              <w:rPr>
                <w:sz w:val="12"/>
                <w:szCs w:val="12"/>
                <w:color w:val="auto"/>
              </w:rPr>
            </w:pPr>
          </w:p>
        </w:tc>
        <w:tc>
          <w:tcPr>
            <w:tcW w:w="1280" w:type="dxa"/>
            <w:vAlign w:val="bottom"/>
            <w:gridSpan w:val="2"/>
            <w:vMerge w:val="continue"/>
          </w:tcPr>
          <w:p>
            <w:pPr>
              <w:spacing w:after="0"/>
              <w:rPr>
                <w:sz w:val="12"/>
                <w:szCs w:val="12"/>
                <w:color w:val="auto"/>
              </w:rPr>
            </w:pPr>
          </w:p>
        </w:tc>
        <w:tc>
          <w:tcPr>
            <w:tcW w:w="1340" w:type="dxa"/>
            <w:vAlign w:val="bottom"/>
            <w:gridSpan w:val="2"/>
          </w:tcPr>
          <w:p>
            <w:pPr>
              <w:jc w:val="center"/>
              <w:ind w:right="140"/>
              <w:spacing w:after="0" w:line="149" w:lineRule="exact"/>
              <w:rPr>
                <w:sz w:val="20"/>
                <w:szCs w:val="20"/>
                <w:color w:val="auto"/>
              </w:rPr>
            </w:pPr>
            <w:r>
              <w:rPr>
                <w:rFonts w:ascii="Arial" w:cs="Arial" w:eastAsia="Arial" w:hAnsi="Arial"/>
                <w:sz w:val="14"/>
                <w:szCs w:val="14"/>
                <w:b w:val="1"/>
                <w:bCs w:val="1"/>
                <w:color w:val="auto"/>
                <w:w w:val="98"/>
              </w:rPr>
              <w:t>Grant Date Fair</w:t>
            </w:r>
          </w:p>
        </w:tc>
        <w:tc>
          <w:tcPr>
            <w:tcW w:w="140" w:type="dxa"/>
            <w:vAlign w:val="bottom"/>
          </w:tcPr>
          <w:p>
            <w:pPr>
              <w:spacing w:after="0"/>
              <w:rPr>
                <w:sz w:val="12"/>
                <w:szCs w:val="12"/>
                <w:color w:val="auto"/>
              </w:rPr>
            </w:pPr>
          </w:p>
        </w:tc>
        <w:tc>
          <w:tcPr>
            <w:tcW w:w="112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92"/>
        </w:trPr>
        <w:tc>
          <w:tcPr>
            <w:tcW w:w="3760" w:type="dxa"/>
            <w:vAlign w:val="bottom"/>
          </w:tcPr>
          <w:p>
            <w:pPr>
              <w:spacing w:after="0"/>
              <w:rPr>
                <w:sz w:val="16"/>
                <w:szCs w:val="16"/>
                <w:color w:val="auto"/>
              </w:rPr>
            </w:pPr>
          </w:p>
        </w:tc>
        <w:tc>
          <w:tcPr>
            <w:tcW w:w="1280" w:type="dxa"/>
            <w:vAlign w:val="bottom"/>
            <w:gridSpan w:val="2"/>
          </w:tcPr>
          <w:p>
            <w:pPr>
              <w:jc w:val="center"/>
              <w:ind w:right="180"/>
              <w:spacing w:after="0"/>
              <w:rPr>
                <w:sz w:val="20"/>
                <w:szCs w:val="20"/>
                <w:color w:val="auto"/>
              </w:rPr>
            </w:pPr>
            <w:r>
              <w:rPr>
                <w:rFonts w:ascii="Arial" w:cs="Arial" w:eastAsia="Arial" w:hAnsi="Arial"/>
                <w:sz w:val="14"/>
                <w:szCs w:val="14"/>
                <w:b w:val="1"/>
                <w:bCs w:val="1"/>
                <w:color w:val="auto"/>
                <w:w w:val="97"/>
              </w:rPr>
              <w:t>Units</w:t>
            </w:r>
          </w:p>
        </w:tc>
        <w:tc>
          <w:tcPr>
            <w:tcW w:w="1340" w:type="dxa"/>
            <w:vAlign w:val="bottom"/>
            <w:gridSpan w:val="2"/>
          </w:tcPr>
          <w:p>
            <w:pPr>
              <w:jc w:val="center"/>
              <w:ind w:right="160"/>
              <w:spacing w:after="0"/>
              <w:rPr>
                <w:sz w:val="20"/>
                <w:szCs w:val="20"/>
                <w:color w:val="auto"/>
              </w:rPr>
            </w:pPr>
            <w:r>
              <w:rPr>
                <w:rFonts w:ascii="Arial" w:cs="Arial" w:eastAsia="Arial" w:hAnsi="Arial"/>
                <w:sz w:val="14"/>
                <w:szCs w:val="14"/>
                <w:b w:val="1"/>
                <w:bCs w:val="1"/>
                <w:color w:val="auto"/>
                <w:w w:val="92"/>
              </w:rPr>
              <w:t>Value per Share</w:t>
            </w:r>
          </w:p>
        </w:tc>
        <w:tc>
          <w:tcPr>
            <w:tcW w:w="140" w:type="dxa"/>
            <w:vAlign w:val="bottom"/>
          </w:tcPr>
          <w:p>
            <w:pPr>
              <w:spacing w:after="0"/>
              <w:rPr>
                <w:sz w:val="16"/>
                <w:szCs w:val="16"/>
                <w:color w:val="auto"/>
              </w:rPr>
            </w:pPr>
          </w:p>
        </w:tc>
        <w:tc>
          <w:tcPr>
            <w:tcW w:w="1120" w:type="dxa"/>
            <w:vAlign w:val="bottom"/>
          </w:tcPr>
          <w:p>
            <w:pPr>
              <w:jc w:val="right"/>
              <w:ind w:right="159"/>
              <w:spacing w:after="0"/>
              <w:rPr>
                <w:sz w:val="20"/>
                <w:szCs w:val="20"/>
                <w:color w:val="auto"/>
              </w:rPr>
            </w:pPr>
            <w:r>
              <w:rPr>
                <w:rFonts w:ascii="Arial" w:cs="Arial" w:eastAsia="Arial" w:hAnsi="Arial"/>
                <w:sz w:val="14"/>
                <w:szCs w:val="14"/>
                <w:b w:val="1"/>
                <w:bCs w:val="1"/>
                <w:color w:val="auto"/>
              </w:rPr>
              <w:t>Outstanding</w:t>
            </w:r>
          </w:p>
        </w:tc>
        <w:tc>
          <w:tcPr>
            <w:tcW w:w="0" w:type="dxa"/>
            <w:vAlign w:val="bottom"/>
          </w:tcPr>
          <w:p>
            <w:pPr>
              <w:spacing w:after="0"/>
              <w:rPr>
                <w:sz w:val="1"/>
                <w:szCs w:val="1"/>
                <w:color w:val="auto"/>
              </w:rPr>
            </w:pPr>
          </w:p>
        </w:tc>
      </w:tr>
      <w:tr>
        <w:trPr>
          <w:trHeight w:val="250"/>
        </w:trPr>
        <w:tc>
          <w:tcPr>
            <w:tcW w:w="3760" w:type="dxa"/>
            <w:vAlign w:val="bottom"/>
            <w:tcBorders>
              <w:top w:val="single" w:sz="8" w:color="CCEEFF"/>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Balance, January 1, 2018</w:t>
            </w:r>
          </w:p>
        </w:tc>
        <w:tc>
          <w:tcPr>
            <w:tcW w:w="112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466,702</w:t>
            </w:r>
          </w:p>
        </w:tc>
        <w:tc>
          <w:tcPr>
            <w:tcW w:w="160" w:type="dxa"/>
            <w:vAlign w:val="bottom"/>
            <w:tcBorders>
              <w:top w:val="single" w:sz="8" w:color="CCEEFF"/>
              <w:bottom w:val="single" w:sz="8" w:color="CCEEFF"/>
            </w:tcBorders>
            <w:shd w:val="clear" w:color="auto" w:fill="CCEEFF"/>
          </w:tcPr>
          <w:p>
            <w:pPr>
              <w:spacing w:after="0"/>
              <w:rPr>
                <w:sz w:val="21"/>
                <w:szCs w:val="21"/>
                <w:color w:val="auto"/>
              </w:rPr>
            </w:pPr>
          </w:p>
        </w:tc>
        <w:tc>
          <w:tcPr>
            <w:tcW w:w="120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$1.40</w:t>
            </w:r>
          </w:p>
        </w:tc>
        <w:tc>
          <w:tcPr>
            <w:tcW w:w="140" w:type="dxa"/>
            <w:vAlign w:val="bottom"/>
            <w:tcBorders>
              <w:top w:val="single" w:sz="8" w:color="CCEEFF"/>
              <w:bottom w:val="single" w:sz="8" w:color="CCEEFF"/>
            </w:tcBorders>
            <w:shd w:val="clear" w:color="auto" w:fill="CCEEFF"/>
          </w:tcPr>
          <w:p>
            <w:pPr>
              <w:spacing w:after="0"/>
              <w:rPr>
                <w:sz w:val="21"/>
                <w:szCs w:val="21"/>
                <w:color w:val="auto"/>
              </w:rPr>
            </w:pPr>
          </w:p>
        </w:tc>
        <w:tc>
          <w:tcPr>
            <w:tcW w:w="14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12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1,134,086</w:t>
            </w:r>
          </w:p>
        </w:tc>
        <w:tc>
          <w:tcPr>
            <w:tcW w:w="0" w:type="dxa"/>
            <w:vAlign w:val="bottom"/>
          </w:tcPr>
          <w:p>
            <w:pPr>
              <w:spacing w:after="0"/>
              <w:rPr>
                <w:sz w:val="1"/>
                <w:szCs w:val="1"/>
                <w:color w:val="auto"/>
              </w:rPr>
            </w:pPr>
          </w:p>
        </w:tc>
      </w:tr>
      <w:tr>
        <w:trPr>
          <w:trHeight w:val="243"/>
        </w:trPr>
        <w:tc>
          <w:tcPr>
            <w:tcW w:w="3760" w:type="dxa"/>
            <w:vAlign w:val="bottom"/>
          </w:tcPr>
          <w:p>
            <w:pPr>
              <w:ind w:left="100"/>
              <w:spacing w:after="0"/>
              <w:rPr>
                <w:sz w:val="20"/>
                <w:szCs w:val="20"/>
                <w:color w:val="auto"/>
              </w:rPr>
            </w:pPr>
            <w:r>
              <w:rPr>
                <w:rFonts w:ascii="Arial" w:cs="Arial" w:eastAsia="Arial" w:hAnsi="Arial"/>
                <w:sz w:val="18"/>
                <w:szCs w:val="18"/>
                <w:color w:val="auto"/>
              </w:rPr>
              <w:t>Granted</w:t>
            </w:r>
          </w:p>
        </w:tc>
        <w:tc>
          <w:tcPr>
            <w:tcW w:w="1120" w:type="dxa"/>
            <w:vAlign w:val="bottom"/>
          </w:tcPr>
          <w:p>
            <w:pPr>
              <w:jc w:val="right"/>
              <w:spacing w:after="0"/>
              <w:rPr>
                <w:sz w:val="20"/>
                <w:szCs w:val="20"/>
                <w:color w:val="auto"/>
              </w:rPr>
            </w:pPr>
            <w:r>
              <w:rPr>
                <w:rFonts w:ascii="Arial" w:cs="Arial" w:eastAsia="Arial" w:hAnsi="Arial"/>
                <w:sz w:val="18"/>
                <w:szCs w:val="18"/>
                <w:color w:val="auto"/>
              </w:rPr>
              <w:t>70,445</w:t>
            </w:r>
          </w:p>
        </w:tc>
        <w:tc>
          <w:tcPr>
            <w:tcW w:w="160" w:type="dxa"/>
            <w:vAlign w:val="bottom"/>
          </w:tcPr>
          <w:p>
            <w:pPr>
              <w:spacing w:after="0"/>
              <w:rPr>
                <w:sz w:val="21"/>
                <w:szCs w:val="21"/>
                <w:color w:val="auto"/>
              </w:rPr>
            </w:pPr>
          </w:p>
        </w:tc>
        <w:tc>
          <w:tcPr>
            <w:tcW w:w="1200" w:type="dxa"/>
            <w:vAlign w:val="bottom"/>
          </w:tcPr>
          <w:p>
            <w:pPr>
              <w:jc w:val="right"/>
              <w:spacing w:after="0"/>
              <w:rPr>
                <w:sz w:val="20"/>
                <w:szCs w:val="20"/>
                <w:color w:val="auto"/>
              </w:rPr>
            </w:pPr>
            <w:r>
              <w:rPr>
                <w:rFonts w:ascii="Arial" w:cs="Arial" w:eastAsia="Arial" w:hAnsi="Arial"/>
                <w:sz w:val="18"/>
                <w:szCs w:val="18"/>
                <w:color w:val="auto"/>
              </w:rPr>
              <w:t>$3.00</w:t>
            </w:r>
          </w:p>
        </w:tc>
        <w:tc>
          <w:tcPr>
            <w:tcW w:w="14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1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37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3760" w:type="dxa"/>
            <w:vAlign w:val="bottom"/>
            <w:tcBorders>
              <w:bottom w:val="single" w:sz="8" w:color="CCEEFF"/>
            </w:tcBorders>
            <w:shd w:val="clear" w:color="auto" w:fill="CCEEFF"/>
          </w:tcPr>
          <w:p>
            <w:pPr>
              <w:ind w:left="100"/>
              <w:spacing w:after="0"/>
              <w:rPr>
                <w:sz w:val="20"/>
                <w:szCs w:val="20"/>
                <w:color w:val="auto"/>
              </w:rPr>
            </w:pPr>
            <w:r>
              <w:rPr>
                <w:rFonts w:ascii="Arial" w:cs="Arial" w:eastAsia="Arial" w:hAnsi="Arial"/>
                <w:sz w:val="18"/>
                <w:szCs w:val="18"/>
                <w:color w:val="auto"/>
              </w:rPr>
              <w:t>Forfeitures</w:t>
            </w:r>
          </w:p>
        </w:tc>
        <w:tc>
          <w:tcPr>
            <w:tcW w:w="128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340" w:type="dxa"/>
            <w:vAlign w:val="bottom"/>
            <w:tcBorders>
              <w:bottom w:val="single" w:sz="8" w:color="CCEEFF"/>
            </w:tcBorders>
            <w:gridSpan w:val="2"/>
            <w:shd w:val="clear" w:color="auto" w:fill="CCEEFF"/>
          </w:tcPr>
          <w:p>
            <w:pPr>
              <w:ind w:left="940"/>
              <w:spacing w:after="0"/>
              <w:rPr>
                <w:sz w:val="20"/>
                <w:szCs w:val="20"/>
                <w:color w:val="auto"/>
              </w:rPr>
            </w:pPr>
            <w:r>
              <w:rPr>
                <w:rFonts w:ascii="Arial" w:cs="Arial" w:eastAsia="Arial" w:hAnsi="Arial"/>
                <w:sz w:val="18"/>
                <w:szCs w:val="18"/>
                <w:color w:val="auto"/>
              </w:rPr>
              <w:t>—</w:t>
            </w:r>
          </w:p>
        </w:tc>
        <w:tc>
          <w:tcPr>
            <w:tcW w:w="1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3760" w:type="dxa"/>
            <w:vAlign w:val="bottom"/>
          </w:tcPr>
          <w:p>
            <w:pPr>
              <w:ind w:left="100"/>
              <w:spacing w:after="0"/>
              <w:rPr>
                <w:sz w:val="20"/>
                <w:szCs w:val="20"/>
                <w:color w:val="auto"/>
              </w:rPr>
            </w:pPr>
            <w:r>
              <w:rPr>
                <w:rFonts w:ascii="Arial" w:cs="Arial" w:eastAsia="Arial" w:hAnsi="Arial"/>
                <w:sz w:val="18"/>
                <w:szCs w:val="18"/>
                <w:color w:val="auto"/>
              </w:rPr>
              <w:t>Converted</w:t>
            </w:r>
          </w:p>
        </w:tc>
        <w:tc>
          <w:tcPr>
            <w:tcW w:w="128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340" w:type="dxa"/>
            <w:vAlign w:val="bottom"/>
            <w:gridSpan w:val="2"/>
          </w:tcPr>
          <w:p>
            <w:pPr>
              <w:ind w:left="94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21"/>
                <w:szCs w:val="21"/>
                <w:color w:val="auto"/>
              </w:rPr>
            </w:pPr>
          </w:p>
        </w:tc>
        <w:tc>
          <w:tcPr>
            <w:tcW w:w="11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3760" w:type="dxa"/>
            <w:vAlign w:val="bottom"/>
            <w:tcBorders>
              <w:bottom w:val="single" w:sz="8" w:color="CCEEFF"/>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60" w:type="dxa"/>
            <w:vAlign w:val="bottom"/>
            <w:tcBorders>
              <w:bottom w:val="single" w:sz="8" w:color="CCEEFF"/>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4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57"/>
        </w:trPr>
        <w:tc>
          <w:tcPr>
            <w:tcW w:w="37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Balance, June 30, 2018</w:t>
            </w:r>
          </w:p>
        </w:tc>
        <w:tc>
          <w:tcPr>
            <w:tcW w:w="1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537,147</w:t>
            </w:r>
          </w:p>
        </w:tc>
        <w:tc>
          <w:tcPr>
            <w:tcW w:w="160" w:type="dxa"/>
            <w:vAlign w:val="bottom"/>
            <w:tcBorders>
              <w:bottom w:val="single" w:sz="8" w:color="CCEEFF"/>
            </w:tcBorders>
            <w:shd w:val="clear" w:color="auto" w:fill="CCEEFF"/>
          </w:tcPr>
          <w:p>
            <w:pPr>
              <w:spacing w:after="0"/>
              <w:rPr>
                <w:sz w:val="22"/>
                <w:szCs w:val="22"/>
                <w:color w:val="auto"/>
              </w:rPr>
            </w:pPr>
          </w:p>
        </w:tc>
        <w:tc>
          <w:tcPr>
            <w:tcW w:w="12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$1.61</w:t>
            </w:r>
          </w:p>
        </w:tc>
        <w:tc>
          <w:tcPr>
            <w:tcW w:w="140" w:type="dxa"/>
            <w:vAlign w:val="bottom"/>
            <w:tcBorders>
              <w:bottom w:val="single" w:sz="8" w:color="CCEEFF"/>
            </w:tcBorders>
            <w:shd w:val="clear" w:color="auto" w:fill="CCEEFF"/>
          </w:tcPr>
          <w:p>
            <w:pPr>
              <w:spacing w:after="0"/>
              <w:rPr>
                <w:sz w:val="22"/>
                <w:szCs w:val="22"/>
                <w:color w:val="auto"/>
              </w:rPr>
            </w:pP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1,600,698</w:t>
            </w:r>
          </w:p>
        </w:tc>
        <w:tc>
          <w:tcPr>
            <w:tcW w:w="0" w:type="dxa"/>
            <w:vAlign w:val="bottom"/>
          </w:tcPr>
          <w:p>
            <w:pPr>
              <w:spacing w:after="0"/>
              <w:rPr>
                <w:sz w:val="1"/>
                <w:szCs w:val="1"/>
                <w:color w:val="auto"/>
              </w:rPr>
            </w:pPr>
          </w:p>
        </w:tc>
      </w:tr>
      <w:tr>
        <w:trPr>
          <w:trHeight w:val="20"/>
        </w:trPr>
        <w:tc>
          <w:tcPr>
            <w:tcW w:w="3760" w:type="dxa"/>
            <w:vAlign w:val="bottom"/>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48" w:lineRule="exact"/>
        <w:rPr>
          <w:sz w:val="20"/>
          <w:szCs w:val="20"/>
          <w:color w:val="auto"/>
        </w:rPr>
      </w:pPr>
    </w:p>
    <w:p>
      <w:pPr>
        <w:ind w:left="420"/>
        <w:spacing w:after="0"/>
        <w:rPr>
          <w:sz w:val="20"/>
          <w:szCs w:val="20"/>
          <w:color w:val="auto"/>
        </w:rPr>
      </w:pPr>
      <w:r>
        <w:rPr>
          <w:rFonts w:ascii="Arial" w:cs="Arial" w:eastAsia="Arial" w:hAnsi="Arial"/>
          <w:sz w:val="18"/>
          <w:szCs w:val="18"/>
          <w:color w:val="auto"/>
        </w:rPr>
        <w:t>As of June 30, 2018, 48,859 of the outstanding stock units had not yet vested.</w:t>
      </w:r>
    </w:p>
    <w:p>
      <w:pPr>
        <w:spacing w:after="0" w:line="252" w:lineRule="exact"/>
        <w:rPr>
          <w:sz w:val="20"/>
          <w:szCs w:val="20"/>
          <w:color w:val="auto"/>
        </w:rPr>
      </w:pPr>
    </w:p>
    <w:p>
      <w:pPr>
        <w:ind w:left="5620"/>
        <w:spacing w:after="0"/>
        <w:rPr>
          <w:sz w:val="20"/>
          <w:szCs w:val="20"/>
          <w:color w:val="auto"/>
        </w:rPr>
      </w:pPr>
      <w:r>
        <w:rPr>
          <w:rFonts w:ascii="Arial" w:cs="Arial" w:eastAsia="Arial" w:hAnsi="Arial"/>
          <w:sz w:val="18"/>
          <w:szCs w:val="18"/>
          <w:color w:val="auto"/>
        </w:rPr>
        <w:t>18</w:t>
      </w:r>
    </w:p>
    <w:p>
      <w:pPr>
        <w:sectPr>
          <w:pgSz w:w="11900" w:h="16838" w:orient="portrait"/>
          <w:cols w:equalWidth="0" w:num="1">
            <w:col w:w="11420"/>
          </w:cols>
          <w:pgMar w:left="240" w:top="114" w:right="239" w:bottom="1440" w:gutter="0" w:footer="0" w:header="0"/>
        </w:sectPr>
      </w:pPr>
    </w:p>
    <w:bookmarkStart w:id="18" w:name="page19"/>
    <w:bookmarkEnd w:id="18"/>
    <w:p>
      <w:pPr>
        <w:spacing w:after="0"/>
        <w:rPr>
          <w:rFonts w:ascii="Arial" w:cs="Arial" w:eastAsia="Arial" w:hAnsi="Arial"/>
          <w:sz w:val="14"/>
          <w:szCs w:val="14"/>
          <w:b w:val="1"/>
          <w:bCs w:val="1"/>
          <w:u w:val="single" w:color="auto"/>
          <w:color w:val="0000EE"/>
        </w:rPr>
      </w:pPr>
      <w:hyperlink w:anchor="page2">
        <w:r>
          <w:rPr>
            <w:rFonts w:ascii="Arial" w:cs="Arial" w:eastAsia="Arial" w:hAnsi="Arial"/>
            <w:sz w:val="14"/>
            <w:szCs w:val="14"/>
            <w:b w:val="1"/>
            <w:bCs w:val="1"/>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84" w:lineRule="exact"/>
        <w:rPr>
          <w:sz w:val="20"/>
          <w:szCs w:val="20"/>
          <w:color w:val="auto"/>
        </w:rPr>
      </w:pPr>
    </w:p>
    <w:p>
      <w:pPr>
        <w:ind w:left="440"/>
        <w:spacing w:after="0"/>
        <w:rPr>
          <w:sz w:val="20"/>
          <w:szCs w:val="20"/>
          <w:color w:val="auto"/>
        </w:rPr>
      </w:pPr>
      <w:r>
        <w:rPr>
          <w:rFonts w:ascii="Arial" w:cs="Arial" w:eastAsia="Arial" w:hAnsi="Arial"/>
          <w:sz w:val="18"/>
          <w:szCs w:val="18"/>
          <w:color w:val="auto"/>
        </w:rPr>
        <w:t>The following table details our equity transactions during the six months ended June 30, 2018:</w:t>
      </w:r>
    </w:p>
    <w:p>
      <w:pPr>
        <w:spacing w:after="0" w:line="150"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1260" w:type="dxa"/>
            <w:vAlign w:val="bottom"/>
          </w:tcPr>
          <w:p>
            <w:pPr>
              <w:spacing w:after="0"/>
              <w:rPr>
                <w:sz w:val="14"/>
                <w:szCs w:val="14"/>
                <w:color w:val="auto"/>
              </w:rPr>
            </w:pPr>
          </w:p>
        </w:tc>
        <w:tc>
          <w:tcPr>
            <w:tcW w:w="10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1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0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260" w:type="dxa"/>
            <w:vAlign w:val="bottom"/>
          </w:tcPr>
          <w:p>
            <w:pPr>
              <w:jc w:val="center"/>
              <w:ind w:right="42"/>
              <w:spacing w:after="0"/>
              <w:rPr>
                <w:sz w:val="20"/>
                <w:szCs w:val="20"/>
                <w:color w:val="auto"/>
              </w:rPr>
            </w:pPr>
            <w:r>
              <w:rPr>
                <w:rFonts w:ascii="Arial" w:cs="Arial" w:eastAsia="Arial" w:hAnsi="Arial"/>
                <w:sz w:val="14"/>
                <w:szCs w:val="14"/>
                <w:b w:val="1"/>
                <w:bCs w:val="1"/>
                <w:color w:val="auto"/>
                <w:w w:val="96"/>
              </w:rPr>
              <w:t>Additional</w:t>
            </w:r>
          </w:p>
        </w:tc>
        <w:tc>
          <w:tcPr>
            <w:tcW w:w="1320" w:type="dxa"/>
            <w:vAlign w:val="bottom"/>
            <w:vMerge w:val="restart"/>
          </w:tcPr>
          <w:p>
            <w:pPr>
              <w:jc w:val="right"/>
              <w:ind w:right="180"/>
              <w:spacing w:after="0"/>
              <w:rPr>
                <w:sz w:val="20"/>
                <w:szCs w:val="20"/>
                <w:color w:val="auto"/>
              </w:rPr>
            </w:pPr>
            <w:r>
              <w:rPr>
                <w:rFonts w:ascii="Arial" w:cs="Arial" w:eastAsia="Arial" w:hAnsi="Arial"/>
                <w:sz w:val="14"/>
                <w:szCs w:val="14"/>
                <w:b w:val="1"/>
                <w:bCs w:val="1"/>
                <w:color w:val="auto"/>
              </w:rPr>
              <w:t>Accumulated</w:t>
            </w:r>
          </w:p>
        </w:tc>
        <w:tc>
          <w:tcPr>
            <w:tcW w:w="10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9"/>
        </w:trPr>
        <w:tc>
          <w:tcPr>
            <w:tcW w:w="1260" w:type="dxa"/>
            <w:vAlign w:val="bottom"/>
          </w:tcPr>
          <w:p>
            <w:pPr>
              <w:spacing w:after="0"/>
              <w:rPr>
                <w:sz w:val="12"/>
                <w:szCs w:val="12"/>
                <w:color w:val="auto"/>
              </w:rPr>
            </w:pPr>
          </w:p>
        </w:tc>
        <w:tc>
          <w:tcPr>
            <w:tcW w:w="1980" w:type="dxa"/>
            <w:vAlign w:val="bottom"/>
            <w:gridSpan w:val="4"/>
            <w:vMerge w:val="restart"/>
          </w:tcPr>
          <w:p>
            <w:pPr>
              <w:ind w:left="460"/>
              <w:spacing w:after="0"/>
              <w:rPr>
                <w:sz w:val="20"/>
                <w:szCs w:val="20"/>
                <w:color w:val="auto"/>
              </w:rPr>
            </w:pPr>
            <w:r>
              <w:rPr>
                <w:rFonts w:ascii="Arial" w:cs="Arial" w:eastAsia="Arial" w:hAnsi="Arial"/>
                <w:sz w:val="14"/>
                <w:szCs w:val="14"/>
                <w:b w:val="1"/>
                <w:bCs w:val="1"/>
                <w:color w:val="auto"/>
              </w:rPr>
              <w:t>Preferred Stock</w:t>
            </w:r>
          </w:p>
        </w:tc>
        <w:tc>
          <w:tcPr>
            <w:tcW w:w="2200" w:type="dxa"/>
            <w:vAlign w:val="bottom"/>
            <w:gridSpan w:val="4"/>
            <w:vMerge w:val="restart"/>
          </w:tcPr>
          <w:p>
            <w:pPr>
              <w:ind w:left="580"/>
              <w:spacing w:after="0"/>
              <w:rPr>
                <w:sz w:val="20"/>
                <w:szCs w:val="20"/>
                <w:color w:val="auto"/>
              </w:rPr>
            </w:pPr>
            <w:r>
              <w:rPr>
                <w:rFonts w:ascii="Arial" w:cs="Arial" w:eastAsia="Arial" w:hAnsi="Arial"/>
                <w:sz w:val="14"/>
                <w:szCs w:val="14"/>
                <w:b w:val="1"/>
                <w:bCs w:val="1"/>
                <w:color w:val="auto"/>
              </w:rPr>
              <w:t>Common Stock</w:t>
            </w:r>
          </w:p>
        </w:tc>
        <w:tc>
          <w:tcPr>
            <w:tcW w:w="2340" w:type="dxa"/>
            <w:vAlign w:val="bottom"/>
            <w:gridSpan w:val="4"/>
            <w:vMerge w:val="restart"/>
          </w:tcPr>
          <w:p>
            <w:pPr>
              <w:ind w:left="660"/>
              <w:spacing w:after="0"/>
              <w:rPr>
                <w:sz w:val="20"/>
                <w:szCs w:val="20"/>
                <w:color w:val="auto"/>
              </w:rPr>
            </w:pPr>
            <w:r>
              <w:rPr>
                <w:rFonts w:ascii="Arial" w:cs="Arial" w:eastAsia="Arial" w:hAnsi="Arial"/>
                <w:sz w:val="14"/>
                <w:szCs w:val="14"/>
                <w:b w:val="1"/>
                <w:bCs w:val="1"/>
                <w:color w:val="auto"/>
              </w:rPr>
              <w:t>Treasury Stock</w:t>
            </w:r>
          </w:p>
        </w:tc>
        <w:tc>
          <w:tcPr>
            <w:tcW w:w="1260" w:type="dxa"/>
            <w:vAlign w:val="bottom"/>
          </w:tcPr>
          <w:p>
            <w:pPr>
              <w:jc w:val="center"/>
              <w:ind w:right="42"/>
              <w:spacing w:after="0" w:line="149" w:lineRule="exact"/>
              <w:rPr>
                <w:sz w:val="20"/>
                <w:szCs w:val="20"/>
                <w:color w:val="auto"/>
              </w:rPr>
            </w:pPr>
            <w:r>
              <w:rPr>
                <w:rFonts w:ascii="Arial" w:cs="Arial" w:eastAsia="Arial" w:hAnsi="Arial"/>
                <w:sz w:val="14"/>
                <w:szCs w:val="14"/>
                <w:b w:val="1"/>
                <w:bCs w:val="1"/>
                <w:color w:val="auto"/>
                <w:w w:val="98"/>
              </w:rPr>
              <w:t>Paid-in</w:t>
            </w:r>
          </w:p>
        </w:tc>
        <w:tc>
          <w:tcPr>
            <w:tcW w:w="1320" w:type="dxa"/>
            <w:vAlign w:val="bottom"/>
            <w:vMerge w:val="continue"/>
          </w:tcPr>
          <w:p>
            <w:pPr>
              <w:spacing w:after="0"/>
              <w:rPr>
                <w:sz w:val="12"/>
                <w:szCs w:val="12"/>
                <w:color w:val="auto"/>
              </w:rPr>
            </w:pPr>
          </w:p>
        </w:tc>
        <w:tc>
          <w:tcPr>
            <w:tcW w:w="1000" w:type="dxa"/>
            <w:vAlign w:val="bottom"/>
            <w:vMerge w:val="restart"/>
          </w:tcPr>
          <w:p>
            <w:pPr>
              <w:jc w:val="right"/>
              <w:ind w:right="260"/>
              <w:spacing w:after="0"/>
              <w:rPr>
                <w:sz w:val="20"/>
                <w:szCs w:val="20"/>
                <w:color w:val="auto"/>
              </w:rPr>
            </w:pPr>
            <w:r>
              <w:rPr>
                <w:rFonts w:ascii="Arial" w:cs="Arial" w:eastAsia="Arial" w:hAnsi="Arial"/>
                <w:sz w:val="14"/>
                <w:szCs w:val="14"/>
                <w:b w:val="1"/>
                <w:bCs w:val="1"/>
                <w:color w:val="auto"/>
              </w:rPr>
              <w:t>Total</w:t>
            </w:r>
          </w:p>
        </w:tc>
        <w:tc>
          <w:tcPr>
            <w:tcW w:w="0" w:type="dxa"/>
            <w:vAlign w:val="bottom"/>
          </w:tcPr>
          <w:p>
            <w:pPr>
              <w:spacing w:after="0"/>
              <w:rPr>
                <w:sz w:val="1"/>
                <w:szCs w:val="1"/>
                <w:color w:val="auto"/>
              </w:rPr>
            </w:pPr>
          </w:p>
        </w:tc>
      </w:tr>
      <w:tr>
        <w:trPr>
          <w:trHeight w:val="192"/>
        </w:trPr>
        <w:tc>
          <w:tcPr>
            <w:tcW w:w="1260" w:type="dxa"/>
            <w:vAlign w:val="bottom"/>
          </w:tcPr>
          <w:p>
            <w:pPr>
              <w:spacing w:after="0"/>
              <w:rPr>
                <w:sz w:val="16"/>
                <w:szCs w:val="16"/>
                <w:color w:val="auto"/>
              </w:rPr>
            </w:pPr>
          </w:p>
        </w:tc>
        <w:tc>
          <w:tcPr>
            <w:tcW w:w="1980" w:type="dxa"/>
            <w:vAlign w:val="bottom"/>
            <w:gridSpan w:val="4"/>
            <w:vMerge w:val="continue"/>
          </w:tcPr>
          <w:p>
            <w:pPr>
              <w:spacing w:after="0"/>
              <w:rPr>
                <w:sz w:val="16"/>
                <w:szCs w:val="16"/>
                <w:color w:val="auto"/>
              </w:rPr>
            </w:pPr>
          </w:p>
        </w:tc>
        <w:tc>
          <w:tcPr>
            <w:tcW w:w="2200" w:type="dxa"/>
            <w:vAlign w:val="bottom"/>
            <w:gridSpan w:val="4"/>
            <w:vMerge w:val="continue"/>
          </w:tcPr>
          <w:p>
            <w:pPr>
              <w:spacing w:after="0"/>
              <w:rPr>
                <w:sz w:val="16"/>
                <w:szCs w:val="16"/>
                <w:color w:val="auto"/>
              </w:rPr>
            </w:pPr>
          </w:p>
        </w:tc>
        <w:tc>
          <w:tcPr>
            <w:tcW w:w="2340" w:type="dxa"/>
            <w:vAlign w:val="bottom"/>
            <w:gridSpan w:val="4"/>
            <w:vMerge w:val="continue"/>
          </w:tcPr>
          <w:p>
            <w:pPr>
              <w:spacing w:after="0"/>
              <w:rPr>
                <w:sz w:val="16"/>
                <w:szCs w:val="16"/>
                <w:color w:val="auto"/>
              </w:rPr>
            </w:pPr>
          </w:p>
        </w:tc>
        <w:tc>
          <w:tcPr>
            <w:tcW w:w="1260" w:type="dxa"/>
            <w:vAlign w:val="bottom"/>
          </w:tcPr>
          <w:p>
            <w:pPr>
              <w:jc w:val="center"/>
              <w:ind w:right="42"/>
              <w:spacing w:after="0"/>
              <w:rPr>
                <w:sz w:val="20"/>
                <w:szCs w:val="20"/>
                <w:color w:val="auto"/>
              </w:rPr>
            </w:pPr>
            <w:r>
              <w:rPr>
                <w:rFonts w:ascii="Arial" w:cs="Arial" w:eastAsia="Arial" w:hAnsi="Arial"/>
                <w:sz w:val="14"/>
                <w:szCs w:val="14"/>
                <w:b w:val="1"/>
                <w:bCs w:val="1"/>
                <w:color w:val="auto"/>
                <w:w w:val="98"/>
              </w:rPr>
              <w:t>Capital</w:t>
            </w:r>
          </w:p>
        </w:tc>
        <w:tc>
          <w:tcPr>
            <w:tcW w:w="1320" w:type="dxa"/>
            <w:vAlign w:val="bottom"/>
          </w:tcPr>
          <w:p>
            <w:pPr>
              <w:jc w:val="right"/>
              <w:ind w:right="400"/>
              <w:spacing w:after="0"/>
              <w:rPr>
                <w:sz w:val="20"/>
                <w:szCs w:val="20"/>
                <w:color w:val="auto"/>
              </w:rPr>
            </w:pPr>
            <w:r>
              <w:rPr>
                <w:rFonts w:ascii="Arial" w:cs="Arial" w:eastAsia="Arial" w:hAnsi="Arial"/>
                <w:sz w:val="14"/>
                <w:szCs w:val="14"/>
                <w:b w:val="1"/>
                <w:bCs w:val="1"/>
                <w:color w:val="auto"/>
              </w:rPr>
              <w:t>Deficit</w:t>
            </w:r>
          </w:p>
        </w:tc>
        <w:tc>
          <w:tcPr>
            <w:tcW w:w="1000" w:type="dxa"/>
            <w:vAlign w:val="bottom"/>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264"/>
        </w:trPr>
        <w:tc>
          <w:tcPr>
            <w:tcW w:w="1260" w:type="dxa"/>
            <w:vAlign w:val="bottom"/>
          </w:tcPr>
          <w:p>
            <w:pPr>
              <w:spacing w:after="0"/>
              <w:rPr>
                <w:sz w:val="22"/>
                <w:szCs w:val="22"/>
                <w:color w:val="auto"/>
              </w:rPr>
            </w:pPr>
          </w:p>
        </w:tc>
        <w:tc>
          <w:tcPr>
            <w:tcW w:w="1160" w:type="dxa"/>
            <w:vAlign w:val="bottom"/>
            <w:tcBorders>
              <w:top w:val="single" w:sz="8" w:color="auto"/>
            </w:tcBorders>
            <w:gridSpan w:val="2"/>
          </w:tcPr>
          <w:p>
            <w:pPr>
              <w:ind w:left="320"/>
              <w:spacing w:after="0"/>
              <w:rPr>
                <w:sz w:val="20"/>
                <w:szCs w:val="20"/>
                <w:color w:val="auto"/>
              </w:rPr>
            </w:pPr>
            <w:r>
              <w:rPr>
                <w:rFonts w:ascii="Arial" w:cs="Arial" w:eastAsia="Arial" w:hAnsi="Arial"/>
                <w:sz w:val="14"/>
                <w:szCs w:val="14"/>
                <w:b w:val="1"/>
                <w:bCs w:val="1"/>
                <w:color w:val="auto"/>
              </w:rPr>
              <w:t>Shares</w:t>
            </w:r>
          </w:p>
        </w:tc>
        <w:tc>
          <w:tcPr>
            <w:tcW w:w="700" w:type="dxa"/>
            <w:vAlign w:val="bottom"/>
            <w:tcBorders>
              <w:top w:val="single" w:sz="8" w:color="auto"/>
            </w:tcBorders>
          </w:tcPr>
          <w:p>
            <w:pPr>
              <w:jc w:val="right"/>
              <w:ind w:right="219"/>
              <w:spacing w:after="0"/>
              <w:rPr>
                <w:sz w:val="20"/>
                <w:szCs w:val="20"/>
                <w:color w:val="auto"/>
              </w:rPr>
            </w:pPr>
            <w:r>
              <w:rPr>
                <w:rFonts w:ascii="Arial" w:cs="Arial" w:eastAsia="Arial" w:hAnsi="Arial"/>
                <w:sz w:val="14"/>
                <w:szCs w:val="14"/>
                <w:b w:val="1"/>
                <w:bCs w:val="1"/>
                <w:color w:val="auto"/>
              </w:rPr>
              <w:t>$</w:t>
            </w:r>
          </w:p>
        </w:tc>
        <w:tc>
          <w:tcPr>
            <w:tcW w:w="120" w:type="dxa"/>
            <w:vAlign w:val="bottom"/>
          </w:tcPr>
          <w:p>
            <w:pPr>
              <w:spacing w:after="0"/>
              <w:rPr>
                <w:sz w:val="22"/>
                <w:szCs w:val="22"/>
                <w:color w:val="auto"/>
              </w:rPr>
            </w:pPr>
          </w:p>
        </w:tc>
        <w:tc>
          <w:tcPr>
            <w:tcW w:w="1280" w:type="dxa"/>
            <w:vAlign w:val="bottom"/>
            <w:tcBorders>
              <w:top w:val="single" w:sz="8" w:color="auto"/>
            </w:tcBorders>
            <w:gridSpan w:val="2"/>
          </w:tcPr>
          <w:p>
            <w:pPr>
              <w:ind w:left="380"/>
              <w:spacing w:after="0"/>
              <w:rPr>
                <w:sz w:val="20"/>
                <w:szCs w:val="20"/>
                <w:color w:val="auto"/>
              </w:rPr>
            </w:pPr>
            <w:r>
              <w:rPr>
                <w:rFonts w:ascii="Arial" w:cs="Arial" w:eastAsia="Arial" w:hAnsi="Arial"/>
                <w:sz w:val="14"/>
                <w:szCs w:val="14"/>
                <w:b w:val="1"/>
                <w:bCs w:val="1"/>
                <w:color w:val="auto"/>
              </w:rPr>
              <w:t>Shares</w:t>
            </w:r>
          </w:p>
        </w:tc>
        <w:tc>
          <w:tcPr>
            <w:tcW w:w="800" w:type="dxa"/>
            <w:vAlign w:val="bottom"/>
            <w:tcBorders>
              <w:top w:val="single" w:sz="8" w:color="auto"/>
            </w:tcBorders>
          </w:tcPr>
          <w:p>
            <w:pPr>
              <w:jc w:val="right"/>
              <w:ind w:right="280"/>
              <w:spacing w:after="0"/>
              <w:rPr>
                <w:sz w:val="20"/>
                <w:szCs w:val="20"/>
                <w:color w:val="auto"/>
              </w:rPr>
            </w:pPr>
            <w:r>
              <w:rPr>
                <w:rFonts w:ascii="Arial" w:cs="Arial" w:eastAsia="Arial" w:hAnsi="Arial"/>
                <w:sz w:val="14"/>
                <w:szCs w:val="14"/>
                <w:b w:val="1"/>
                <w:bCs w:val="1"/>
                <w:color w:val="auto"/>
              </w:rPr>
              <w:t>$</w:t>
            </w:r>
          </w:p>
        </w:tc>
        <w:tc>
          <w:tcPr>
            <w:tcW w:w="120" w:type="dxa"/>
            <w:vAlign w:val="bottom"/>
          </w:tcPr>
          <w:p>
            <w:pPr>
              <w:spacing w:after="0"/>
              <w:rPr>
                <w:sz w:val="22"/>
                <w:szCs w:val="22"/>
                <w:color w:val="auto"/>
              </w:rPr>
            </w:pPr>
          </w:p>
        </w:tc>
        <w:tc>
          <w:tcPr>
            <w:tcW w:w="1120" w:type="dxa"/>
            <w:vAlign w:val="bottom"/>
            <w:tcBorders>
              <w:top w:val="single" w:sz="8" w:color="auto"/>
            </w:tcBorders>
            <w:gridSpan w:val="2"/>
          </w:tcPr>
          <w:p>
            <w:pPr>
              <w:ind w:left="300"/>
              <w:spacing w:after="0"/>
              <w:rPr>
                <w:sz w:val="20"/>
                <w:szCs w:val="20"/>
                <w:color w:val="auto"/>
              </w:rPr>
            </w:pPr>
            <w:r>
              <w:rPr>
                <w:rFonts w:ascii="Arial" w:cs="Arial" w:eastAsia="Arial" w:hAnsi="Arial"/>
                <w:sz w:val="14"/>
                <w:szCs w:val="14"/>
                <w:b w:val="1"/>
                <w:bCs w:val="1"/>
                <w:color w:val="auto"/>
              </w:rPr>
              <w:t>Shares</w:t>
            </w:r>
          </w:p>
        </w:tc>
        <w:tc>
          <w:tcPr>
            <w:tcW w:w="1120" w:type="dxa"/>
            <w:vAlign w:val="bottom"/>
            <w:tcBorders>
              <w:top w:val="single" w:sz="8" w:color="auto"/>
            </w:tcBorders>
          </w:tcPr>
          <w:p>
            <w:pPr>
              <w:jc w:val="right"/>
              <w:ind w:right="440"/>
              <w:spacing w:after="0"/>
              <w:rPr>
                <w:sz w:val="20"/>
                <w:szCs w:val="20"/>
                <w:color w:val="auto"/>
              </w:rPr>
            </w:pPr>
            <w:r>
              <w:rPr>
                <w:rFonts w:ascii="Arial" w:cs="Arial" w:eastAsia="Arial" w:hAnsi="Arial"/>
                <w:sz w:val="14"/>
                <w:szCs w:val="14"/>
                <w:b w:val="1"/>
                <w:bCs w:val="1"/>
                <w:color w:val="auto"/>
              </w:rPr>
              <w:t>$</w:t>
            </w:r>
          </w:p>
        </w:tc>
        <w:tc>
          <w:tcPr>
            <w:tcW w:w="100" w:type="dxa"/>
            <w:vAlign w:val="bottom"/>
          </w:tcPr>
          <w:p>
            <w:pPr>
              <w:spacing w:after="0"/>
              <w:rPr>
                <w:sz w:val="22"/>
                <w:szCs w:val="22"/>
                <w:color w:val="auto"/>
              </w:rPr>
            </w:pPr>
          </w:p>
        </w:tc>
        <w:tc>
          <w:tcPr>
            <w:tcW w:w="1260" w:type="dxa"/>
            <w:vAlign w:val="bottom"/>
            <w:tcBorders>
              <w:top w:val="single" w:sz="8" w:color="auto"/>
            </w:tcBorders>
          </w:tcPr>
          <w:p>
            <w:pPr>
              <w:jc w:val="center"/>
              <w:ind w:right="42"/>
              <w:spacing w:after="0"/>
              <w:rPr>
                <w:sz w:val="20"/>
                <w:szCs w:val="20"/>
                <w:color w:val="auto"/>
              </w:rPr>
            </w:pPr>
            <w:r>
              <w:rPr>
                <w:rFonts w:ascii="Arial" w:cs="Arial" w:eastAsia="Arial" w:hAnsi="Arial"/>
                <w:sz w:val="14"/>
                <w:szCs w:val="14"/>
                <w:b w:val="1"/>
                <w:bCs w:val="1"/>
                <w:color w:val="auto"/>
                <w:w w:val="76"/>
              </w:rPr>
              <w:t>$</w:t>
            </w:r>
          </w:p>
        </w:tc>
        <w:tc>
          <w:tcPr>
            <w:tcW w:w="1320" w:type="dxa"/>
            <w:vAlign w:val="bottom"/>
            <w:tcBorders>
              <w:top w:val="single" w:sz="8" w:color="auto"/>
            </w:tcBorders>
          </w:tcPr>
          <w:p>
            <w:pPr>
              <w:spacing w:after="0"/>
              <w:rPr>
                <w:sz w:val="22"/>
                <w:szCs w:val="22"/>
                <w:color w:val="auto"/>
              </w:rPr>
            </w:pPr>
          </w:p>
        </w:tc>
        <w:tc>
          <w:tcPr>
            <w:tcW w:w="1000" w:type="dxa"/>
            <w:vAlign w:val="bottom"/>
            <w:tcBorders>
              <w:top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06"/>
        </w:trPr>
        <w:tc>
          <w:tcPr>
            <w:tcW w:w="1260" w:type="dxa"/>
            <w:vAlign w:val="bottom"/>
            <w:tcBorders>
              <w:top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Balance at</w:t>
            </w:r>
          </w:p>
        </w:tc>
        <w:tc>
          <w:tcPr>
            <w:tcW w:w="1040" w:type="dxa"/>
            <w:vAlign w:val="bottom"/>
            <w:tcBorders>
              <w:top w:val="single" w:sz="8" w:color="auto"/>
            </w:tcBorders>
            <w:shd w:val="clear" w:color="auto" w:fill="CCEEFF"/>
          </w:tcPr>
          <w:p>
            <w:pPr>
              <w:spacing w:after="0"/>
              <w:rPr>
                <w:sz w:val="17"/>
                <w:szCs w:val="17"/>
                <w:color w:val="auto"/>
              </w:rPr>
            </w:pPr>
          </w:p>
        </w:tc>
        <w:tc>
          <w:tcPr>
            <w:tcW w:w="120" w:type="dxa"/>
            <w:vAlign w:val="bottom"/>
            <w:tcBorders>
              <w:top w:val="single" w:sz="8" w:color="CCEEFF"/>
            </w:tcBorders>
            <w:shd w:val="clear" w:color="auto" w:fill="CCEEFF"/>
          </w:tcPr>
          <w:p>
            <w:pPr>
              <w:spacing w:after="0"/>
              <w:rPr>
                <w:sz w:val="17"/>
                <w:szCs w:val="17"/>
                <w:color w:val="auto"/>
              </w:rPr>
            </w:pPr>
          </w:p>
        </w:tc>
        <w:tc>
          <w:tcPr>
            <w:tcW w:w="700" w:type="dxa"/>
            <w:vAlign w:val="bottom"/>
            <w:tcBorders>
              <w:top w:val="single" w:sz="8" w:color="auto"/>
            </w:tcBorders>
            <w:shd w:val="clear" w:color="auto" w:fill="CCEEFF"/>
          </w:tcPr>
          <w:p>
            <w:pPr>
              <w:spacing w:after="0"/>
              <w:rPr>
                <w:sz w:val="17"/>
                <w:szCs w:val="17"/>
                <w:color w:val="auto"/>
              </w:rPr>
            </w:pPr>
          </w:p>
        </w:tc>
        <w:tc>
          <w:tcPr>
            <w:tcW w:w="120" w:type="dxa"/>
            <w:vAlign w:val="bottom"/>
            <w:tcBorders>
              <w:top w:val="single" w:sz="8" w:color="CCEEFF"/>
            </w:tcBorders>
            <w:shd w:val="clear" w:color="auto" w:fill="CCEEFF"/>
          </w:tcPr>
          <w:p>
            <w:pPr>
              <w:spacing w:after="0"/>
              <w:rPr>
                <w:sz w:val="17"/>
                <w:szCs w:val="17"/>
                <w:color w:val="auto"/>
              </w:rPr>
            </w:pPr>
          </w:p>
        </w:tc>
        <w:tc>
          <w:tcPr>
            <w:tcW w:w="1160" w:type="dxa"/>
            <w:vAlign w:val="bottom"/>
            <w:tcBorders>
              <w:top w:val="single" w:sz="8" w:color="auto"/>
            </w:tcBorders>
            <w:shd w:val="clear" w:color="auto" w:fill="CCEEFF"/>
          </w:tcPr>
          <w:p>
            <w:pPr>
              <w:spacing w:after="0"/>
              <w:rPr>
                <w:sz w:val="17"/>
                <w:szCs w:val="17"/>
                <w:color w:val="auto"/>
              </w:rPr>
            </w:pPr>
          </w:p>
        </w:tc>
        <w:tc>
          <w:tcPr>
            <w:tcW w:w="120" w:type="dxa"/>
            <w:vAlign w:val="bottom"/>
            <w:tcBorders>
              <w:top w:val="single" w:sz="8" w:color="CCEEFF"/>
            </w:tcBorders>
            <w:shd w:val="clear" w:color="auto" w:fill="CCEEFF"/>
          </w:tcPr>
          <w:p>
            <w:pPr>
              <w:spacing w:after="0"/>
              <w:rPr>
                <w:sz w:val="17"/>
                <w:szCs w:val="17"/>
                <w:color w:val="auto"/>
              </w:rPr>
            </w:pPr>
          </w:p>
        </w:tc>
        <w:tc>
          <w:tcPr>
            <w:tcW w:w="800" w:type="dxa"/>
            <w:vAlign w:val="bottom"/>
            <w:tcBorders>
              <w:top w:val="single" w:sz="8" w:color="auto"/>
            </w:tcBorders>
            <w:shd w:val="clear" w:color="auto" w:fill="CCEEFF"/>
          </w:tcPr>
          <w:p>
            <w:pPr>
              <w:spacing w:after="0"/>
              <w:rPr>
                <w:sz w:val="17"/>
                <w:szCs w:val="17"/>
                <w:color w:val="auto"/>
              </w:rPr>
            </w:pPr>
          </w:p>
        </w:tc>
        <w:tc>
          <w:tcPr>
            <w:tcW w:w="120" w:type="dxa"/>
            <w:vAlign w:val="bottom"/>
            <w:tcBorders>
              <w:top w:val="single" w:sz="8" w:color="CCEEFF"/>
            </w:tcBorders>
            <w:shd w:val="clear" w:color="auto" w:fill="CCEEFF"/>
          </w:tcPr>
          <w:p>
            <w:pPr>
              <w:spacing w:after="0"/>
              <w:rPr>
                <w:sz w:val="17"/>
                <w:szCs w:val="17"/>
                <w:color w:val="auto"/>
              </w:rPr>
            </w:pPr>
          </w:p>
        </w:tc>
        <w:tc>
          <w:tcPr>
            <w:tcW w:w="1020" w:type="dxa"/>
            <w:vAlign w:val="bottom"/>
            <w:tcBorders>
              <w:top w:val="single" w:sz="8" w:color="auto"/>
            </w:tcBorders>
            <w:shd w:val="clear" w:color="auto" w:fill="CCEEFF"/>
          </w:tcPr>
          <w:p>
            <w:pPr>
              <w:spacing w:after="0"/>
              <w:rPr>
                <w:sz w:val="17"/>
                <w:szCs w:val="17"/>
                <w:color w:val="auto"/>
              </w:rPr>
            </w:pPr>
          </w:p>
        </w:tc>
        <w:tc>
          <w:tcPr>
            <w:tcW w:w="100" w:type="dxa"/>
            <w:vAlign w:val="bottom"/>
            <w:tcBorders>
              <w:top w:val="single" w:sz="8" w:color="CCEEFF"/>
            </w:tcBorders>
            <w:shd w:val="clear" w:color="auto" w:fill="CCEEFF"/>
          </w:tcPr>
          <w:p>
            <w:pPr>
              <w:spacing w:after="0"/>
              <w:rPr>
                <w:sz w:val="17"/>
                <w:szCs w:val="17"/>
                <w:color w:val="auto"/>
              </w:rPr>
            </w:pPr>
          </w:p>
        </w:tc>
        <w:tc>
          <w:tcPr>
            <w:tcW w:w="1120" w:type="dxa"/>
            <w:vAlign w:val="bottom"/>
            <w:tcBorders>
              <w:top w:val="single" w:sz="8" w:color="auto"/>
            </w:tcBorders>
            <w:shd w:val="clear" w:color="auto" w:fill="CCEEFF"/>
          </w:tcPr>
          <w:p>
            <w:pPr>
              <w:spacing w:after="0"/>
              <w:rPr>
                <w:sz w:val="17"/>
                <w:szCs w:val="17"/>
                <w:color w:val="auto"/>
              </w:rPr>
            </w:pPr>
          </w:p>
        </w:tc>
        <w:tc>
          <w:tcPr>
            <w:tcW w:w="100" w:type="dxa"/>
            <w:vAlign w:val="bottom"/>
            <w:tcBorders>
              <w:top w:val="single" w:sz="8" w:color="CCEEFF"/>
            </w:tcBorders>
            <w:shd w:val="clear" w:color="auto" w:fill="CCEEFF"/>
          </w:tcPr>
          <w:p>
            <w:pPr>
              <w:spacing w:after="0"/>
              <w:rPr>
                <w:sz w:val="17"/>
                <w:szCs w:val="17"/>
                <w:color w:val="auto"/>
              </w:rPr>
            </w:pPr>
          </w:p>
        </w:tc>
        <w:tc>
          <w:tcPr>
            <w:tcW w:w="1260" w:type="dxa"/>
            <w:vAlign w:val="bottom"/>
            <w:tcBorders>
              <w:top w:val="single" w:sz="8" w:color="auto"/>
            </w:tcBorders>
            <w:shd w:val="clear" w:color="auto" w:fill="CCEEFF"/>
          </w:tcPr>
          <w:p>
            <w:pPr>
              <w:spacing w:after="0"/>
              <w:rPr>
                <w:sz w:val="17"/>
                <w:szCs w:val="17"/>
                <w:color w:val="auto"/>
              </w:rPr>
            </w:pPr>
          </w:p>
        </w:tc>
        <w:tc>
          <w:tcPr>
            <w:tcW w:w="1320" w:type="dxa"/>
            <w:vAlign w:val="bottom"/>
            <w:tcBorders>
              <w:top w:val="single" w:sz="8" w:color="auto"/>
            </w:tcBorders>
            <w:shd w:val="clear" w:color="auto" w:fill="CCEEFF"/>
          </w:tcPr>
          <w:p>
            <w:pPr>
              <w:spacing w:after="0"/>
              <w:rPr>
                <w:sz w:val="17"/>
                <w:szCs w:val="17"/>
                <w:color w:val="auto"/>
              </w:rPr>
            </w:pPr>
          </w:p>
        </w:tc>
        <w:tc>
          <w:tcPr>
            <w:tcW w:w="1000" w:type="dxa"/>
            <w:vAlign w:val="bottom"/>
            <w:tcBorders>
              <w:top w:val="single" w:sz="8" w:color="auto"/>
            </w:tcBorders>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1260" w:type="dxa"/>
            <w:vAlign w:val="bottom"/>
            <w:shd w:val="clear" w:color="auto" w:fill="CCEEFF"/>
          </w:tcPr>
          <w:p>
            <w:pPr>
              <w:ind w:left="40"/>
              <w:spacing w:after="0"/>
              <w:rPr>
                <w:sz w:val="20"/>
                <w:szCs w:val="20"/>
                <w:color w:val="auto"/>
              </w:rPr>
            </w:pPr>
            <w:r>
              <w:rPr>
                <w:rFonts w:ascii="Arial" w:cs="Arial" w:eastAsia="Arial" w:hAnsi="Arial"/>
                <w:sz w:val="16"/>
                <w:szCs w:val="16"/>
                <w:color w:val="auto"/>
              </w:rPr>
              <w:t>January 1, 2018,</w:t>
            </w:r>
          </w:p>
        </w:tc>
        <w:tc>
          <w:tcPr>
            <w:tcW w:w="104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70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16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80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0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1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260" w:type="dxa"/>
            <w:vAlign w:val="bottom"/>
            <w:shd w:val="clear" w:color="auto" w:fill="CCEEFF"/>
          </w:tcPr>
          <w:p>
            <w:pPr>
              <w:spacing w:after="0"/>
              <w:rPr>
                <w:sz w:val="17"/>
                <w:szCs w:val="17"/>
                <w:color w:val="auto"/>
              </w:rPr>
            </w:pPr>
          </w:p>
        </w:tc>
        <w:tc>
          <w:tcPr>
            <w:tcW w:w="1320" w:type="dxa"/>
            <w:vAlign w:val="bottom"/>
            <w:shd w:val="clear" w:color="auto" w:fill="CCEEFF"/>
          </w:tcPr>
          <w:p>
            <w:pPr>
              <w:spacing w:after="0"/>
              <w:rPr>
                <w:sz w:val="17"/>
                <w:szCs w:val="17"/>
                <w:color w:val="auto"/>
              </w:rPr>
            </w:pPr>
          </w:p>
        </w:tc>
        <w:tc>
          <w:tcPr>
            <w:tcW w:w="100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1260" w:type="dxa"/>
            <w:vAlign w:val="bottom"/>
            <w:shd w:val="clear" w:color="auto" w:fill="CCEEFF"/>
          </w:tcPr>
          <w:p>
            <w:pPr>
              <w:ind w:left="40"/>
              <w:spacing w:after="0"/>
              <w:rPr>
                <w:sz w:val="20"/>
                <w:szCs w:val="20"/>
                <w:color w:val="auto"/>
              </w:rPr>
            </w:pPr>
            <w:r>
              <w:rPr>
                <w:rFonts w:ascii="Arial" w:cs="Arial" w:eastAsia="Arial" w:hAnsi="Arial"/>
                <w:sz w:val="16"/>
                <w:szCs w:val="16"/>
                <w:color w:val="auto"/>
              </w:rPr>
              <w:t>as previously</w:t>
            </w:r>
          </w:p>
        </w:tc>
        <w:tc>
          <w:tcPr>
            <w:tcW w:w="104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70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16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80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0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1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260" w:type="dxa"/>
            <w:vAlign w:val="bottom"/>
            <w:shd w:val="clear" w:color="auto" w:fill="CCEEFF"/>
          </w:tcPr>
          <w:p>
            <w:pPr>
              <w:spacing w:after="0"/>
              <w:rPr>
                <w:sz w:val="17"/>
                <w:szCs w:val="17"/>
                <w:color w:val="auto"/>
              </w:rPr>
            </w:pPr>
          </w:p>
        </w:tc>
        <w:tc>
          <w:tcPr>
            <w:tcW w:w="1320" w:type="dxa"/>
            <w:vAlign w:val="bottom"/>
            <w:shd w:val="clear" w:color="auto" w:fill="CCEEFF"/>
          </w:tcPr>
          <w:p>
            <w:pPr>
              <w:spacing w:after="0"/>
              <w:rPr>
                <w:sz w:val="17"/>
                <w:szCs w:val="17"/>
                <w:color w:val="auto"/>
              </w:rPr>
            </w:pPr>
          </w:p>
        </w:tc>
        <w:tc>
          <w:tcPr>
            <w:tcW w:w="100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9"/>
        </w:trPr>
        <w:tc>
          <w:tcPr>
            <w:tcW w:w="12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reported</w:t>
            </w:r>
          </w:p>
        </w:tc>
        <w:tc>
          <w:tcPr>
            <w:tcW w:w="104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1,321,514</w:t>
            </w:r>
          </w:p>
        </w:tc>
        <w:tc>
          <w:tcPr>
            <w:tcW w:w="120" w:type="dxa"/>
            <w:vAlign w:val="bottom"/>
            <w:tcBorders>
              <w:bottom w:val="single" w:sz="8" w:color="CCEEFF"/>
            </w:tcBorders>
            <w:shd w:val="clear" w:color="auto" w:fill="CCEEFF"/>
          </w:tcPr>
          <w:p>
            <w:pPr>
              <w:spacing w:after="0"/>
              <w:rPr>
                <w:sz w:val="19"/>
                <w:szCs w:val="19"/>
                <w:color w:val="auto"/>
              </w:rPr>
            </w:pPr>
          </w:p>
        </w:tc>
        <w:tc>
          <w:tcPr>
            <w:tcW w:w="70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1,322</w:t>
            </w:r>
          </w:p>
        </w:tc>
        <w:tc>
          <w:tcPr>
            <w:tcW w:w="120" w:type="dxa"/>
            <w:vAlign w:val="bottom"/>
            <w:tcBorders>
              <w:bottom w:val="single" w:sz="8" w:color="CCEEFF"/>
            </w:tcBorders>
            <w:shd w:val="clear" w:color="auto" w:fill="CCEEFF"/>
          </w:tcPr>
          <w:p>
            <w:pPr>
              <w:spacing w:after="0"/>
              <w:rPr>
                <w:sz w:val="19"/>
                <w:szCs w:val="19"/>
                <w:color w:val="auto"/>
              </w:rPr>
            </w:pPr>
          </w:p>
        </w:tc>
        <w:tc>
          <w:tcPr>
            <w:tcW w:w="116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27,283,918</w:t>
            </w:r>
          </w:p>
        </w:tc>
        <w:tc>
          <w:tcPr>
            <w:tcW w:w="120" w:type="dxa"/>
            <w:vAlign w:val="bottom"/>
            <w:tcBorders>
              <w:bottom w:val="single" w:sz="8" w:color="CCEEFF"/>
            </w:tcBorders>
            <w:shd w:val="clear" w:color="auto" w:fill="CCEEFF"/>
          </w:tcPr>
          <w:p>
            <w:pPr>
              <w:spacing w:after="0"/>
              <w:rPr>
                <w:sz w:val="19"/>
                <w:szCs w:val="19"/>
                <w:color w:val="auto"/>
              </w:rPr>
            </w:pPr>
          </w:p>
        </w:tc>
        <w:tc>
          <w:tcPr>
            <w:tcW w:w="80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29,186</w:t>
            </w:r>
          </w:p>
        </w:tc>
        <w:tc>
          <w:tcPr>
            <w:tcW w:w="120" w:type="dxa"/>
            <w:vAlign w:val="bottom"/>
            <w:tcBorders>
              <w:bottom w:val="single" w:sz="8" w:color="CCEEFF"/>
            </w:tcBorders>
            <w:shd w:val="clear" w:color="auto" w:fill="CCEEFF"/>
          </w:tcPr>
          <w:p>
            <w:pPr>
              <w:spacing w:after="0"/>
              <w:rPr>
                <w:sz w:val="19"/>
                <w:szCs w:val="19"/>
                <w:color w:val="auto"/>
              </w:rPr>
            </w:pPr>
          </w:p>
        </w:tc>
        <w:tc>
          <w:tcPr>
            <w:tcW w:w="102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1,070,904</w:t>
            </w:r>
          </w:p>
        </w:tc>
        <w:tc>
          <w:tcPr>
            <w:tcW w:w="100" w:type="dxa"/>
            <w:vAlign w:val="bottom"/>
            <w:tcBorders>
              <w:bottom w:val="single" w:sz="8" w:color="CCEEFF"/>
            </w:tcBorders>
            <w:shd w:val="clear" w:color="auto" w:fill="CCEEFF"/>
          </w:tcPr>
          <w:p>
            <w:pPr>
              <w:spacing w:after="0"/>
              <w:rPr>
                <w:sz w:val="19"/>
                <w:szCs w:val="19"/>
                <w:color w:val="auto"/>
              </w:rPr>
            </w:pPr>
          </w:p>
        </w:tc>
        <w:tc>
          <w:tcPr>
            <w:tcW w:w="1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(1,649,746)</w:t>
            </w:r>
          </w:p>
        </w:tc>
        <w:tc>
          <w:tcPr>
            <w:tcW w:w="100" w:type="dxa"/>
            <w:vAlign w:val="bottom"/>
            <w:tcBorders>
              <w:bottom w:val="single" w:sz="8" w:color="CCEEFF"/>
            </w:tcBorders>
            <w:shd w:val="clear" w:color="auto" w:fill="CCEEFF"/>
          </w:tcPr>
          <w:p>
            <w:pPr>
              <w:spacing w:after="0"/>
              <w:rPr>
                <w:sz w:val="19"/>
                <w:szCs w:val="19"/>
                <w:color w:val="auto"/>
              </w:rPr>
            </w:pPr>
          </w:p>
        </w:tc>
        <w:tc>
          <w:tcPr>
            <w:tcW w:w="1260" w:type="dxa"/>
            <w:vAlign w:val="bottom"/>
            <w:tcBorders>
              <w:bottom w:val="single" w:sz="8" w:color="CCEEFF"/>
            </w:tcBorders>
            <w:shd w:val="clear" w:color="auto" w:fill="CCEEFF"/>
          </w:tcPr>
          <w:p>
            <w:pPr>
              <w:jc w:val="right"/>
              <w:ind w:right="162"/>
              <w:spacing w:after="0"/>
              <w:rPr>
                <w:sz w:val="20"/>
                <w:szCs w:val="20"/>
                <w:color w:val="auto"/>
              </w:rPr>
            </w:pPr>
            <w:r>
              <w:rPr>
                <w:rFonts w:ascii="Arial" w:cs="Arial" w:eastAsia="Arial" w:hAnsi="Arial"/>
                <w:sz w:val="16"/>
                <w:szCs w:val="16"/>
                <w:color w:val="auto"/>
              </w:rPr>
              <w:t>83,563,208</w:t>
            </w:r>
          </w:p>
        </w:tc>
        <w:tc>
          <w:tcPr>
            <w:tcW w:w="1320" w:type="dxa"/>
            <w:vAlign w:val="bottom"/>
            <w:tcBorders>
              <w:bottom w:val="single" w:sz="8" w:color="CCEEFF"/>
            </w:tcBorders>
            <w:shd w:val="clear" w:color="auto" w:fill="CCEEFF"/>
          </w:tcPr>
          <w:p>
            <w:pPr>
              <w:jc w:val="right"/>
              <w:ind w:right="80"/>
              <w:spacing w:after="0"/>
              <w:rPr>
                <w:sz w:val="20"/>
                <w:szCs w:val="20"/>
                <w:color w:val="auto"/>
              </w:rPr>
            </w:pPr>
            <w:r>
              <w:rPr>
                <w:rFonts w:ascii="Arial" w:cs="Arial" w:eastAsia="Arial" w:hAnsi="Arial"/>
                <w:sz w:val="16"/>
                <w:szCs w:val="16"/>
                <w:color w:val="auto"/>
              </w:rPr>
              <w:t>(32,406,189)</w:t>
            </w:r>
          </w:p>
        </w:tc>
        <w:tc>
          <w:tcPr>
            <w:tcW w:w="100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49,537,781</w:t>
            </w:r>
          </w:p>
        </w:tc>
        <w:tc>
          <w:tcPr>
            <w:tcW w:w="0" w:type="dxa"/>
            <w:vAlign w:val="bottom"/>
          </w:tcPr>
          <w:p>
            <w:pPr>
              <w:spacing w:after="0"/>
              <w:rPr>
                <w:sz w:val="1"/>
                <w:szCs w:val="1"/>
                <w:color w:val="auto"/>
              </w:rPr>
            </w:pPr>
          </w:p>
        </w:tc>
      </w:tr>
      <w:tr>
        <w:trPr>
          <w:trHeight w:val="220"/>
        </w:trPr>
        <w:tc>
          <w:tcPr>
            <w:tcW w:w="1260" w:type="dxa"/>
            <w:vAlign w:val="bottom"/>
          </w:tcPr>
          <w:p>
            <w:pPr>
              <w:ind w:left="40"/>
              <w:spacing w:after="0"/>
              <w:rPr>
                <w:sz w:val="20"/>
                <w:szCs w:val="20"/>
                <w:color w:val="auto"/>
              </w:rPr>
            </w:pPr>
            <w:r>
              <w:rPr>
                <w:rFonts w:ascii="Arial" w:cs="Arial" w:eastAsia="Arial" w:hAnsi="Arial"/>
                <w:sz w:val="16"/>
                <w:szCs w:val="16"/>
                <w:color w:val="auto"/>
                <w:w w:val="97"/>
              </w:rPr>
              <w:t>Impact of change</w:t>
            </w:r>
          </w:p>
        </w:tc>
        <w:tc>
          <w:tcPr>
            <w:tcW w:w="104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1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0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1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260" w:type="dxa"/>
            <w:vAlign w:val="bottom"/>
          </w:tcPr>
          <w:p>
            <w:pPr>
              <w:spacing w:after="0"/>
              <w:rPr>
                <w:sz w:val="19"/>
                <w:szCs w:val="19"/>
                <w:color w:val="auto"/>
              </w:rPr>
            </w:pPr>
          </w:p>
        </w:tc>
        <w:tc>
          <w:tcPr>
            <w:tcW w:w="1320" w:type="dxa"/>
            <w:vAlign w:val="bottom"/>
          </w:tcPr>
          <w:p>
            <w:pPr>
              <w:spacing w:after="0"/>
              <w:rPr>
                <w:sz w:val="19"/>
                <w:szCs w:val="19"/>
                <w:color w:val="auto"/>
              </w:rPr>
            </w:pPr>
          </w:p>
        </w:tc>
        <w:tc>
          <w:tcPr>
            <w:tcW w:w="10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3"/>
        </w:trPr>
        <w:tc>
          <w:tcPr>
            <w:tcW w:w="1260" w:type="dxa"/>
            <w:vAlign w:val="bottom"/>
          </w:tcPr>
          <w:p>
            <w:pPr>
              <w:ind w:left="40"/>
              <w:spacing w:after="0"/>
              <w:rPr>
                <w:sz w:val="20"/>
                <w:szCs w:val="20"/>
                <w:color w:val="auto"/>
              </w:rPr>
            </w:pPr>
            <w:r>
              <w:rPr>
                <w:rFonts w:ascii="Arial" w:cs="Arial" w:eastAsia="Arial" w:hAnsi="Arial"/>
                <w:sz w:val="16"/>
                <w:szCs w:val="16"/>
                <w:color w:val="auto"/>
              </w:rPr>
              <w:t>in accounting</w:t>
            </w:r>
          </w:p>
        </w:tc>
        <w:tc>
          <w:tcPr>
            <w:tcW w:w="1160" w:type="dxa"/>
            <w:vAlign w:val="bottom"/>
            <w:gridSpan w:val="2"/>
            <w:vMerge w:val="restart"/>
          </w:tcPr>
          <w:p>
            <w:pPr>
              <w:jc w:val="right"/>
              <w:ind w:right="240"/>
              <w:spacing w:after="0"/>
              <w:rPr>
                <w:sz w:val="20"/>
                <w:szCs w:val="20"/>
                <w:color w:val="auto"/>
              </w:rPr>
            </w:pPr>
            <w:r>
              <w:rPr>
                <w:rFonts w:ascii="Arial" w:cs="Arial" w:eastAsia="Arial" w:hAnsi="Arial"/>
                <w:sz w:val="18"/>
                <w:szCs w:val="18"/>
                <w:color w:val="auto"/>
              </w:rPr>
              <w:t>—</w:t>
            </w:r>
          </w:p>
        </w:tc>
        <w:tc>
          <w:tcPr>
            <w:tcW w:w="820" w:type="dxa"/>
            <w:vAlign w:val="bottom"/>
            <w:gridSpan w:val="2"/>
            <w:vMerge w:val="restart"/>
          </w:tcPr>
          <w:p>
            <w:pPr>
              <w:jc w:val="right"/>
              <w:ind w:right="240"/>
              <w:spacing w:after="0"/>
              <w:rPr>
                <w:sz w:val="20"/>
                <w:szCs w:val="20"/>
                <w:color w:val="auto"/>
              </w:rPr>
            </w:pPr>
            <w:r>
              <w:rPr>
                <w:rFonts w:ascii="Arial" w:cs="Arial" w:eastAsia="Arial" w:hAnsi="Arial"/>
                <w:sz w:val="18"/>
                <w:szCs w:val="18"/>
                <w:color w:val="auto"/>
              </w:rPr>
              <w:t>—</w:t>
            </w:r>
          </w:p>
        </w:tc>
        <w:tc>
          <w:tcPr>
            <w:tcW w:w="11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1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260" w:type="dxa"/>
            <w:vAlign w:val="bottom"/>
          </w:tcPr>
          <w:p>
            <w:pPr>
              <w:spacing w:after="0"/>
              <w:rPr>
                <w:sz w:val="17"/>
                <w:szCs w:val="17"/>
                <w:color w:val="auto"/>
              </w:rPr>
            </w:pPr>
          </w:p>
        </w:tc>
        <w:tc>
          <w:tcPr>
            <w:tcW w:w="132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2"/>
        </w:trPr>
        <w:tc>
          <w:tcPr>
            <w:tcW w:w="1260" w:type="dxa"/>
            <w:vAlign w:val="bottom"/>
          </w:tcPr>
          <w:p>
            <w:pPr>
              <w:ind w:left="40"/>
              <w:spacing w:after="0"/>
              <w:rPr>
                <w:sz w:val="20"/>
                <w:szCs w:val="20"/>
                <w:color w:val="auto"/>
              </w:rPr>
            </w:pPr>
            <w:r>
              <w:rPr>
                <w:rFonts w:ascii="Arial" w:cs="Arial" w:eastAsia="Arial" w:hAnsi="Arial"/>
                <w:sz w:val="16"/>
                <w:szCs w:val="16"/>
                <w:color w:val="auto"/>
              </w:rPr>
              <w:t>policy</w:t>
            </w:r>
          </w:p>
        </w:tc>
        <w:tc>
          <w:tcPr>
            <w:tcW w:w="1160" w:type="dxa"/>
            <w:vAlign w:val="bottom"/>
            <w:gridSpan w:val="2"/>
            <w:vMerge w:val="continue"/>
          </w:tcPr>
          <w:p>
            <w:pPr>
              <w:spacing w:after="0"/>
              <w:rPr>
                <w:sz w:val="18"/>
                <w:szCs w:val="18"/>
                <w:color w:val="auto"/>
              </w:rPr>
            </w:pPr>
          </w:p>
        </w:tc>
        <w:tc>
          <w:tcPr>
            <w:tcW w:w="820" w:type="dxa"/>
            <w:vAlign w:val="bottom"/>
            <w:gridSpan w:val="2"/>
            <w:vMerge w:val="continue"/>
          </w:tcPr>
          <w:p>
            <w:pPr>
              <w:spacing w:after="0"/>
              <w:rPr>
                <w:sz w:val="18"/>
                <w:szCs w:val="18"/>
                <w:color w:val="auto"/>
              </w:rPr>
            </w:pPr>
          </w:p>
        </w:tc>
        <w:tc>
          <w:tcPr>
            <w:tcW w:w="1280" w:type="dxa"/>
            <w:vAlign w:val="bottom"/>
            <w:gridSpan w:val="2"/>
          </w:tcPr>
          <w:p>
            <w:pPr>
              <w:jc w:val="right"/>
              <w:ind w:right="240"/>
              <w:spacing w:after="0"/>
              <w:rPr>
                <w:sz w:val="20"/>
                <w:szCs w:val="20"/>
                <w:color w:val="auto"/>
              </w:rPr>
            </w:pPr>
            <w:r>
              <w:rPr>
                <w:rFonts w:ascii="Arial" w:cs="Arial" w:eastAsia="Arial" w:hAnsi="Arial"/>
                <w:sz w:val="16"/>
                <w:szCs w:val="16"/>
                <w:color w:val="auto"/>
              </w:rPr>
              <w:t>—</w:t>
            </w:r>
          </w:p>
        </w:tc>
        <w:tc>
          <w:tcPr>
            <w:tcW w:w="920" w:type="dxa"/>
            <w:vAlign w:val="bottom"/>
            <w:gridSpan w:val="2"/>
          </w:tcPr>
          <w:p>
            <w:pPr>
              <w:jc w:val="right"/>
              <w:ind w:right="240"/>
              <w:spacing w:after="0"/>
              <w:rPr>
                <w:sz w:val="20"/>
                <w:szCs w:val="20"/>
                <w:color w:val="auto"/>
              </w:rPr>
            </w:pPr>
            <w:r>
              <w:rPr>
                <w:rFonts w:ascii="Arial" w:cs="Arial" w:eastAsia="Arial" w:hAnsi="Arial"/>
                <w:sz w:val="16"/>
                <w:szCs w:val="16"/>
                <w:color w:val="auto"/>
              </w:rPr>
              <w:t>—</w:t>
            </w:r>
          </w:p>
        </w:tc>
        <w:tc>
          <w:tcPr>
            <w:tcW w:w="1120" w:type="dxa"/>
            <w:vAlign w:val="bottom"/>
            <w:gridSpan w:val="2"/>
          </w:tcPr>
          <w:p>
            <w:pPr>
              <w:jc w:val="right"/>
              <w:ind w:right="220"/>
              <w:spacing w:after="0"/>
              <w:rPr>
                <w:sz w:val="20"/>
                <w:szCs w:val="20"/>
                <w:color w:val="auto"/>
              </w:rPr>
            </w:pPr>
            <w:r>
              <w:rPr>
                <w:rFonts w:ascii="Arial" w:cs="Arial" w:eastAsia="Arial" w:hAnsi="Arial"/>
                <w:sz w:val="16"/>
                <w:szCs w:val="16"/>
                <w:color w:val="auto"/>
              </w:rPr>
              <w:t>—</w:t>
            </w:r>
          </w:p>
        </w:tc>
        <w:tc>
          <w:tcPr>
            <w:tcW w:w="1220" w:type="dxa"/>
            <w:vAlign w:val="bottom"/>
            <w:gridSpan w:val="2"/>
          </w:tcPr>
          <w:p>
            <w:pPr>
              <w:jc w:val="right"/>
              <w:ind w:right="200"/>
              <w:spacing w:after="0"/>
              <w:rPr>
                <w:sz w:val="20"/>
                <w:szCs w:val="20"/>
                <w:color w:val="auto"/>
              </w:rPr>
            </w:pPr>
            <w:r>
              <w:rPr>
                <w:rFonts w:ascii="Arial" w:cs="Arial" w:eastAsia="Arial" w:hAnsi="Arial"/>
                <w:sz w:val="16"/>
                <w:szCs w:val="16"/>
                <w:color w:val="auto"/>
              </w:rPr>
              <w:t>—</w:t>
            </w:r>
          </w:p>
        </w:tc>
        <w:tc>
          <w:tcPr>
            <w:tcW w:w="1260" w:type="dxa"/>
            <w:vAlign w:val="bottom"/>
          </w:tcPr>
          <w:p>
            <w:pPr>
              <w:jc w:val="right"/>
              <w:ind w:right="162"/>
              <w:spacing w:after="0"/>
              <w:rPr>
                <w:sz w:val="20"/>
                <w:szCs w:val="20"/>
                <w:color w:val="auto"/>
              </w:rPr>
            </w:pPr>
            <w:r>
              <w:rPr>
                <w:rFonts w:ascii="Arial" w:cs="Arial" w:eastAsia="Arial" w:hAnsi="Arial"/>
                <w:sz w:val="16"/>
                <w:szCs w:val="16"/>
                <w:color w:val="auto"/>
              </w:rPr>
              <w:t>—</w:t>
            </w:r>
          </w:p>
        </w:tc>
        <w:tc>
          <w:tcPr>
            <w:tcW w:w="1320" w:type="dxa"/>
            <w:vAlign w:val="bottom"/>
          </w:tcPr>
          <w:p>
            <w:pPr>
              <w:jc w:val="right"/>
              <w:ind w:right="140"/>
              <w:spacing w:after="0"/>
              <w:rPr>
                <w:sz w:val="20"/>
                <w:szCs w:val="20"/>
                <w:color w:val="auto"/>
              </w:rPr>
            </w:pPr>
            <w:r>
              <w:rPr>
                <w:rFonts w:ascii="Arial" w:cs="Arial" w:eastAsia="Arial" w:hAnsi="Arial"/>
                <w:sz w:val="16"/>
                <w:szCs w:val="16"/>
                <w:color w:val="auto"/>
              </w:rPr>
              <w:t>354,028</w:t>
            </w:r>
          </w:p>
        </w:tc>
        <w:tc>
          <w:tcPr>
            <w:tcW w:w="1000" w:type="dxa"/>
            <w:vAlign w:val="bottom"/>
          </w:tcPr>
          <w:p>
            <w:pPr>
              <w:jc w:val="right"/>
              <w:ind w:right="20"/>
              <w:spacing w:after="0"/>
              <w:rPr>
                <w:sz w:val="20"/>
                <w:szCs w:val="20"/>
                <w:color w:val="auto"/>
              </w:rPr>
            </w:pPr>
            <w:r>
              <w:rPr>
                <w:rFonts w:ascii="Arial" w:cs="Arial" w:eastAsia="Arial" w:hAnsi="Arial"/>
                <w:sz w:val="16"/>
                <w:szCs w:val="16"/>
                <w:color w:val="auto"/>
              </w:rPr>
              <w:t>354,028</w:t>
            </w:r>
          </w:p>
        </w:tc>
        <w:tc>
          <w:tcPr>
            <w:tcW w:w="0" w:type="dxa"/>
            <w:vAlign w:val="bottom"/>
          </w:tcPr>
          <w:p>
            <w:pPr>
              <w:spacing w:after="0"/>
              <w:rPr>
                <w:sz w:val="1"/>
                <w:szCs w:val="1"/>
                <w:color w:val="auto"/>
              </w:rPr>
            </w:pPr>
          </w:p>
        </w:tc>
      </w:tr>
      <w:tr>
        <w:trPr>
          <w:trHeight w:val="27"/>
        </w:trPr>
        <w:tc>
          <w:tcPr>
            <w:tcW w:w="126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20" w:type="dxa"/>
            <w:vAlign w:val="bottom"/>
          </w:tcPr>
          <w:p>
            <w:pPr>
              <w:spacing w:after="0"/>
              <w:rPr>
                <w:sz w:val="2"/>
                <w:szCs w:val="2"/>
                <w:color w:val="auto"/>
              </w:rPr>
            </w:pPr>
          </w:p>
        </w:tc>
        <w:tc>
          <w:tcPr>
            <w:tcW w:w="7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20" w:type="dxa"/>
            <w:vAlign w:val="bottom"/>
          </w:tcPr>
          <w:p>
            <w:pPr>
              <w:spacing w:after="0"/>
              <w:rPr>
                <w:sz w:val="2"/>
                <w:szCs w:val="2"/>
                <w:color w:val="auto"/>
              </w:rPr>
            </w:pPr>
          </w:p>
        </w:tc>
        <w:tc>
          <w:tcPr>
            <w:tcW w:w="8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320" w:type="dxa"/>
            <w:vAlign w:val="bottom"/>
          </w:tcPr>
          <w:p>
            <w:pPr>
              <w:spacing w:after="0"/>
              <w:rPr>
                <w:sz w:val="2"/>
                <w:szCs w:val="2"/>
                <w:color w:val="auto"/>
              </w:rPr>
            </w:pPr>
          </w:p>
        </w:tc>
        <w:tc>
          <w:tcPr>
            <w:tcW w:w="10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20"/>
        </w:trPr>
        <w:tc>
          <w:tcPr>
            <w:tcW w:w="1260" w:type="dxa"/>
            <w:vAlign w:val="bottom"/>
            <w:shd w:val="clear" w:color="auto" w:fill="CCEEFF"/>
          </w:tcPr>
          <w:p>
            <w:pPr>
              <w:ind w:left="40"/>
              <w:spacing w:after="0"/>
              <w:rPr>
                <w:sz w:val="20"/>
                <w:szCs w:val="20"/>
                <w:color w:val="auto"/>
              </w:rPr>
            </w:pPr>
            <w:r>
              <w:rPr>
                <w:rFonts w:ascii="Arial" w:cs="Arial" w:eastAsia="Arial" w:hAnsi="Arial"/>
                <w:sz w:val="16"/>
                <w:szCs w:val="16"/>
                <w:color w:val="auto"/>
              </w:rPr>
              <w:t>As adjusted</w:t>
            </w:r>
          </w:p>
        </w:tc>
        <w:tc>
          <w:tcPr>
            <w:tcW w:w="104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70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16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80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02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12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260" w:type="dxa"/>
            <w:vAlign w:val="bottom"/>
            <w:shd w:val="clear" w:color="auto" w:fill="CCEEFF"/>
          </w:tcPr>
          <w:p>
            <w:pPr>
              <w:spacing w:after="0"/>
              <w:rPr>
                <w:sz w:val="19"/>
                <w:szCs w:val="19"/>
                <w:color w:val="auto"/>
              </w:rPr>
            </w:pPr>
          </w:p>
        </w:tc>
        <w:tc>
          <w:tcPr>
            <w:tcW w:w="1320" w:type="dxa"/>
            <w:vAlign w:val="bottom"/>
            <w:shd w:val="clear" w:color="auto" w:fill="CCEEFF"/>
          </w:tcPr>
          <w:p>
            <w:pPr>
              <w:spacing w:after="0"/>
              <w:rPr>
                <w:sz w:val="19"/>
                <w:szCs w:val="19"/>
                <w:color w:val="auto"/>
              </w:rPr>
            </w:pPr>
          </w:p>
        </w:tc>
        <w:tc>
          <w:tcPr>
            <w:tcW w:w="100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03"/>
        </w:trPr>
        <w:tc>
          <w:tcPr>
            <w:tcW w:w="1260" w:type="dxa"/>
            <w:vAlign w:val="bottom"/>
            <w:shd w:val="clear" w:color="auto" w:fill="CCEEFF"/>
          </w:tcPr>
          <w:p>
            <w:pPr>
              <w:ind w:left="40"/>
              <w:spacing w:after="0"/>
              <w:rPr>
                <w:sz w:val="20"/>
                <w:szCs w:val="20"/>
                <w:color w:val="auto"/>
              </w:rPr>
            </w:pPr>
            <w:r>
              <w:rPr>
                <w:rFonts w:ascii="Arial" w:cs="Arial" w:eastAsia="Arial" w:hAnsi="Arial"/>
                <w:sz w:val="16"/>
                <w:szCs w:val="16"/>
                <w:color w:val="auto"/>
                <w:w w:val="88"/>
              </w:rPr>
              <w:t>balance at January</w:t>
            </w:r>
          </w:p>
        </w:tc>
        <w:tc>
          <w:tcPr>
            <w:tcW w:w="104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70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16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80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0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1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260" w:type="dxa"/>
            <w:vAlign w:val="bottom"/>
            <w:shd w:val="clear" w:color="auto" w:fill="CCEEFF"/>
          </w:tcPr>
          <w:p>
            <w:pPr>
              <w:spacing w:after="0"/>
              <w:rPr>
                <w:sz w:val="17"/>
                <w:szCs w:val="17"/>
                <w:color w:val="auto"/>
              </w:rPr>
            </w:pPr>
          </w:p>
        </w:tc>
        <w:tc>
          <w:tcPr>
            <w:tcW w:w="1320" w:type="dxa"/>
            <w:vAlign w:val="bottom"/>
            <w:shd w:val="clear" w:color="auto" w:fill="CCEEFF"/>
          </w:tcPr>
          <w:p>
            <w:pPr>
              <w:spacing w:after="0"/>
              <w:rPr>
                <w:sz w:val="17"/>
                <w:szCs w:val="17"/>
                <w:color w:val="auto"/>
              </w:rPr>
            </w:pPr>
          </w:p>
        </w:tc>
        <w:tc>
          <w:tcPr>
            <w:tcW w:w="100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9"/>
        </w:trPr>
        <w:tc>
          <w:tcPr>
            <w:tcW w:w="12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1, 2018</w:t>
            </w:r>
          </w:p>
        </w:tc>
        <w:tc>
          <w:tcPr>
            <w:tcW w:w="104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1,321,514</w:t>
            </w:r>
          </w:p>
        </w:tc>
        <w:tc>
          <w:tcPr>
            <w:tcW w:w="120" w:type="dxa"/>
            <w:vAlign w:val="bottom"/>
            <w:tcBorders>
              <w:bottom w:val="single" w:sz="8" w:color="CCEEFF"/>
            </w:tcBorders>
            <w:shd w:val="clear" w:color="auto" w:fill="CCEEFF"/>
          </w:tcPr>
          <w:p>
            <w:pPr>
              <w:spacing w:after="0"/>
              <w:rPr>
                <w:sz w:val="19"/>
                <w:szCs w:val="19"/>
                <w:color w:val="auto"/>
              </w:rPr>
            </w:pPr>
          </w:p>
        </w:tc>
        <w:tc>
          <w:tcPr>
            <w:tcW w:w="70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1,322</w:t>
            </w:r>
          </w:p>
        </w:tc>
        <w:tc>
          <w:tcPr>
            <w:tcW w:w="120" w:type="dxa"/>
            <w:vAlign w:val="bottom"/>
            <w:tcBorders>
              <w:bottom w:val="single" w:sz="8" w:color="CCEEFF"/>
            </w:tcBorders>
            <w:shd w:val="clear" w:color="auto" w:fill="CCEEFF"/>
          </w:tcPr>
          <w:p>
            <w:pPr>
              <w:spacing w:after="0"/>
              <w:rPr>
                <w:sz w:val="19"/>
                <w:szCs w:val="19"/>
                <w:color w:val="auto"/>
              </w:rPr>
            </w:pPr>
          </w:p>
        </w:tc>
        <w:tc>
          <w:tcPr>
            <w:tcW w:w="116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27,283,918</w:t>
            </w:r>
          </w:p>
        </w:tc>
        <w:tc>
          <w:tcPr>
            <w:tcW w:w="120" w:type="dxa"/>
            <w:vAlign w:val="bottom"/>
            <w:tcBorders>
              <w:bottom w:val="single" w:sz="8" w:color="CCEEFF"/>
            </w:tcBorders>
            <w:shd w:val="clear" w:color="auto" w:fill="CCEEFF"/>
          </w:tcPr>
          <w:p>
            <w:pPr>
              <w:spacing w:after="0"/>
              <w:rPr>
                <w:sz w:val="19"/>
                <w:szCs w:val="19"/>
                <w:color w:val="auto"/>
              </w:rPr>
            </w:pPr>
          </w:p>
        </w:tc>
        <w:tc>
          <w:tcPr>
            <w:tcW w:w="80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29,186</w:t>
            </w:r>
          </w:p>
        </w:tc>
        <w:tc>
          <w:tcPr>
            <w:tcW w:w="120" w:type="dxa"/>
            <w:vAlign w:val="bottom"/>
            <w:tcBorders>
              <w:bottom w:val="single" w:sz="8" w:color="CCEEFF"/>
            </w:tcBorders>
            <w:shd w:val="clear" w:color="auto" w:fill="CCEEFF"/>
          </w:tcPr>
          <w:p>
            <w:pPr>
              <w:spacing w:after="0"/>
              <w:rPr>
                <w:sz w:val="19"/>
                <w:szCs w:val="19"/>
                <w:color w:val="auto"/>
              </w:rPr>
            </w:pPr>
          </w:p>
        </w:tc>
        <w:tc>
          <w:tcPr>
            <w:tcW w:w="102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1,070,904</w:t>
            </w:r>
          </w:p>
        </w:tc>
        <w:tc>
          <w:tcPr>
            <w:tcW w:w="100" w:type="dxa"/>
            <w:vAlign w:val="bottom"/>
            <w:tcBorders>
              <w:bottom w:val="single" w:sz="8" w:color="CCEEFF"/>
            </w:tcBorders>
            <w:shd w:val="clear" w:color="auto" w:fill="CCEEFF"/>
          </w:tcPr>
          <w:p>
            <w:pPr>
              <w:spacing w:after="0"/>
              <w:rPr>
                <w:sz w:val="19"/>
                <w:szCs w:val="19"/>
                <w:color w:val="auto"/>
              </w:rPr>
            </w:pPr>
          </w:p>
        </w:tc>
        <w:tc>
          <w:tcPr>
            <w:tcW w:w="1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(1,649,746)</w:t>
            </w:r>
          </w:p>
        </w:tc>
        <w:tc>
          <w:tcPr>
            <w:tcW w:w="100" w:type="dxa"/>
            <w:vAlign w:val="bottom"/>
            <w:tcBorders>
              <w:bottom w:val="single" w:sz="8" w:color="CCEEFF"/>
            </w:tcBorders>
            <w:shd w:val="clear" w:color="auto" w:fill="CCEEFF"/>
          </w:tcPr>
          <w:p>
            <w:pPr>
              <w:spacing w:after="0"/>
              <w:rPr>
                <w:sz w:val="19"/>
                <w:szCs w:val="19"/>
                <w:color w:val="auto"/>
              </w:rPr>
            </w:pPr>
          </w:p>
        </w:tc>
        <w:tc>
          <w:tcPr>
            <w:tcW w:w="1260" w:type="dxa"/>
            <w:vAlign w:val="bottom"/>
            <w:tcBorders>
              <w:bottom w:val="single" w:sz="8" w:color="CCEEFF"/>
            </w:tcBorders>
            <w:shd w:val="clear" w:color="auto" w:fill="CCEEFF"/>
          </w:tcPr>
          <w:p>
            <w:pPr>
              <w:jc w:val="right"/>
              <w:ind w:right="162"/>
              <w:spacing w:after="0"/>
              <w:rPr>
                <w:sz w:val="20"/>
                <w:szCs w:val="20"/>
                <w:color w:val="auto"/>
              </w:rPr>
            </w:pPr>
            <w:r>
              <w:rPr>
                <w:rFonts w:ascii="Arial" w:cs="Arial" w:eastAsia="Arial" w:hAnsi="Arial"/>
                <w:sz w:val="16"/>
                <w:szCs w:val="16"/>
                <w:color w:val="auto"/>
              </w:rPr>
              <w:t>83,563,208</w:t>
            </w:r>
          </w:p>
        </w:tc>
        <w:tc>
          <w:tcPr>
            <w:tcW w:w="1320" w:type="dxa"/>
            <w:vAlign w:val="bottom"/>
            <w:tcBorders>
              <w:bottom w:val="single" w:sz="8" w:color="CCEEFF"/>
            </w:tcBorders>
            <w:shd w:val="clear" w:color="auto" w:fill="CCEEFF"/>
          </w:tcPr>
          <w:p>
            <w:pPr>
              <w:jc w:val="right"/>
              <w:ind w:right="80"/>
              <w:spacing w:after="0"/>
              <w:rPr>
                <w:sz w:val="20"/>
                <w:szCs w:val="20"/>
                <w:color w:val="auto"/>
              </w:rPr>
            </w:pPr>
            <w:r>
              <w:rPr>
                <w:rFonts w:ascii="Arial" w:cs="Arial" w:eastAsia="Arial" w:hAnsi="Arial"/>
                <w:sz w:val="16"/>
                <w:szCs w:val="16"/>
                <w:color w:val="auto"/>
              </w:rPr>
              <w:t>(32,052,161)</w:t>
            </w:r>
          </w:p>
        </w:tc>
        <w:tc>
          <w:tcPr>
            <w:tcW w:w="100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49,891,809</w:t>
            </w:r>
          </w:p>
        </w:tc>
        <w:tc>
          <w:tcPr>
            <w:tcW w:w="0" w:type="dxa"/>
            <w:vAlign w:val="bottom"/>
          </w:tcPr>
          <w:p>
            <w:pPr>
              <w:spacing w:after="0"/>
              <w:rPr>
                <w:sz w:val="1"/>
                <w:szCs w:val="1"/>
                <w:color w:val="auto"/>
              </w:rPr>
            </w:pPr>
          </w:p>
        </w:tc>
      </w:tr>
      <w:tr>
        <w:trPr>
          <w:trHeight w:val="220"/>
        </w:trPr>
        <w:tc>
          <w:tcPr>
            <w:tcW w:w="1260" w:type="dxa"/>
            <w:vAlign w:val="bottom"/>
          </w:tcPr>
          <w:p>
            <w:pPr>
              <w:ind w:left="40"/>
              <w:spacing w:after="0"/>
              <w:rPr>
                <w:sz w:val="20"/>
                <w:szCs w:val="20"/>
                <w:color w:val="auto"/>
              </w:rPr>
            </w:pPr>
            <w:r>
              <w:rPr>
                <w:rFonts w:ascii="Arial" w:cs="Arial" w:eastAsia="Arial" w:hAnsi="Arial"/>
                <w:sz w:val="16"/>
                <w:szCs w:val="16"/>
                <w:color w:val="auto"/>
                <w:w w:val="99"/>
              </w:rPr>
              <w:t>Exercise of stock</w:t>
            </w:r>
          </w:p>
        </w:tc>
        <w:tc>
          <w:tcPr>
            <w:tcW w:w="104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1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0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1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260" w:type="dxa"/>
            <w:vAlign w:val="bottom"/>
          </w:tcPr>
          <w:p>
            <w:pPr>
              <w:spacing w:after="0"/>
              <w:rPr>
                <w:sz w:val="19"/>
                <w:szCs w:val="19"/>
                <w:color w:val="auto"/>
              </w:rPr>
            </w:pPr>
          </w:p>
        </w:tc>
        <w:tc>
          <w:tcPr>
            <w:tcW w:w="1320" w:type="dxa"/>
            <w:vAlign w:val="bottom"/>
          </w:tcPr>
          <w:p>
            <w:pPr>
              <w:spacing w:after="0"/>
              <w:rPr>
                <w:sz w:val="19"/>
                <w:szCs w:val="19"/>
                <w:color w:val="auto"/>
              </w:rPr>
            </w:pPr>
          </w:p>
        </w:tc>
        <w:tc>
          <w:tcPr>
            <w:tcW w:w="10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6"/>
        </w:trPr>
        <w:tc>
          <w:tcPr>
            <w:tcW w:w="1260" w:type="dxa"/>
            <w:vAlign w:val="bottom"/>
          </w:tcPr>
          <w:p>
            <w:pPr>
              <w:ind w:left="40"/>
              <w:spacing w:after="0"/>
              <w:rPr>
                <w:sz w:val="20"/>
                <w:szCs w:val="20"/>
                <w:color w:val="auto"/>
              </w:rPr>
            </w:pPr>
            <w:r>
              <w:rPr>
                <w:rFonts w:ascii="Arial" w:cs="Arial" w:eastAsia="Arial" w:hAnsi="Arial"/>
                <w:sz w:val="16"/>
                <w:szCs w:val="16"/>
                <w:color w:val="auto"/>
              </w:rPr>
              <w:t>options</w:t>
            </w:r>
          </w:p>
        </w:tc>
        <w:tc>
          <w:tcPr>
            <w:tcW w:w="1160" w:type="dxa"/>
            <w:vAlign w:val="bottom"/>
            <w:gridSpan w:val="2"/>
          </w:tcPr>
          <w:p>
            <w:pPr>
              <w:jc w:val="right"/>
              <w:ind w:right="240"/>
              <w:spacing w:after="0"/>
              <w:rPr>
                <w:sz w:val="20"/>
                <w:szCs w:val="20"/>
                <w:color w:val="auto"/>
              </w:rPr>
            </w:pPr>
            <w:r>
              <w:rPr>
                <w:rFonts w:ascii="Arial" w:cs="Arial" w:eastAsia="Arial" w:hAnsi="Arial"/>
                <w:sz w:val="16"/>
                <w:szCs w:val="16"/>
                <w:color w:val="auto"/>
              </w:rPr>
              <w:t>—</w:t>
            </w:r>
          </w:p>
        </w:tc>
        <w:tc>
          <w:tcPr>
            <w:tcW w:w="820" w:type="dxa"/>
            <w:vAlign w:val="bottom"/>
            <w:gridSpan w:val="2"/>
          </w:tcPr>
          <w:p>
            <w:pPr>
              <w:jc w:val="right"/>
              <w:ind w:right="240"/>
              <w:spacing w:after="0"/>
              <w:rPr>
                <w:sz w:val="20"/>
                <w:szCs w:val="20"/>
                <w:color w:val="auto"/>
              </w:rPr>
            </w:pPr>
            <w:r>
              <w:rPr>
                <w:rFonts w:ascii="Arial" w:cs="Arial" w:eastAsia="Arial" w:hAnsi="Arial"/>
                <w:sz w:val="16"/>
                <w:szCs w:val="16"/>
                <w:color w:val="auto"/>
              </w:rPr>
              <w:t>—</w:t>
            </w:r>
          </w:p>
        </w:tc>
        <w:tc>
          <w:tcPr>
            <w:tcW w:w="1160" w:type="dxa"/>
            <w:vAlign w:val="bottom"/>
          </w:tcPr>
          <w:p>
            <w:pPr>
              <w:jc w:val="right"/>
              <w:ind w:right="40"/>
              <w:spacing w:after="0"/>
              <w:rPr>
                <w:sz w:val="20"/>
                <w:szCs w:val="20"/>
                <w:color w:val="auto"/>
              </w:rPr>
            </w:pPr>
            <w:r>
              <w:rPr>
                <w:rFonts w:ascii="Arial" w:cs="Arial" w:eastAsia="Arial" w:hAnsi="Arial"/>
                <w:sz w:val="16"/>
                <w:szCs w:val="16"/>
                <w:color w:val="auto"/>
              </w:rPr>
              <w:t>260,842</w:t>
            </w:r>
          </w:p>
        </w:tc>
        <w:tc>
          <w:tcPr>
            <w:tcW w:w="120" w:type="dxa"/>
            <w:vAlign w:val="bottom"/>
          </w:tcPr>
          <w:p>
            <w:pPr>
              <w:spacing w:after="0"/>
              <w:rPr>
                <w:sz w:val="17"/>
                <w:szCs w:val="17"/>
                <w:color w:val="auto"/>
              </w:rPr>
            </w:pPr>
          </w:p>
        </w:tc>
        <w:tc>
          <w:tcPr>
            <w:tcW w:w="800" w:type="dxa"/>
            <w:vAlign w:val="bottom"/>
          </w:tcPr>
          <w:p>
            <w:pPr>
              <w:jc w:val="right"/>
              <w:ind w:right="40"/>
              <w:spacing w:after="0"/>
              <w:rPr>
                <w:sz w:val="20"/>
                <w:szCs w:val="20"/>
                <w:color w:val="auto"/>
              </w:rPr>
            </w:pPr>
            <w:r>
              <w:rPr>
                <w:rFonts w:ascii="Arial" w:cs="Arial" w:eastAsia="Arial" w:hAnsi="Arial"/>
                <w:sz w:val="16"/>
                <w:szCs w:val="16"/>
                <w:color w:val="auto"/>
              </w:rPr>
              <w:t>261</w:t>
            </w:r>
          </w:p>
        </w:tc>
        <w:tc>
          <w:tcPr>
            <w:tcW w:w="120" w:type="dxa"/>
            <w:vAlign w:val="bottom"/>
          </w:tcPr>
          <w:p>
            <w:pPr>
              <w:spacing w:after="0"/>
              <w:rPr>
                <w:sz w:val="17"/>
                <w:szCs w:val="17"/>
                <w:color w:val="auto"/>
              </w:rPr>
            </w:pPr>
          </w:p>
        </w:tc>
        <w:tc>
          <w:tcPr>
            <w:tcW w:w="1120" w:type="dxa"/>
            <w:vAlign w:val="bottom"/>
            <w:gridSpan w:val="2"/>
          </w:tcPr>
          <w:p>
            <w:pPr>
              <w:jc w:val="right"/>
              <w:ind w:right="220"/>
              <w:spacing w:after="0"/>
              <w:rPr>
                <w:sz w:val="20"/>
                <w:szCs w:val="20"/>
                <w:color w:val="auto"/>
              </w:rPr>
            </w:pPr>
            <w:r>
              <w:rPr>
                <w:rFonts w:ascii="Arial" w:cs="Arial" w:eastAsia="Arial" w:hAnsi="Arial"/>
                <w:sz w:val="16"/>
                <w:szCs w:val="16"/>
                <w:color w:val="auto"/>
              </w:rPr>
              <w:t>—</w:t>
            </w:r>
          </w:p>
        </w:tc>
        <w:tc>
          <w:tcPr>
            <w:tcW w:w="1220" w:type="dxa"/>
            <w:vAlign w:val="bottom"/>
            <w:gridSpan w:val="2"/>
          </w:tcPr>
          <w:p>
            <w:pPr>
              <w:jc w:val="right"/>
              <w:ind w:right="200"/>
              <w:spacing w:after="0"/>
              <w:rPr>
                <w:sz w:val="20"/>
                <w:szCs w:val="20"/>
                <w:color w:val="auto"/>
              </w:rPr>
            </w:pPr>
            <w:r>
              <w:rPr>
                <w:rFonts w:ascii="Arial" w:cs="Arial" w:eastAsia="Arial" w:hAnsi="Arial"/>
                <w:sz w:val="16"/>
                <w:szCs w:val="16"/>
                <w:color w:val="auto"/>
              </w:rPr>
              <w:t>—</w:t>
            </w:r>
          </w:p>
        </w:tc>
        <w:tc>
          <w:tcPr>
            <w:tcW w:w="1260" w:type="dxa"/>
            <w:vAlign w:val="bottom"/>
          </w:tcPr>
          <w:p>
            <w:pPr>
              <w:jc w:val="right"/>
              <w:ind w:right="162"/>
              <w:spacing w:after="0"/>
              <w:rPr>
                <w:sz w:val="20"/>
                <w:szCs w:val="20"/>
                <w:color w:val="auto"/>
              </w:rPr>
            </w:pPr>
            <w:r>
              <w:rPr>
                <w:rFonts w:ascii="Arial" w:cs="Arial" w:eastAsia="Arial" w:hAnsi="Arial"/>
                <w:sz w:val="16"/>
                <w:szCs w:val="16"/>
                <w:color w:val="auto"/>
              </w:rPr>
              <w:t>639,536</w:t>
            </w:r>
          </w:p>
        </w:tc>
        <w:tc>
          <w:tcPr>
            <w:tcW w:w="1320" w:type="dxa"/>
            <w:vAlign w:val="bottom"/>
          </w:tcPr>
          <w:p>
            <w:pPr>
              <w:jc w:val="right"/>
              <w:ind w:right="140"/>
              <w:spacing w:after="0"/>
              <w:rPr>
                <w:sz w:val="20"/>
                <w:szCs w:val="20"/>
                <w:color w:val="auto"/>
              </w:rPr>
            </w:pPr>
            <w:r>
              <w:rPr>
                <w:rFonts w:ascii="Arial" w:cs="Arial" w:eastAsia="Arial" w:hAnsi="Arial"/>
                <w:sz w:val="16"/>
                <w:szCs w:val="16"/>
                <w:color w:val="auto"/>
              </w:rPr>
              <w:t>—</w:t>
            </w:r>
          </w:p>
        </w:tc>
        <w:tc>
          <w:tcPr>
            <w:tcW w:w="1000" w:type="dxa"/>
            <w:vAlign w:val="bottom"/>
          </w:tcPr>
          <w:p>
            <w:pPr>
              <w:jc w:val="right"/>
              <w:ind w:right="20"/>
              <w:spacing w:after="0"/>
              <w:rPr>
                <w:sz w:val="20"/>
                <w:szCs w:val="20"/>
                <w:color w:val="auto"/>
              </w:rPr>
            </w:pPr>
            <w:r>
              <w:rPr>
                <w:rFonts w:ascii="Arial" w:cs="Arial" w:eastAsia="Arial" w:hAnsi="Arial"/>
                <w:sz w:val="16"/>
                <w:szCs w:val="16"/>
                <w:color w:val="auto"/>
              </w:rPr>
              <w:t>639,797</w:t>
            </w:r>
          </w:p>
        </w:tc>
        <w:tc>
          <w:tcPr>
            <w:tcW w:w="0" w:type="dxa"/>
            <w:vAlign w:val="bottom"/>
          </w:tcPr>
          <w:p>
            <w:pPr>
              <w:spacing w:after="0"/>
              <w:rPr>
                <w:sz w:val="1"/>
                <w:szCs w:val="1"/>
                <w:color w:val="auto"/>
              </w:rPr>
            </w:pPr>
          </w:p>
        </w:tc>
      </w:tr>
      <w:tr>
        <w:trPr>
          <w:trHeight w:val="33"/>
        </w:trPr>
        <w:tc>
          <w:tcPr>
            <w:tcW w:w="126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20" w:type="dxa"/>
            <w:vAlign w:val="bottom"/>
          </w:tcPr>
          <w:p>
            <w:pPr>
              <w:spacing w:after="0"/>
              <w:rPr>
                <w:sz w:val="2"/>
                <w:szCs w:val="2"/>
                <w:color w:val="auto"/>
              </w:rPr>
            </w:pPr>
          </w:p>
        </w:tc>
        <w:tc>
          <w:tcPr>
            <w:tcW w:w="7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20" w:type="dxa"/>
            <w:vAlign w:val="bottom"/>
          </w:tcPr>
          <w:p>
            <w:pPr>
              <w:spacing w:after="0"/>
              <w:rPr>
                <w:sz w:val="2"/>
                <w:szCs w:val="2"/>
                <w:color w:val="auto"/>
              </w:rPr>
            </w:pPr>
          </w:p>
        </w:tc>
        <w:tc>
          <w:tcPr>
            <w:tcW w:w="8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320" w:type="dxa"/>
            <w:vAlign w:val="bottom"/>
          </w:tcPr>
          <w:p>
            <w:pPr>
              <w:spacing w:after="0"/>
              <w:rPr>
                <w:sz w:val="2"/>
                <w:szCs w:val="2"/>
                <w:color w:val="auto"/>
              </w:rPr>
            </w:pPr>
          </w:p>
        </w:tc>
        <w:tc>
          <w:tcPr>
            <w:tcW w:w="10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20"/>
        </w:trPr>
        <w:tc>
          <w:tcPr>
            <w:tcW w:w="1260" w:type="dxa"/>
            <w:vAlign w:val="bottom"/>
            <w:shd w:val="clear" w:color="auto" w:fill="CCEEFF"/>
          </w:tcPr>
          <w:p>
            <w:pPr>
              <w:ind w:left="40"/>
              <w:spacing w:after="0"/>
              <w:rPr>
                <w:sz w:val="20"/>
                <w:szCs w:val="20"/>
                <w:color w:val="auto"/>
              </w:rPr>
            </w:pPr>
            <w:r>
              <w:rPr>
                <w:rFonts w:ascii="Arial" w:cs="Arial" w:eastAsia="Arial" w:hAnsi="Arial"/>
                <w:sz w:val="16"/>
                <w:szCs w:val="16"/>
                <w:color w:val="auto"/>
              </w:rPr>
              <w:t>Share-based</w:t>
            </w:r>
          </w:p>
        </w:tc>
        <w:tc>
          <w:tcPr>
            <w:tcW w:w="104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70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16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80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02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12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260" w:type="dxa"/>
            <w:vAlign w:val="bottom"/>
            <w:shd w:val="clear" w:color="auto" w:fill="CCEEFF"/>
          </w:tcPr>
          <w:p>
            <w:pPr>
              <w:spacing w:after="0"/>
              <w:rPr>
                <w:sz w:val="19"/>
                <w:szCs w:val="19"/>
                <w:color w:val="auto"/>
              </w:rPr>
            </w:pPr>
          </w:p>
        </w:tc>
        <w:tc>
          <w:tcPr>
            <w:tcW w:w="1320" w:type="dxa"/>
            <w:vAlign w:val="bottom"/>
            <w:shd w:val="clear" w:color="auto" w:fill="CCEEFF"/>
          </w:tcPr>
          <w:p>
            <w:pPr>
              <w:spacing w:after="0"/>
              <w:rPr>
                <w:sz w:val="19"/>
                <w:szCs w:val="19"/>
                <w:color w:val="auto"/>
              </w:rPr>
            </w:pPr>
          </w:p>
        </w:tc>
        <w:tc>
          <w:tcPr>
            <w:tcW w:w="100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19"/>
        </w:trPr>
        <w:tc>
          <w:tcPr>
            <w:tcW w:w="12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compensation</w:t>
            </w:r>
          </w:p>
        </w:tc>
        <w:tc>
          <w:tcPr>
            <w:tcW w:w="1160" w:type="dxa"/>
            <w:vAlign w:val="bottom"/>
            <w:tcBorders>
              <w:bottom w:val="single" w:sz="8" w:color="CCEEFF"/>
            </w:tcBorders>
            <w:gridSpan w:val="2"/>
            <w:shd w:val="clear" w:color="auto" w:fill="CCEEFF"/>
          </w:tcPr>
          <w:p>
            <w:pPr>
              <w:jc w:val="right"/>
              <w:ind w:right="240"/>
              <w:spacing w:after="0"/>
              <w:rPr>
                <w:sz w:val="20"/>
                <w:szCs w:val="20"/>
                <w:color w:val="auto"/>
              </w:rPr>
            </w:pPr>
            <w:r>
              <w:rPr>
                <w:rFonts w:ascii="Arial" w:cs="Arial" w:eastAsia="Arial" w:hAnsi="Arial"/>
                <w:sz w:val="16"/>
                <w:szCs w:val="16"/>
                <w:color w:val="auto"/>
              </w:rPr>
              <w:t>—</w:t>
            </w:r>
          </w:p>
        </w:tc>
        <w:tc>
          <w:tcPr>
            <w:tcW w:w="820" w:type="dxa"/>
            <w:vAlign w:val="bottom"/>
            <w:tcBorders>
              <w:bottom w:val="single" w:sz="8" w:color="CCEEFF"/>
            </w:tcBorders>
            <w:gridSpan w:val="2"/>
            <w:shd w:val="clear" w:color="auto" w:fill="CCEEFF"/>
          </w:tcPr>
          <w:p>
            <w:pPr>
              <w:jc w:val="right"/>
              <w:ind w:right="240"/>
              <w:spacing w:after="0"/>
              <w:rPr>
                <w:sz w:val="20"/>
                <w:szCs w:val="20"/>
                <w:color w:val="auto"/>
              </w:rPr>
            </w:pPr>
            <w:r>
              <w:rPr>
                <w:rFonts w:ascii="Arial" w:cs="Arial" w:eastAsia="Arial" w:hAnsi="Arial"/>
                <w:sz w:val="16"/>
                <w:szCs w:val="16"/>
                <w:color w:val="auto"/>
              </w:rPr>
              <w:t>—</w:t>
            </w:r>
          </w:p>
        </w:tc>
        <w:tc>
          <w:tcPr>
            <w:tcW w:w="116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280,000</w:t>
            </w:r>
          </w:p>
        </w:tc>
        <w:tc>
          <w:tcPr>
            <w:tcW w:w="120" w:type="dxa"/>
            <w:vAlign w:val="bottom"/>
            <w:tcBorders>
              <w:bottom w:val="single" w:sz="8" w:color="CCEEFF"/>
            </w:tcBorders>
            <w:shd w:val="clear" w:color="auto" w:fill="CCEEFF"/>
          </w:tcPr>
          <w:p>
            <w:pPr>
              <w:spacing w:after="0"/>
              <w:rPr>
                <w:sz w:val="19"/>
                <w:szCs w:val="19"/>
                <w:color w:val="auto"/>
              </w:rPr>
            </w:pPr>
          </w:p>
        </w:tc>
        <w:tc>
          <w:tcPr>
            <w:tcW w:w="80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280</w:t>
            </w:r>
          </w:p>
        </w:tc>
        <w:tc>
          <w:tcPr>
            <w:tcW w:w="120" w:type="dxa"/>
            <w:vAlign w:val="bottom"/>
            <w:tcBorders>
              <w:bottom w:val="single" w:sz="8" w:color="CCEEFF"/>
            </w:tcBorders>
            <w:shd w:val="clear" w:color="auto" w:fill="CCEEFF"/>
          </w:tcPr>
          <w:p>
            <w:pPr>
              <w:spacing w:after="0"/>
              <w:rPr>
                <w:sz w:val="19"/>
                <w:szCs w:val="19"/>
                <w:color w:val="auto"/>
              </w:rPr>
            </w:pPr>
          </w:p>
        </w:tc>
        <w:tc>
          <w:tcPr>
            <w:tcW w:w="112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6"/>
                <w:szCs w:val="16"/>
                <w:color w:val="auto"/>
              </w:rPr>
              <w:t>—</w:t>
            </w:r>
          </w:p>
        </w:tc>
        <w:tc>
          <w:tcPr>
            <w:tcW w:w="122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6"/>
                <w:szCs w:val="16"/>
                <w:color w:val="auto"/>
              </w:rPr>
              <w:t>—</w:t>
            </w:r>
          </w:p>
        </w:tc>
        <w:tc>
          <w:tcPr>
            <w:tcW w:w="1260" w:type="dxa"/>
            <w:vAlign w:val="bottom"/>
            <w:tcBorders>
              <w:bottom w:val="single" w:sz="8" w:color="CCEEFF"/>
            </w:tcBorders>
            <w:shd w:val="clear" w:color="auto" w:fill="CCEEFF"/>
          </w:tcPr>
          <w:p>
            <w:pPr>
              <w:jc w:val="right"/>
              <w:ind w:right="162"/>
              <w:spacing w:after="0"/>
              <w:rPr>
                <w:sz w:val="20"/>
                <w:szCs w:val="20"/>
                <w:color w:val="auto"/>
              </w:rPr>
            </w:pPr>
            <w:r>
              <w:rPr>
                <w:rFonts w:ascii="Arial" w:cs="Arial" w:eastAsia="Arial" w:hAnsi="Arial"/>
                <w:sz w:val="16"/>
                <w:szCs w:val="16"/>
                <w:color w:val="auto"/>
              </w:rPr>
              <w:t>212,150</w:t>
            </w:r>
          </w:p>
        </w:tc>
        <w:tc>
          <w:tcPr>
            <w:tcW w:w="1320" w:type="dxa"/>
            <w:vAlign w:val="bottom"/>
            <w:tcBorders>
              <w:bottom w:val="single" w:sz="8" w:color="CCEEFF"/>
            </w:tcBorders>
            <w:shd w:val="clear" w:color="auto" w:fill="CCEEFF"/>
          </w:tcPr>
          <w:p>
            <w:pPr>
              <w:jc w:val="right"/>
              <w:ind w:right="140"/>
              <w:spacing w:after="0"/>
              <w:rPr>
                <w:sz w:val="20"/>
                <w:szCs w:val="20"/>
                <w:color w:val="auto"/>
              </w:rPr>
            </w:pPr>
            <w:r>
              <w:rPr>
                <w:rFonts w:ascii="Arial" w:cs="Arial" w:eastAsia="Arial" w:hAnsi="Arial"/>
                <w:sz w:val="16"/>
                <w:szCs w:val="16"/>
                <w:color w:val="auto"/>
              </w:rPr>
              <w:t>—</w:t>
            </w:r>
          </w:p>
        </w:tc>
        <w:tc>
          <w:tcPr>
            <w:tcW w:w="100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212,430</w:t>
            </w:r>
          </w:p>
        </w:tc>
        <w:tc>
          <w:tcPr>
            <w:tcW w:w="0" w:type="dxa"/>
            <w:vAlign w:val="bottom"/>
          </w:tcPr>
          <w:p>
            <w:pPr>
              <w:spacing w:after="0"/>
              <w:rPr>
                <w:sz w:val="1"/>
                <w:szCs w:val="1"/>
                <w:color w:val="auto"/>
              </w:rPr>
            </w:pPr>
          </w:p>
        </w:tc>
      </w:tr>
      <w:tr>
        <w:trPr>
          <w:trHeight w:val="220"/>
        </w:trPr>
        <w:tc>
          <w:tcPr>
            <w:tcW w:w="1260" w:type="dxa"/>
            <w:vAlign w:val="bottom"/>
          </w:tcPr>
          <w:p>
            <w:pPr>
              <w:ind w:left="40"/>
              <w:spacing w:after="0"/>
              <w:rPr>
                <w:sz w:val="20"/>
                <w:szCs w:val="20"/>
                <w:color w:val="auto"/>
              </w:rPr>
            </w:pPr>
            <w:r>
              <w:rPr>
                <w:rFonts w:ascii="Arial" w:cs="Arial" w:eastAsia="Arial" w:hAnsi="Arial"/>
                <w:sz w:val="16"/>
                <w:szCs w:val="16"/>
                <w:color w:val="auto"/>
              </w:rPr>
              <w:t>Non-cash</w:t>
            </w:r>
          </w:p>
        </w:tc>
        <w:tc>
          <w:tcPr>
            <w:tcW w:w="104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1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0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1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260" w:type="dxa"/>
            <w:vAlign w:val="bottom"/>
          </w:tcPr>
          <w:p>
            <w:pPr>
              <w:spacing w:after="0"/>
              <w:rPr>
                <w:sz w:val="19"/>
                <w:szCs w:val="19"/>
                <w:color w:val="auto"/>
              </w:rPr>
            </w:pPr>
          </w:p>
        </w:tc>
        <w:tc>
          <w:tcPr>
            <w:tcW w:w="1320" w:type="dxa"/>
            <w:vAlign w:val="bottom"/>
          </w:tcPr>
          <w:p>
            <w:pPr>
              <w:spacing w:after="0"/>
              <w:rPr>
                <w:sz w:val="19"/>
                <w:szCs w:val="19"/>
                <w:color w:val="auto"/>
              </w:rPr>
            </w:pPr>
          </w:p>
        </w:tc>
        <w:tc>
          <w:tcPr>
            <w:tcW w:w="10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6"/>
        </w:trPr>
        <w:tc>
          <w:tcPr>
            <w:tcW w:w="1260" w:type="dxa"/>
            <w:vAlign w:val="bottom"/>
          </w:tcPr>
          <w:p>
            <w:pPr>
              <w:ind w:left="40"/>
              <w:spacing w:after="0"/>
              <w:rPr>
                <w:sz w:val="20"/>
                <w:szCs w:val="20"/>
                <w:color w:val="auto"/>
              </w:rPr>
            </w:pPr>
            <w:r>
              <w:rPr>
                <w:rFonts w:ascii="Arial" w:cs="Arial" w:eastAsia="Arial" w:hAnsi="Arial"/>
                <w:sz w:val="16"/>
                <w:szCs w:val="16"/>
                <w:color w:val="auto"/>
              </w:rPr>
              <w:t>compensation</w:t>
            </w:r>
          </w:p>
        </w:tc>
        <w:tc>
          <w:tcPr>
            <w:tcW w:w="1160" w:type="dxa"/>
            <w:vAlign w:val="bottom"/>
            <w:gridSpan w:val="2"/>
          </w:tcPr>
          <w:p>
            <w:pPr>
              <w:jc w:val="right"/>
              <w:ind w:right="240"/>
              <w:spacing w:after="0"/>
              <w:rPr>
                <w:sz w:val="20"/>
                <w:szCs w:val="20"/>
                <w:color w:val="auto"/>
              </w:rPr>
            </w:pPr>
            <w:r>
              <w:rPr>
                <w:rFonts w:ascii="Arial" w:cs="Arial" w:eastAsia="Arial" w:hAnsi="Arial"/>
                <w:sz w:val="16"/>
                <w:szCs w:val="16"/>
                <w:color w:val="auto"/>
              </w:rPr>
              <w:t>—</w:t>
            </w:r>
          </w:p>
        </w:tc>
        <w:tc>
          <w:tcPr>
            <w:tcW w:w="820" w:type="dxa"/>
            <w:vAlign w:val="bottom"/>
            <w:gridSpan w:val="2"/>
          </w:tcPr>
          <w:p>
            <w:pPr>
              <w:jc w:val="right"/>
              <w:ind w:right="240"/>
              <w:spacing w:after="0"/>
              <w:rPr>
                <w:sz w:val="20"/>
                <w:szCs w:val="20"/>
                <w:color w:val="auto"/>
              </w:rPr>
            </w:pPr>
            <w:r>
              <w:rPr>
                <w:rFonts w:ascii="Arial" w:cs="Arial" w:eastAsia="Arial" w:hAnsi="Arial"/>
                <w:sz w:val="16"/>
                <w:szCs w:val="16"/>
                <w:color w:val="auto"/>
              </w:rPr>
              <w:t>—</w:t>
            </w:r>
          </w:p>
        </w:tc>
        <w:tc>
          <w:tcPr>
            <w:tcW w:w="1160" w:type="dxa"/>
            <w:vAlign w:val="bottom"/>
          </w:tcPr>
          <w:p>
            <w:pPr>
              <w:jc w:val="right"/>
              <w:ind w:right="40"/>
              <w:spacing w:after="0"/>
              <w:rPr>
                <w:sz w:val="20"/>
                <w:szCs w:val="20"/>
                <w:color w:val="auto"/>
              </w:rPr>
            </w:pPr>
            <w:r>
              <w:rPr>
                <w:rFonts w:ascii="Arial" w:cs="Arial" w:eastAsia="Arial" w:hAnsi="Arial"/>
                <w:sz w:val="16"/>
                <w:szCs w:val="16"/>
                <w:color w:val="auto"/>
              </w:rPr>
              <w:t>129,865</w:t>
            </w:r>
          </w:p>
        </w:tc>
        <w:tc>
          <w:tcPr>
            <w:tcW w:w="120" w:type="dxa"/>
            <w:vAlign w:val="bottom"/>
          </w:tcPr>
          <w:p>
            <w:pPr>
              <w:spacing w:after="0"/>
              <w:rPr>
                <w:sz w:val="17"/>
                <w:szCs w:val="17"/>
                <w:color w:val="auto"/>
              </w:rPr>
            </w:pPr>
          </w:p>
        </w:tc>
        <w:tc>
          <w:tcPr>
            <w:tcW w:w="800" w:type="dxa"/>
            <w:vAlign w:val="bottom"/>
          </w:tcPr>
          <w:p>
            <w:pPr>
              <w:jc w:val="right"/>
              <w:ind w:right="40"/>
              <w:spacing w:after="0"/>
              <w:rPr>
                <w:sz w:val="20"/>
                <w:szCs w:val="20"/>
                <w:color w:val="auto"/>
              </w:rPr>
            </w:pPr>
            <w:r>
              <w:rPr>
                <w:rFonts w:ascii="Arial" w:cs="Arial" w:eastAsia="Arial" w:hAnsi="Arial"/>
                <w:sz w:val="16"/>
                <w:szCs w:val="16"/>
                <w:color w:val="auto"/>
              </w:rPr>
              <w:t>130</w:t>
            </w:r>
          </w:p>
        </w:tc>
        <w:tc>
          <w:tcPr>
            <w:tcW w:w="120" w:type="dxa"/>
            <w:vAlign w:val="bottom"/>
          </w:tcPr>
          <w:p>
            <w:pPr>
              <w:spacing w:after="0"/>
              <w:rPr>
                <w:sz w:val="17"/>
                <w:szCs w:val="17"/>
                <w:color w:val="auto"/>
              </w:rPr>
            </w:pPr>
          </w:p>
        </w:tc>
        <w:tc>
          <w:tcPr>
            <w:tcW w:w="1120" w:type="dxa"/>
            <w:vAlign w:val="bottom"/>
            <w:gridSpan w:val="2"/>
          </w:tcPr>
          <w:p>
            <w:pPr>
              <w:jc w:val="right"/>
              <w:ind w:right="220"/>
              <w:spacing w:after="0"/>
              <w:rPr>
                <w:sz w:val="20"/>
                <w:szCs w:val="20"/>
                <w:color w:val="auto"/>
              </w:rPr>
            </w:pPr>
            <w:r>
              <w:rPr>
                <w:rFonts w:ascii="Arial" w:cs="Arial" w:eastAsia="Arial" w:hAnsi="Arial"/>
                <w:sz w:val="16"/>
                <w:szCs w:val="16"/>
                <w:color w:val="auto"/>
              </w:rPr>
              <w:t>—</w:t>
            </w:r>
          </w:p>
        </w:tc>
        <w:tc>
          <w:tcPr>
            <w:tcW w:w="1220" w:type="dxa"/>
            <w:vAlign w:val="bottom"/>
            <w:gridSpan w:val="2"/>
          </w:tcPr>
          <w:p>
            <w:pPr>
              <w:jc w:val="right"/>
              <w:ind w:right="200"/>
              <w:spacing w:after="0"/>
              <w:rPr>
                <w:sz w:val="20"/>
                <w:szCs w:val="20"/>
                <w:color w:val="auto"/>
              </w:rPr>
            </w:pPr>
            <w:r>
              <w:rPr>
                <w:rFonts w:ascii="Arial" w:cs="Arial" w:eastAsia="Arial" w:hAnsi="Arial"/>
                <w:sz w:val="16"/>
                <w:szCs w:val="16"/>
                <w:color w:val="auto"/>
              </w:rPr>
              <w:t>—</w:t>
            </w:r>
          </w:p>
        </w:tc>
        <w:tc>
          <w:tcPr>
            <w:tcW w:w="1260" w:type="dxa"/>
            <w:vAlign w:val="bottom"/>
          </w:tcPr>
          <w:p>
            <w:pPr>
              <w:jc w:val="right"/>
              <w:ind w:right="162"/>
              <w:spacing w:after="0"/>
              <w:rPr>
                <w:sz w:val="20"/>
                <w:szCs w:val="20"/>
                <w:color w:val="auto"/>
              </w:rPr>
            </w:pPr>
            <w:r>
              <w:rPr>
                <w:rFonts w:ascii="Arial" w:cs="Arial" w:eastAsia="Arial" w:hAnsi="Arial"/>
                <w:sz w:val="16"/>
                <w:szCs w:val="16"/>
                <w:color w:val="auto"/>
              </w:rPr>
              <w:t>199,871</w:t>
            </w:r>
          </w:p>
        </w:tc>
        <w:tc>
          <w:tcPr>
            <w:tcW w:w="1320" w:type="dxa"/>
            <w:vAlign w:val="bottom"/>
          </w:tcPr>
          <w:p>
            <w:pPr>
              <w:jc w:val="right"/>
              <w:ind w:right="140"/>
              <w:spacing w:after="0"/>
              <w:rPr>
                <w:sz w:val="20"/>
                <w:szCs w:val="20"/>
                <w:color w:val="auto"/>
              </w:rPr>
            </w:pPr>
            <w:r>
              <w:rPr>
                <w:rFonts w:ascii="Arial" w:cs="Arial" w:eastAsia="Arial" w:hAnsi="Arial"/>
                <w:sz w:val="16"/>
                <w:szCs w:val="16"/>
                <w:color w:val="auto"/>
              </w:rPr>
              <w:t>—</w:t>
            </w:r>
          </w:p>
        </w:tc>
        <w:tc>
          <w:tcPr>
            <w:tcW w:w="1000" w:type="dxa"/>
            <w:vAlign w:val="bottom"/>
          </w:tcPr>
          <w:p>
            <w:pPr>
              <w:jc w:val="right"/>
              <w:ind w:right="20"/>
              <w:spacing w:after="0"/>
              <w:rPr>
                <w:sz w:val="20"/>
                <w:szCs w:val="20"/>
                <w:color w:val="auto"/>
              </w:rPr>
            </w:pPr>
            <w:r>
              <w:rPr>
                <w:rFonts w:ascii="Arial" w:cs="Arial" w:eastAsia="Arial" w:hAnsi="Arial"/>
                <w:sz w:val="16"/>
                <w:szCs w:val="16"/>
                <w:color w:val="auto"/>
              </w:rPr>
              <w:t>200,001</w:t>
            </w:r>
          </w:p>
        </w:tc>
        <w:tc>
          <w:tcPr>
            <w:tcW w:w="0" w:type="dxa"/>
            <w:vAlign w:val="bottom"/>
          </w:tcPr>
          <w:p>
            <w:pPr>
              <w:spacing w:after="0"/>
              <w:rPr>
                <w:sz w:val="1"/>
                <w:szCs w:val="1"/>
                <w:color w:val="auto"/>
              </w:rPr>
            </w:pPr>
          </w:p>
        </w:tc>
      </w:tr>
      <w:tr>
        <w:trPr>
          <w:trHeight w:val="33"/>
        </w:trPr>
        <w:tc>
          <w:tcPr>
            <w:tcW w:w="126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20" w:type="dxa"/>
            <w:vAlign w:val="bottom"/>
          </w:tcPr>
          <w:p>
            <w:pPr>
              <w:spacing w:after="0"/>
              <w:rPr>
                <w:sz w:val="2"/>
                <w:szCs w:val="2"/>
                <w:color w:val="auto"/>
              </w:rPr>
            </w:pPr>
          </w:p>
        </w:tc>
        <w:tc>
          <w:tcPr>
            <w:tcW w:w="7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20" w:type="dxa"/>
            <w:vAlign w:val="bottom"/>
          </w:tcPr>
          <w:p>
            <w:pPr>
              <w:spacing w:after="0"/>
              <w:rPr>
                <w:sz w:val="2"/>
                <w:szCs w:val="2"/>
                <w:color w:val="auto"/>
              </w:rPr>
            </w:pPr>
          </w:p>
        </w:tc>
        <w:tc>
          <w:tcPr>
            <w:tcW w:w="8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320" w:type="dxa"/>
            <w:vAlign w:val="bottom"/>
          </w:tcPr>
          <w:p>
            <w:pPr>
              <w:spacing w:after="0"/>
              <w:rPr>
                <w:sz w:val="2"/>
                <w:szCs w:val="2"/>
                <w:color w:val="auto"/>
              </w:rPr>
            </w:pPr>
          </w:p>
        </w:tc>
        <w:tc>
          <w:tcPr>
            <w:tcW w:w="10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20"/>
        </w:trPr>
        <w:tc>
          <w:tcPr>
            <w:tcW w:w="1260" w:type="dxa"/>
            <w:vAlign w:val="bottom"/>
            <w:shd w:val="clear" w:color="auto" w:fill="CCEEFF"/>
          </w:tcPr>
          <w:p>
            <w:pPr>
              <w:ind w:left="40"/>
              <w:spacing w:after="0"/>
              <w:rPr>
                <w:sz w:val="20"/>
                <w:szCs w:val="20"/>
                <w:color w:val="auto"/>
              </w:rPr>
            </w:pPr>
            <w:r>
              <w:rPr>
                <w:rFonts w:ascii="Arial" w:cs="Arial" w:eastAsia="Arial" w:hAnsi="Arial"/>
                <w:sz w:val="16"/>
                <w:szCs w:val="16"/>
                <w:color w:val="auto"/>
              </w:rPr>
              <w:t>Stock dividends</w:t>
            </w:r>
          </w:p>
        </w:tc>
        <w:tc>
          <w:tcPr>
            <w:tcW w:w="104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70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16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80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02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12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260" w:type="dxa"/>
            <w:vAlign w:val="bottom"/>
            <w:shd w:val="clear" w:color="auto" w:fill="CCEEFF"/>
          </w:tcPr>
          <w:p>
            <w:pPr>
              <w:spacing w:after="0"/>
              <w:rPr>
                <w:sz w:val="19"/>
                <w:szCs w:val="19"/>
                <w:color w:val="auto"/>
              </w:rPr>
            </w:pPr>
          </w:p>
        </w:tc>
        <w:tc>
          <w:tcPr>
            <w:tcW w:w="1320" w:type="dxa"/>
            <w:vAlign w:val="bottom"/>
            <w:shd w:val="clear" w:color="auto" w:fill="CCEEFF"/>
          </w:tcPr>
          <w:p>
            <w:pPr>
              <w:spacing w:after="0"/>
              <w:rPr>
                <w:sz w:val="19"/>
                <w:szCs w:val="19"/>
                <w:color w:val="auto"/>
              </w:rPr>
            </w:pPr>
          </w:p>
        </w:tc>
        <w:tc>
          <w:tcPr>
            <w:tcW w:w="100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03"/>
        </w:trPr>
        <w:tc>
          <w:tcPr>
            <w:tcW w:w="1260" w:type="dxa"/>
            <w:vAlign w:val="bottom"/>
            <w:shd w:val="clear" w:color="auto" w:fill="CCEEFF"/>
          </w:tcPr>
          <w:p>
            <w:pPr>
              <w:ind w:left="40"/>
              <w:spacing w:after="0"/>
              <w:rPr>
                <w:sz w:val="20"/>
                <w:szCs w:val="20"/>
                <w:color w:val="auto"/>
              </w:rPr>
            </w:pPr>
            <w:r>
              <w:rPr>
                <w:rFonts w:ascii="Arial" w:cs="Arial" w:eastAsia="Arial" w:hAnsi="Arial"/>
                <w:sz w:val="16"/>
                <w:szCs w:val="16"/>
                <w:color w:val="auto"/>
              </w:rPr>
              <w:t>to Carilion</w:t>
            </w:r>
          </w:p>
        </w:tc>
        <w:tc>
          <w:tcPr>
            <w:tcW w:w="104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70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16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80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0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1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260" w:type="dxa"/>
            <w:vAlign w:val="bottom"/>
            <w:shd w:val="clear" w:color="auto" w:fill="CCEEFF"/>
          </w:tcPr>
          <w:p>
            <w:pPr>
              <w:spacing w:after="0"/>
              <w:rPr>
                <w:sz w:val="17"/>
                <w:szCs w:val="17"/>
                <w:color w:val="auto"/>
              </w:rPr>
            </w:pPr>
          </w:p>
        </w:tc>
        <w:tc>
          <w:tcPr>
            <w:tcW w:w="1320" w:type="dxa"/>
            <w:vAlign w:val="bottom"/>
            <w:shd w:val="clear" w:color="auto" w:fill="CCEEFF"/>
          </w:tcPr>
          <w:p>
            <w:pPr>
              <w:spacing w:after="0"/>
              <w:rPr>
                <w:sz w:val="17"/>
                <w:szCs w:val="17"/>
                <w:color w:val="auto"/>
              </w:rPr>
            </w:pPr>
          </w:p>
        </w:tc>
        <w:tc>
          <w:tcPr>
            <w:tcW w:w="100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39"/>
        </w:trPr>
        <w:tc>
          <w:tcPr>
            <w:tcW w:w="1260" w:type="dxa"/>
            <w:vAlign w:val="bottom"/>
            <w:shd w:val="clear" w:color="auto" w:fill="CCEEFF"/>
          </w:tcPr>
          <w:p>
            <w:pPr>
              <w:ind w:left="40"/>
              <w:spacing w:after="0" w:line="239" w:lineRule="exact"/>
              <w:rPr>
                <w:sz w:val="20"/>
                <w:szCs w:val="20"/>
                <w:color w:val="auto"/>
              </w:rPr>
            </w:pPr>
            <w:r>
              <w:rPr>
                <w:rFonts w:ascii="Arial" w:cs="Arial" w:eastAsia="Arial" w:hAnsi="Arial"/>
                <w:sz w:val="16"/>
                <w:szCs w:val="16"/>
                <w:color w:val="auto"/>
              </w:rPr>
              <w:t>Clinic</w:t>
            </w:r>
            <w:r>
              <w:rPr>
                <w:rFonts w:ascii="Arial" w:cs="Arial" w:eastAsia="Arial" w:hAnsi="Arial"/>
                <w:sz w:val="21"/>
                <w:szCs w:val="21"/>
                <w:color w:val="auto"/>
                <w:vertAlign w:val="superscript"/>
              </w:rPr>
              <w:t>(1)</w:t>
            </w:r>
          </w:p>
        </w:tc>
        <w:tc>
          <w:tcPr>
            <w:tcW w:w="1160" w:type="dxa"/>
            <w:vAlign w:val="bottom"/>
            <w:gridSpan w:val="2"/>
            <w:shd w:val="clear" w:color="auto" w:fill="CCEEFF"/>
          </w:tcPr>
          <w:p>
            <w:pPr>
              <w:jc w:val="right"/>
              <w:ind w:right="240"/>
              <w:spacing w:after="0"/>
              <w:rPr>
                <w:sz w:val="20"/>
                <w:szCs w:val="20"/>
                <w:color w:val="auto"/>
              </w:rPr>
            </w:pPr>
            <w:r>
              <w:rPr>
                <w:rFonts w:ascii="Arial" w:cs="Arial" w:eastAsia="Arial" w:hAnsi="Arial"/>
                <w:sz w:val="16"/>
                <w:szCs w:val="16"/>
                <w:color w:val="auto"/>
              </w:rPr>
              <w:t>—</w:t>
            </w:r>
          </w:p>
        </w:tc>
        <w:tc>
          <w:tcPr>
            <w:tcW w:w="820" w:type="dxa"/>
            <w:vAlign w:val="bottom"/>
            <w:gridSpan w:val="2"/>
            <w:shd w:val="clear" w:color="auto" w:fill="CCEEFF"/>
          </w:tcPr>
          <w:p>
            <w:pPr>
              <w:jc w:val="right"/>
              <w:ind w:right="240"/>
              <w:spacing w:after="0"/>
              <w:rPr>
                <w:sz w:val="20"/>
                <w:szCs w:val="20"/>
                <w:color w:val="auto"/>
              </w:rPr>
            </w:pPr>
            <w:r>
              <w:rPr>
                <w:rFonts w:ascii="Arial" w:cs="Arial" w:eastAsia="Arial" w:hAnsi="Arial"/>
                <w:sz w:val="16"/>
                <w:szCs w:val="16"/>
                <w:color w:val="auto"/>
              </w:rPr>
              <w:t>—</w:t>
            </w:r>
          </w:p>
        </w:tc>
        <w:tc>
          <w:tcPr>
            <w:tcW w:w="1280" w:type="dxa"/>
            <w:vAlign w:val="bottom"/>
            <w:gridSpan w:val="2"/>
            <w:shd w:val="clear" w:color="auto" w:fill="CCEEFF"/>
          </w:tcPr>
          <w:p>
            <w:pPr>
              <w:jc w:val="right"/>
              <w:ind w:right="240"/>
              <w:spacing w:after="0"/>
              <w:rPr>
                <w:sz w:val="20"/>
                <w:szCs w:val="20"/>
                <w:color w:val="auto"/>
              </w:rPr>
            </w:pPr>
            <w:r>
              <w:rPr>
                <w:rFonts w:ascii="Arial" w:cs="Arial" w:eastAsia="Arial" w:hAnsi="Arial"/>
                <w:sz w:val="16"/>
                <w:szCs w:val="16"/>
                <w:color w:val="auto"/>
              </w:rPr>
              <w:t>—</w:t>
            </w:r>
          </w:p>
        </w:tc>
        <w:tc>
          <w:tcPr>
            <w:tcW w:w="800" w:type="dxa"/>
            <w:vAlign w:val="bottom"/>
            <w:shd w:val="clear" w:color="auto" w:fill="CCEEFF"/>
          </w:tcPr>
          <w:p>
            <w:pPr>
              <w:jc w:val="right"/>
              <w:ind w:right="40"/>
              <w:spacing w:after="0"/>
              <w:rPr>
                <w:sz w:val="20"/>
                <w:szCs w:val="20"/>
                <w:color w:val="auto"/>
              </w:rPr>
            </w:pPr>
            <w:r>
              <w:rPr>
                <w:rFonts w:ascii="Arial" w:cs="Arial" w:eastAsia="Arial" w:hAnsi="Arial"/>
                <w:sz w:val="16"/>
                <w:szCs w:val="16"/>
                <w:color w:val="auto"/>
              </w:rPr>
              <w:t>40</w:t>
            </w:r>
          </w:p>
        </w:tc>
        <w:tc>
          <w:tcPr>
            <w:tcW w:w="120" w:type="dxa"/>
            <w:vAlign w:val="bottom"/>
            <w:shd w:val="clear" w:color="auto" w:fill="CCEEFF"/>
          </w:tcPr>
          <w:p>
            <w:pPr>
              <w:spacing w:after="0"/>
              <w:rPr>
                <w:sz w:val="20"/>
                <w:szCs w:val="20"/>
                <w:color w:val="auto"/>
              </w:rPr>
            </w:pPr>
          </w:p>
        </w:tc>
        <w:tc>
          <w:tcPr>
            <w:tcW w:w="1120" w:type="dxa"/>
            <w:vAlign w:val="bottom"/>
            <w:gridSpan w:val="2"/>
            <w:shd w:val="clear" w:color="auto" w:fill="CCEEFF"/>
          </w:tcPr>
          <w:p>
            <w:pPr>
              <w:jc w:val="right"/>
              <w:ind w:right="220"/>
              <w:spacing w:after="0"/>
              <w:rPr>
                <w:sz w:val="20"/>
                <w:szCs w:val="20"/>
                <w:color w:val="auto"/>
              </w:rPr>
            </w:pPr>
            <w:r>
              <w:rPr>
                <w:rFonts w:ascii="Arial" w:cs="Arial" w:eastAsia="Arial" w:hAnsi="Arial"/>
                <w:sz w:val="16"/>
                <w:szCs w:val="16"/>
                <w:color w:val="auto"/>
              </w:rPr>
              <w:t>—</w:t>
            </w:r>
          </w:p>
        </w:tc>
        <w:tc>
          <w:tcPr>
            <w:tcW w:w="1220" w:type="dxa"/>
            <w:vAlign w:val="bottom"/>
            <w:gridSpan w:val="2"/>
            <w:shd w:val="clear" w:color="auto" w:fill="CCEEFF"/>
          </w:tcPr>
          <w:p>
            <w:pPr>
              <w:jc w:val="right"/>
              <w:ind w:right="200"/>
              <w:spacing w:after="0"/>
              <w:rPr>
                <w:sz w:val="20"/>
                <w:szCs w:val="20"/>
                <w:color w:val="auto"/>
              </w:rPr>
            </w:pPr>
            <w:r>
              <w:rPr>
                <w:rFonts w:ascii="Arial" w:cs="Arial" w:eastAsia="Arial" w:hAnsi="Arial"/>
                <w:sz w:val="16"/>
                <w:szCs w:val="16"/>
                <w:color w:val="auto"/>
              </w:rPr>
              <w:t>—</w:t>
            </w:r>
          </w:p>
        </w:tc>
        <w:tc>
          <w:tcPr>
            <w:tcW w:w="1260" w:type="dxa"/>
            <w:vAlign w:val="bottom"/>
            <w:shd w:val="clear" w:color="auto" w:fill="CCEEFF"/>
          </w:tcPr>
          <w:p>
            <w:pPr>
              <w:jc w:val="right"/>
              <w:ind w:right="162"/>
              <w:spacing w:after="0"/>
              <w:rPr>
                <w:sz w:val="20"/>
                <w:szCs w:val="20"/>
                <w:color w:val="auto"/>
              </w:rPr>
            </w:pPr>
            <w:r>
              <w:rPr>
                <w:rFonts w:ascii="Arial" w:cs="Arial" w:eastAsia="Arial" w:hAnsi="Arial"/>
                <w:sz w:val="16"/>
                <w:szCs w:val="16"/>
                <w:color w:val="auto"/>
              </w:rPr>
              <w:t>127,620</w:t>
            </w:r>
          </w:p>
        </w:tc>
        <w:tc>
          <w:tcPr>
            <w:tcW w:w="1320" w:type="dxa"/>
            <w:vAlign w:val="bottom"/>
            <w:shd w:val="clear" w:color="auto" w:fill="CCEEFF"/>
          </w:tcPr>
          <w:p>
            <w:pPr>
              <w:jc w:val="right"/>
              <w:ind w:right="80"/>
              <w:spacing w:after="0"/>
              <w:rPr>
                <w:sz w:val="20"/>
                <w:szCs w:val="20"/>
                <w:color w:val="auto"/>
              </w:rPr>
            </w:pPr>
            <w:r>
              <w:rPr>
                <w:rFonts w:ascii="Arial" w:cs="Arial" w:eastAsia="Arial" w:hAnsi="Arial"/>
                <w:sz w:val="16"/>
                <w:szCs w:val="16"/>
                <w:color w:val="auto"/>
              </w:rPr>
              <w:t>(127,660)</w:t>
            </w:r>
          </w:p>
        </w:tc>
        <w:tc>
          <w:tcPr>
            <w:tcW w:w="1000" w:type="dxa"/>
            <w:vAlign w:val="bottom"/>
            <w:shd w:val="clear" w:color="auto" w:fill="CCEEFF"/>
          </w:tcPr>
          <w:p>
            <w:pPr>
              <w:jc w:val="right"/>
              <w:ind w:right="20"/>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37"/>
        </w:trPr>
        <w:tc>
          <w:tcPr>
            <w:tcW w:w="1260" w:type="dxa"/>
            <w:vAlign w:val="bottom"/>
          </w:tcPr>
          <w:p>
            <w:pPr>
              <w:ind w:left="40"/>
              <w:spacing w:after="0"/>
              <w:rPr>
                <w:sz w:val="20"/>
                <w:szCs w:val="20"/>
                <w:color w:val="auto"/>
              </w:rPr>
            </w:pPr>
            <w:r>
              <w:rPr>
                <w:rFonts w:ascii="Arial" w:cs="Arial" w:eastAsia="Arial" w:hAnsi="Arial"/>
                <w:sz w:val="16"/>
                <w:szCs w:val="16"/>
                <w:color w:val="auto"/>
              </w:rPr>
              <w:t>Net Income</w:t>
            </w:r>
          </w:p>
        </w:tc>
        <w:tc>
          <w:tcPr>
            <w:tcW w:w="1160" w:type="dxa"/>
            <w:vAlign w:val="bottom"/>
            <w:gridSpan w:val="2"/>
          </w:tcPr>
          <w:p>
            <w:pPr>
              <w:jc w:val="right"/>
              <w:ind w:right="240"/>
              <w:spacing w:after="0"/>
              <w:rPr>
                <w:sz w:val="20"/>
                <w:szCs w:val="20"/>
                <w:color w:val="auto"/>
              </w:rPr>
            </w:pPr>
            <w:r>
              <w:rPr>
                <w:rFonts w:ascii="Arial" w:cs="Arial" w:eastAsia="Arial" w:hAnsi="Arial"/>
                <w:sz w:val="16"/>
                <w:szCs w:val="16"/>
                <w:color w:val="auto"/>
              </w:rPr>
              <w:t>—</w:t>
            </w:r>
          </w:p>
        </w:tc>
        <w:tc>
          <w:tcPr>
            <w:tcW w:w="820" w:type="dxa"/>
            <w:vAlign w:val="bottom"/>
            <w:gridSpan w:val="2"/>
          </w:tcPr>
          <w:p>
            <w:pPr>
              <w:jc w:val="right"/>
              <w:ind w:right="240"/>
              <w:spacing w:after="0"/>
              <w:rPr>
                <w:sz w:val="20"/>
                <w:szCs w:val="20"/>
                <w:color w:val="auto"/>
              </w:rPr>
            </w:pPr>
            <w:r>
              <w:rPr>
                <w:rFonts w:ascii="Arial" w:cs="Arial" w:eastAsia="Arial" w:hAnsi="Arial"/>
                <w:sz w:val="16"/>
                <w:szCs w:val="16"/>
                <w:color w:val="auto"/>
              </w:rPr>
              <w:t>—</w:t>
            </w:r>
          </w:p>
        </w:tc>
        <w:tc>
          <w:tcPr>
            <w:tcW w:w="1280" w:type="dxa"/>
            <w:vAlign w:val="bottom"/>
            <w:gridSpan w:val="2"/>
          </w:tcPr>
          <w:p>
            <w:pPr>
              <w:jc w:val="right"/>
              <w:ind w:right="240"/>
              <w:spacing w:after="0"/>
              <w:rPr>
                <w:sz w:val="20"/>
                <w:szCs w:val="20"/>
                <w:color w:val="auto"/>
              </w:rPr>
            </w:pPr>
            <w:r>
              <w:rPr>
                <w:rFonts w:ascii="Arial" w:cs="Arial" w:eastAsia="Arial" w:hAnsi="Arial"/>
                <w:sz w:val="16"/>
                <w:szCs w:val="16"/>
                <w:color w:val="auto"/>
              </w:rPr>
              <w:t>—</w:t>
            </w:r>
          </w:p>
        </w:tc>
        <w:tc>
          <w:tcPr>
            <w:tcW w:w="920" w:type="dxa"/>
            <w:vAlign w:val="bottom"/>
            <w:gridSpan w:val="2"/>
          </w:tcPr>
          <w:p>
            <w:pPr>
              <w:jc w:val="right"/>
              <w:ind w:right="240"/>
              <w:spacing w:after="0"/>
              <w:rPr>
                <w:sz w:val="20"/>
                <w:szCs w:val="20"/>
                <w:color w:val="auto"/>
              </w:rPr>
            </w:pPr>
            <w:r>
              <w:rPr>
                <w:rFonts w:ascii="Arial" w:cs="Arial" w:eastAsia="Arial" w:hAnsi="Arial"/>
                <w:sz w:val="16"/>
                <w:szCs w:val="16"/>
                <w:color w:val="auto"/>
              </w:rPr>
              <w:t>—</w:t>
            </w:r>
          </w:p>
        </w:tc>
        <w:tc>
          <w:tcPr>
            <w:tcW w:w="1120" w:type="dxa"/>
            <w:vAlign w:val="bottom"/>
            <w:gridSpan w:val="2"/>
          </w:tcPr>
          <w:p>
            <w:pPr>
              <w:jc w:val="right"/>
              <w:ind w:right="220"/>
              <w:spacing w:after="0"/>
              <w:rPr>
                <w:sz w:val="20"/>
                <w:szCs w:val="20"/>
                <w:color w:val="auto"/>
              </w:rPr>
            </w:pPr>
            <w:r>
              <w:rPr>
                <w:rFonts w:ascii="Arial" w:cs="Arial" w:eastAsia="Arial" w:hAnsi="Arial"/>
                <w:sz w:val="16"/>
                <w:szCs w:val="16"/>
                <w:color w:val="auto"/>
              </w:rPr>
              <w:t>—</w:t>
            </w:r>
          </w:p>
        </w:tc>
        <w:tc>
          <w:tcPr>
            <w:tcW w:w="1220" w:type="dxa"/>
            <w:vAlign w:val="bottom"/>
            <w:gridSpan w:val="2"/>
          </w:tcPr>
          <w:p>
            <w:pPr>
              <w:jc w:val="right"/>
              <w:ind w:right="200"/>
              <w:spacing w:after="0"/>
              <w:rPr>
                <w:sz w:val="20"/>
                <w:szCs w:val="20"/>
                <w:color w:val="auto"/>
              </w:rPr>
            </w:pPr>
            <w:r>
              <w:rPr>
                <w:rFonts w:ascii="Arial" w:cs="Arial" w:eastAsia="Arial" w:hAnsi="Arial"/>
                <w:sz w:val="16"/>
                <w:szCs w:val="16"/>
                <w:color w:val="auto"/>
              </w:rPr>
              <w:t>—</w:t>
            </w:r>
          </w:p>
        </w:tc>
        <w:tc>
          <w:tcPr>
            <w:tcW w:w="1260" w:type="dxa"/>
            <w:vAlign w:val="bottom"/>
          </w:tcPr>
          <w:p>
            <w:pPr>
              <w:jc w:val="right"/>
              <w:ind w:right="162"/>
              <w:spacing w:after="0"/>
              <w:rPr>
                <w:sz w:val="20"/>
                <w:szCs w:val="20"/>
                <w:color w:val="auto"/>
              </w:rPr>
            </w:pPr>
            <w:r>
              <w:rPr>
                <w:rFonts w:ascii="Arial" w:cs="Arial" w:eastAsia="Arial" w:hAnsi="Arial"/>
                <w:sz w:val="16"/>
                <w:szCs w:val="16"/>
                <w:color w:val="auto"/>
              </w:rPr>
              <w:t>—</w:t>
            </w:r>
          </w:p>
        </w:tc>
        <w:tc>
          <w:tcPr>
            <w:tcW w:w="1320" w:type="dxa"/>
            <w:vAlign w:val="bottom"/>
          </w:tcPr>
          <w:p>
            <w:pPr>
              <w:jc w:val="right"/>
              <w:ind w:right="140"/>
              <w:spacing w:after="0"/>
              <w:rPr>
                <w:sz w:val="20"/>
                <w:szCs w:val="20"/>
                <w:color w:val="auto"/>
              </w:rPr>
            </w:pPr>
            <w:r>
              <w:rPr>
                <w:rFonts w:ascii="Arial" w:cs="Arial" w:eastAsia="Arial" w:hAnsi="Arial"/>
                <w:sz w:val="16"/>
                <w:szCs w:val="16"/>
                <w:color w:val="auto"/>
              </w:rPr>
              <w:t>1,216,003</w:t>
            </w:r>
          </w:p>
        </w:tc>
        <w:tc>
          <w:tcPr>
            <w:tcW w:w="1000" w:type="dxa"/>
            <w:vAlign w:val="bottom"/>
          </w:tcPr>
          <w:p>
            <w:pPr>
              <w:jc w:val="right"/>
              <w:ind w:right="20"/>
              <w:spacing w:after="0"/>
              <w:rPr>
                <w:sz w:val="20"/>
                <w:szCs w:val="20"/>
                <w:color w:val="auto"/>
              </w:rPr>
            </w:pPr>
            <w:r>
              <w:rPr>
                <w:rFonts w:ascii="Arial" w:cs="Arial" w:eastAsia="Arial" w:hAnsi="Arial"/>
                <w:sz w:val="16"/>
                <w:szCs w:val="16"/>
                <w:color w:val="auto"/>
              </w:rPr>
              <w:t>1,216,003</w:t>
            </w:r>
          </w:p>
        </w:tc>
        <w:tc>
          <w:tcPr>
            <w:tcW w:w="0" w:type="dxa"/>
            <w:vAlign w:val="bottom"/>
          </w:tcPr>
          <w:p>
            <w:pPr>
              <w:spacing w:after="0"/>
              <w:rPr>
                <w:sz w:val="1"/>
                <w:szCs w:val="1"/>
                <w:color w:val="auto"/>
              </w:rPr>
            </w:pPr>
          </w:p>
        </w:tc>
      </w:tr>
      <w:tr>
        <w:trPr>
          <w:trHeight w:val="33"/>
        </w:trPr>
        <w:tc>
          <w:tcPr>
            <w:tcW w:w="126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20" w:type="dxa"/>
            <w:vAlign w:val="bottom"/>
          </w:tcPr>
          <w:p>
            <w:pPr>
              <w:spacing w:after="0"/>
              <w:rPr>
                <w:sz w:val="2"/>
                <w:szCs w:val="2"/>
                <w:color w:val="auto"/>
              </w:rPr>
            </w:pPr>
          </w:p>
        </w:tc>
        <w:tc>
          <w:tcPr>
            <w:tcW w:w="7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20" w:type="dxa"/>
            <w:vAlign w:val="bottom"/>
          </w:tcPr>
          <w:p>
            <w:pPr>
              <w:spacing w:after="0"/>
              <w:rPr>
                <w:sz w:val="2"/>
                <w:szCs w:val="2"/>
                <w:color w:val="auto"/>
              </w:rPr>
            </w:pPr>
          </w:p>
        </w:tc>
        <w:tc>
          <w:tcPr>
            <w:tcW w:w="8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320" w:type="dxa"/>
            <w:vAlign w:val="bottom"/>
          </w:tcPr>
          <w:p>
            <w:pPr>
              <w:spacing w:after="0"/>
              <w:rPr>
                <w:sz w:val="2"/>
                <w:szCs w:val="2"/>
                <w:color w:val="auto"/>
              </w:rPr>
            </w:pPr>
          </w:p>
        </w:tc>
        <w:tc>
          <w:tcPr>
            <w:tcW w:w="10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20"/>
        </w:trPr>
        <w:tc>
          <w:tcPr>
            <w:tcW w:w="1260" w:type="dxa"/>
            <w:vAlign w:val="bottom"/>
            <w:shd w:val="clear" w:color="auto" w:fill="CCEEFF"/>
          </w:tcPr>
          <w:p>
            <w:pPr>
              <w:ind w:left="40"/>
              <w:spacing w:after="0"/>
              <w:rPr>
                <w:sz w:val="20"/>
                <w:szCs w:val="20"/>
                <w:color w:val="auto"/>
              </w:rPr>
            </w:pPr>
            <w:r>
              <w:rPr>
                <w:rFonts w:ascii="Arial" w:cs="Arial" w:eastAsia="Arial" w:hAnsi="Arial"/>
                <w:sz w:val="16"/>
                <w:szCs w:val="16"/>
                <w:color w:val="auto"/>
              </w:rPr>
              <w:t>Purchase of</w:t>
            </w:r>
          </w:p>
        </w:tc>
        <w:tc>
          <w:tcPr>
            <w:tcW w:w="104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70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16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80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02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12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260" w:type="dxa"/>
            <w:vAlign w:val="bottom"/>
            <w:shd w:val="clear" w:color="auto" w:fill="CCEEFF"/>
          </w:tcPr>
          <w:p>
            <w:pPr>
              <w:spacing w:after="0"/>
              <w:rPr>
                <w:sz w:val="19"/>
                <w:szCs w:val="19"/>
                <w:color w:val="auto"/>
              </w:rPr>
            </w:pPr>
          </w:p>
        </w:tc>
        <w:tc>
          <w:tcPr>
            <w:tcW w:w="1320" w:type="dxa"/>
            <w:vAlign w:val="bottom"/>
            <w:shd w:val="clear" w:color="auto" w:fill="CCEEFF"/>
          </w:tcPr>
          <w:p>
            <w:pPr>
              <w:spacing w:after="0"/>
              <w:rPr>
                <w:sz w:val="19"/>
                <w:szCs w:val="19"/>
                <w:color w:val="auto"/>
              </w:rPr>
            </w:pPr>
          </w:p>
        </w:tc>
        <w:tc>
          <w:tcPr>
            <w:tcW w:w="100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39"/>
        </w:trPr>
        <w:tc>
          <w:tcPr>
            <w:tcW w:w="12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treasury stock</w:t>
            </w:r>
          </w:p>
        </w:tc>
        <w:tc>
          <w:tcPr>
            <w:tcW w:w="1160" w:type="dxa"/>
            <w:vAlign w:val="bottom"/>
            <w:tcBorders>
              <w:bottom w:val="single" w:sz="8" w:color="CCEEFF"/>
            </w:tcBorders>
            <w:gridSpan w:val="2"/>
            <w:shd w:val="clear" w:color="auto" w:fill="CCEEFF"/>
          </w:tcPr>
          <w:p>
            <w:pPr>
              <w:jc w:val="right"/>
              <w:ind w:right="240"/>
              <w:spacing w:after="0"/>
              <w:rPr>
                <w:sz w:val="20"/>
                <w:szCs w:val="20"/>
                <w:color w:val="auto"/>
              </w:rPr>
            </w:pPr>
            <w:r>
              <w:rPr>
                <w:rFonts w:ascii="Arial" w:cs="Arial" w:eastAsia="Arial" w:hAnsi="Arial"/>
                <w:sz w:val="16"/>
                <w:szCs w:val="16"/>
                <w:color w:val="auto"/>
              </w:rPr>
              <w:t>—</w:t>
            </w:r>
          </w:p>
        </w:tc>
        <w:tc>
          <w:tcPr>
            <w:tcW w:w="820" w:type="dxa"/>
            <w:vAlign w:val="bottom"/>
            <w:tcBorders>
              <w:bottom w:val="single" w:sz="8" w:color="CCEEFF"/>
            </w:tcBorders>
            <w:gridSpan w:val="2"/>
            <w:shd w:val="clear" w:color="auto" w:fill="CCEEFF"/>
          </w:tcPr>
          <w:p>
            <w:pPr>
              <w:jc w:val="right"/>
              <w:ind w:right="240"/>
              <w:spacing w:after="0"/>
              <w:rPr>
                <w:sz w:val="20"/>
                <w:szCs w:val="20"/>
                <w:color w:val="auto"/>
              </w:rPr>
            </w:pPr>
            <w:r>
              <w:rPr>
                <w:rFonts w:ascii="Arial" w:cs="Arial" w:eastAsia="Arial" w:hAnsi="Arial"/>
                <w:sz w:val="16"/>
                <w:szCs w:val="16"/>
                <w:color w:val="auto"/>
              </w:rPr>
              <w:t>—</w:t>
            </w:r>
          </w:p>
        </w:tc>
        <w:tc>
          <w:tcPr>
            <w:tcW w:w="1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(182,201)</w:t>
            </w:r>
          </w:p>
        </w:tc>
        <w:tc>
          <w:tcPr>
            <w:tcW w:w="120" w:type="dxa"/>
            <w:vAlign w:val="bottom"/>
            <w:tcBorders>
              <w:bottom w:val="single" w:sz="8" w:color="CCEEFF"/>
            </w:tcBorders>
            <w:shd w:val="clear" w:color="auto" w:fill="CCEEFF"/>
          </w:tcPr>
          <w:p>
            <w:pPr>
              <w:spacing w:after="0"/>
              <w:rPr>
                <w:sz w:val="20"/>
                <w:szCs w:val="20"/>
                <w:color w:val="auto"/>
              </w:rPr>
            </w:pPr>
          </w:p>
        </w:tc>
        <w:tc>
          <w:tcPr>
            <w:tcW w:w="920" w:type="dxa"/>
            <w:vAlign w:val="bottom"/>
            <w:tcBorders>
              <w:bottom w:val="single" w:sz="8" w:color="CCEEFF"/>
            </w:tcBorders>
            <w:gridSpan w:val="2"/>
            <w:shd w:val="clear" w:color="auto" w:fill="CCEEFF"/>
          </w:tcPr>
          <w:p>
            <w:pPr>
              <w:jc w:val="right"/>
              <w:ind w:right="240"/>
              <w:spacing w:after="0"/>
              <w:rPr>
                <w:sz w:val="20"/>
                <w:szCs w:val="20"/>
                <w:color w:val="auto"/>
              </w:rPr>
            </w:pPr>
            <w:r>
              <w:rPr>
                <w:rFonts w:ascii="Arial" w:cs="Arial" w:eastAsia="Arial" w:hAnsi="Arial"/>
                <w:sz w:val="16"/>
                <w:szCs w:val="16"/>
                <w:color w:val="auto"/>
              </w:rPr>
              <w:t>—</w:t>
            </w:r>
          </w:p>
        </w:tc>
        <w:tc>
          <w:tcPr>
            <w:tcW w:w="102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182,201</w:t>
            </w:r>
          </w:p>
        </w:tc>
        <w:tc>
          <w:tcPr>
            <w:tcW w:w="100" w:type="dxa"/>
            <w:vAlign w:val="bottom"/>
            <w:tcBorders>
              <w:bottom w:val="single" w:sz="8" w:color="CCEEFF"/>
            </w:tcBorders>
            <w:shd w:val="clear" w:color="auto" w:fill="CCEEFF"/>
          </w:tcPr>
          <w:p>
            <w:pPr>
              <w:spacing w:after="0"/>
              <w:rPr>
                <w:sz w:val="20"/>
                <w:szCs w:val="20"/>
                <w:color w:val="auto"/>
              </w:rPr>
            </w:pPr>
          </w:p>
        </w:tc>
        <w:tc>
          <w:tcPr>
            <w:tcW w:w="1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(466,894)</w:t>
            </w:r>
          </w:p>
        </w:tc>
        <w:tc>
          <w:tcPr>
            <w:tcW w:w="100" w:type="dxa"/>
            <w:vAlign w:val="bottom"/>
            <w:tcBorders>
              <w:bottom w:val="single" w:sz="8" w:color="CCEEFF"/>
            </w:tcBorders>
            <w:shd w:val="clear" w:color="auto" w:fill="CCEEFF"/>
          </w:tcPr>
          <w:p>
            <w:pPr>
              <w:spacing w:after="0"/>
              <w:rPr>
                <w:sz w:val="20"/>
                <w:szCs w:val="20"/>
                <w:color w:val="auto"/>
              </w:rPr>
            </w:pPr>
          </w:p>
        </w:tc>
        <w:tc>
          <w:tcPr>
            <w:tcW w:w="1260" w:type="dxa"/>
            <w:vAlign w:val="bottom"/>
            <w:tcBorders>
              <w:bottom w:val="single" w:sz="8" w:color="CCEEFF"/>
            </w:tcBorders>
            <w:shd w:val="clear" w:color="auto" w:fill="CCEEFF"/>
          </w:tcPr>
          <w:p>
            <w:pPr>
              <w:jc w:val="right"/>
              <w:ind w:right="162"/>
              <w:spacing w:after="0"/>
              <w:rPr>
                <w:sz w:val="20"/>
                <w:szCs w:val="20"/>
                <w:color w:val="auto"/>
              </w:rPr>
            </w:pPr>
            <w:r>
              <w:rPr>
                <w:rFonts w:ascii="Arial" w:cs="Arial" w:eastAsia="Arial" w:hAnsi="Arial"/>
                <w:sz w:val="16"/>
                <w:szCs w:val="16"/>
                <w:color w:val="auto"/>
              </w:rPr>
              <w:t>—</w:t>
            </w:r>
          </w:p>
        </w:tc>
        <w:tc>
          <w:tcPr>
            <w:tcW w:w="1320" w:type="dxa"/>
            <w:vAlign w:val="bottom"/>
            <w:tcBorders>
              <w:bottom w:val="single" w:sz="8" w:color="CCEEFF"/>
            </w:tcBorders>
            <w:shd w:val="clear" w:color="auto" w:fill="CCEEFF"/>
          </w:tcPr>
          <w:p>
            <w:pPr>
              <w:jc w:val="right"/>
              <w:ind w:right="140"/>
              <w:spacing w:after="0"/>
              <w:rPr>
                <w:sz w:val="20"/>
                <w:szCs w:val="20"/>
                <w:color w:val="auto"/>
              </w:rPr>
            </w:pPr>
            <w:r>
              <w:rPr>
                <w:rFonts w:ascii="Arial" w:cs="Arial" w:eastAsia="Arial" w:hAnsi="Arial"/>
                <w:sz w:val="16"/>
                <w:szCs w:val="16"/>
                <w:color w:val="auto"/>
              </w:rPr>
              <w:t>—</w:t>
            </w:r>
          </w:p>
        </w:tc>
        <w:tc>
          <w:tcPr>
            <w:tcW w:w="10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(466,894)</w:t>
            </w:r>
          </w:p>
        </w:tc>
        <w:tc>
          <w:tcPr>
            <w:tcW w:w="0" w:type="dxa"/>
            <w:vAlign w:val="bottom"/>
          </w:tcPr>
          <w:p>
            <w:pPr>
              <w:spacing w:after="0"/>
              <w:rPr>
                <w:sz w:val="1"/>
                <w:szCs w:val="1"/>
                <w:color w:val="auto"/>
              </w:rPr>
            </w:pPr>
          </w:p>
        </w:tc>
      </w:tr>
      <w:tr>
        <w:trPr>
          <w:trHeight w:val="200"/>
        </w:trPr>
        <w:tc>
          <w:tcPr>
            <w:tcW w:w="1260" w:type="dxa"/>
            <w:vAlign w:val="bottom"/>
          </w:tcPr>
          <w:p>
            <w:pPr>
              <w:ind w:left="40"/>
              <w:spacing w:after="0"/>
              <w:rPr>
                <w:sz w:val="20"/>
                <w:szCs w:val="20"/>
                <w:color w:val="auto"/>
              </w:rPr>
            </w:pPr>
            <w:r>
              <w:rPr>
                <w:rFonts w:ascii="Arial" w:cs="Arial" w:eastAsia="Arial" w:hAnsi="Arial"/>
                <w:sz w:val="16"/>
                <w:szCs w:val="16"/>
                <w:color w:val="auto"/>
                <w:w w:val="93"/>
              </w:rPr>
              <w:t>Balance, June 30,</w:t>
            </w:r>
          </w:p>
        </w:tc>
        <w:tc>
          <w:tcPr>
            <w:tcW w:w="1040" w:type="dxa"/>
            <w:vAlign w:val="bottom"/>
            <w:tcBorders>
              <w:top w:val="single" w:sz="8" w:color="auto"/>
            </w:tcBorders>
            <w:vMerge w:val="restart"/>
          </w:tcPr>
          <w:p>
            <w:pPr>
              <w:jc w:val="right"/>
              <w:ind w:right="40"/>
              <w:spacing w:after="0"/>
              <w:rPr>
                <w:sz w:val="20"/>
                <w:szCs w:val="20"/>
                <w:color w:val="auto"/>
              </w:rPr>
            </w:pPr>
            <w:r>
              <w:rPr>
                <w:rFonts w:ascii="Arial" w:cs="Arial" w:eastAsia="Arial" w:hAnsi="Arial"/>
                <w:sz w:val="16"/>
                <w:szCs w:val="16"/>
                <w:color w:val="auto"/>
              </w:rPr>
              <w:t>1,321,514</w:t>
            </w:r>
          </w:p>
        </w:tc>
        <w:tc>
          <w:tcPr>
            <w:tcW w:w="120" w:type="dxa"/>
            <w:vAlign w:val="bottom"/>
          </w:tcPr>
          <w:p>
            <w:pPr>
              <w:spacing w:after="0"/>
              <w:rPr>
                <w:sz w:val="17"/>
                <w:szCs w:val="17"/>
                <w:color w:val="auto"/>
              </w:rPr>
            </w:pPr>
          </w:p>
        </w:tc>
        <w:tc>
          <w:tcPr>
            <w:tcW w:w="700" w:type="dxa"/>
            <w:vAlign w:val="bottom"/>
            <w:tcBorders>
              <w:top w:val="single" w:sz="8" w:color="auto"/>
            </w:tcBorders>
            <w:vMerge w:val="restart"/>
          </w:tcPr>
          <w:p>
            <w:pPr>
              <w:jc w:val="right"/>
              <w:ind w:right="39"/>
              <w:spacing w:after="0"/>
              <w:rPr>
                <w:sz w:val="20"/>
                <w:szCs w:val="20"/>
                <w:color w:val="auto"/>
              </w:rPr>
            </w:pPr>
            <w:r>
              <w:rPr>
                <w:rFonts w:ascii="Arial" w:cs="Arial" w:eastAsia="Arial" w:hAnsi="Arial"/>
                <w:sz w:val="16"/>
                <w:szCs w:val="16"/>
                <w:color w:val="auto"/>
              </w:rPr>
              <w:t>1,322</w:t>
            </w:r>
          </w:p>
        </w:tc>
        <w:tc>
          <w:tcPr>
            <w:tcW w:w="120" w:type="dxa"/>
            <w:vAlign w:val="bottom"/>
          </w:tcPr>
          <w:p>
            <w:pPr>
              <w:spacing w:after="0"/>
              <w:rPr>
                <w:sz w:val="17"/>
                <w:szCs w:val="17"/>
                <w:color w:val="auto"/>
              </w:rPr>
            </w:pPr>
          </w:p>
        </w:tc>
        <w:tc>
          <w:tcPr>
            <w:tcW w:w="1160" w:type="dxa"/>
            <w:vAlign w:val="bottom"/>
            <w:tcBorders>
              <w:top w:val="single" w:sz="8" w:color="auto"/>
            </w:tcBorders>
            <w:vMerge w:val="restart"/>
          </w:tcPr>
          <w:p>
            <w:pPr>
              <w:jc w:val="right"/>
              <w:ind w:right="40"/>
              <w:spacing w:after="0"/>
              <w:rPr>
                <w:sz w:val="20"/>
                <w:szCs w:val="20"/>
                <w:color w:val="auto"/>
              </w:rPr>
            </w:pPr>
            <w:r>
              <w:rPr>
                <w:rFonts w:ascii="Arial" w:cs="Arial" w:eastAsia="Arial" w:hAnsi="Arial"/>
                <w:sz w:val="16"/>
                <w:szCs w:val="16"/>
                <w:color w:val="auto"/>
              </w:rPr>
              <w:t>27,772,424</w:t>
            </w:r>
          </w:p>
        </w:tc>
        <w:tc>
          <w:tcPr>
            <w:tcW w:w="120" w:type="dxa"/>
            <w:vAlign w:val="bottom"/>
          </w:tcPr>
          <w:p>
            <w:pPr>
              <w:spacing w:after="0"/>
              <w:rPr>
                <w:sz w:val="17"/>
                <w:szCs w:val="17"/>
                <w:color w:val="auto"/>
              </w:rPr>
            </w:pPr>
          </w:p>
        </w:tc>
        <w:tc>
          <w:tcPr>
            <w:tcW w:w="800" w:type="dxa"/>
            <w:vAlign w:val="bottom"/>
            <w:tcBorders>
              <w:top w:val="single" w:sz="8" w:color="auto"/>
            </w:tcBorders>
            <w:vMerge w:val="restart"/>
          </w:tcPr>
          <w:p>
            <w:pPr>
              <w:jc w:val="right"/>
              <w:ind w:right="40"/>
              <w:spacing w:after="0"/>
              <w:rPr>
                <w:sz w:val="20"/>
                <w:szCs w:val="20"/>
                <w:color w:val="auto"/>
              </w:rPr>
            </w:pPr>
            <w:r>
              <w:rPr>
                <w:rFonts w:ascii="Arial" w:cs="Arial" w:eastAsia="Arial" w:hAnsi="Arial"/>
                <w:sz w:val="16"/>
                <w:szCs w:val="16"/>
                <w:color w:val="auto"/>
              </w:rPr>
              <w:t>29,897</w:t>
            </w:r>
          </w:p>
        </w:tc>
        <w:tc>
          <w:tcPr>
            <w:tcW w:w="120" w:type="dxa"/>
            <w:vAlign w:val="bottom"/>
          </w:tcPr>
          <w:p>
            <w:pPr>
              <w:spacing w:after="0"/>
              <w:rPr>
                <w:sz w:val="17"/>
                <w:szCs w:val="17"/>
                <w:color w:val="auto"/>
              </w:rPr>
            </w:pPr>
          </w:p>
        </w:tc>
        <w:tc>
          <w:tcPr>
            <w:tcW w:w="1020" w:type="dxa"/>
            <w:vAlign w:val="bottom"/>
            <w:tcBorders>
              <w:top w:val="single" w:sz="8" w:color="auto"/>
            </w:tcBorders>
            <w:vMerge w:val="restart"/>
          </w:tcPr>
          <w:p>
            <w:pPr>
              <w:jc w:val="right"/>
              <w:ind w:right="40"/>
              <w:spacing w:after="0"/>
              <w:rPr>
                <w:sz w:val="20"/>
                <w:szCs w:val="20"/>
                <w:color w:val="auto"/>
              </w:rPr>
            </w:pPr>
            <w:r>
              <w:rPr>
                <w:rFonts w:ascii="Arial" w:cs="Arial" w:eastAsia="Arial" w:hAnsi="Arial"/>
                <w:sz w:val="16"/>
                <w:szCs w:val="16"/>
                <w:color w:val="auto"/>
              </w:rPr>
              <w:t>1,253,105</w:t>
            </w:r>
          </w:p>
        </w:tc>
        <w:tc>
          <w:tcPr>
            <w:tcW w:w="100" w:type="dxa"/>
            <w:vAlign w:val="bottom"/>
          </w:tcPr>
          <w:p>
            <w:pPr>
              <w:spacing w:after="0"/>
              <w:rPr>
                <w:sz w:val="17"/>
                <w:szCs w:val="17"/>
                <w:color w:val="auto"/>
              </w:rPr>
            </w:pPr>
          </w:p>
        </w:tc>
        <w:tc>
          <w:tcPr>
            <w:tcW w:w="1120" w:type="dxa"/>
            <w:vAlign w:val="bottom"/>
            <w:tcBorders>
              <w:top w:val="single" w:sz="8" w:color="auto"/>
            </w:tcBorders>
            <w:vMerge w:val="restart"/>
          </w:tcPr>
          <w:p>
            <w:pPr>
              <w:jc w:val="right"/>
              <w:spacing w:after="0"/>
              <w:rPr>
                <w:sz w:val="20"/>
                <w:szCs w:val="20"/>
                <w:color w:val="auto"/>
              </w:rPr>
            </w:pPr>
            <w:r>
              <w:rPr>
                <w:rFonts w:ascii="Arial" w:cs="Arial" w:eastAsia="Arial" w:hAnsi="Arial"/>
                <w:sz w:val="16"/>
                <w:szCs w:val="16"/>
                <w:color w:val="auto"/>
              </w:rPr>
              <w:t>(2,116,640)</w:t>
            </w:r>
          </w:p>
        </w:tc>
        <w:tc>
          <w:tcPr>
            <w:tcW w:w="100" w:type="dxa"/>
            <w:vAlign w:val="bottom"/>
          </w:tcPr>
          <w:p>
            <w:pPr>
              <w:spacing w:after="0"/>
              <w:rPr>
                <w:sz w:val="17"/>
                <w:szCs w:val="17"/>
                <w:color w:val="auto"/>
              </w:rPr>
            </w:pPr>
          </w:p>
        </w:tc>
        <w:tc>
          <w:tcPr>
            <w:tcW w:w="1260" w:type="dxa"/>
            <w:vAlign w:val="bottom"/>
            <w:tcBorders>
              <w:top w:val="single" w:sz="8" w:color="auto"/>
            </w:tcBorders>
            <w:vMerge w:val="restart"/>
          </w:tcPr>
          <w:p>
            <w:pPr>
              <w:jc w:val="right"/>
              <w:ind w:right="162"/>
              <w:spacing w:after="0"/>
              <w:rPr>
                <w:sz w:val="20"/>
                <w:szCs w:val="20"/>
                <w:color w:val="auto"/>
              </w:rPr>
            </w:pPr>
            <w:r>
              <w:rPr>
                <w:rFonts w:ascii="Arial" w:cs="Arial" w:eastAsia="Arial" w:hAnsi="Arial"/>
                <w:sz w:val="16"/>
                <w:szCs w:val="16"/>
                <w:color w:val="auto"/>
              </w:rPr>
              <w:t>84,742,385</w:t>
            </w:r>
          </w:p>
        </w:tc>
        <w:tc>
          <w:tcPr>
            <w:tcW w:w="1320" w:type="dxa"/>
            <w:vAlign w:val="bottom"/>
            <w:tcBorders>
              <w:top w:val="single" w:sz="8" w:color="auto"/>
            </w:tcBorders>
            <w:vMerge w:val="restart"/>
          </w:tcPr>
          <w:p>
            <w:pPr>
              <w:jc w:val="right"/>
              <w:ind w:right="80"/>
              <w:spacing w:after="0"/>
              <w:rPr>
                <w:sz w:val="20"/>
                <w:szCs w:val="20"/>
                <w:color w:val="auto"/>
              </w:rPr>
            </w:pPr>
            <w:r>
              <w:rPr>
                <w:rFonts w:ascii="Arial" w:cs="Arial" w:eastAsia="Arial" w:hAnsi="Arial"/>
                <w:sz w:val="16"/>
                <w:szCs w:val="16"/>
                <w:color w:val="auto"/>
              </w:rPr>
              <w:t>(30,963,818)</w:t>
            </w:r>
          </w:p>
        </w:tc>
        <w:tc>
          <w:tcPr>
            <w:tcW w:w="1000" w:type="dxa"/>
            <w:vAlign w:val="bottom"/>
            <w:tcBorders>
              <w:top w:val="single" w:sz="8" w:color="auto"/>
            </w:tcBorders>
            <w:vMerge w:val="restart"/>
          </w:tcPr>
          <w:p>
            <w:pPr>
              <w:jc w:val="right"/>
              <w:ind w:right="20"/>
              <w:spacing w:after="0"/>
              <w:rPr>
                <w:sz w:val="20"/>
                <w:szCs w:val="20"/>
                <w:color w:val="auto"/>
              </w:rPr>
            </w:pPr>
            <w:r>
              <w:rPr>
                <w:rFonts w:ascii="Arial" w:cs="Arial" w:eastAsia="Arial" w:hAnsi="Arial"/>
                <w:sz w:val="16"/>
                <w:szCs w:val="16"/>
                <w:color w:val="auto"/>
              </w:rPr>
              <w:t>51,693,146</w:t>
            </w:r>
          </w:p>
        </w:tc>
        <w:tc>
          <w:tcPr>
            <w:tcW w:w="0" w:type="dxa"/>
            <w:vAlign w:val="bottom"/>
          </w:tcPr>
          <w:p>
            <w:pPr>
              <w:spacing w:after="0"/>
              <w:rPr>
                <w:sz w:val="1"/>
                <w:szCs w:val="1"/>
                <w:color w:val="auto"/>
              </w:rPr>
            </w:pPr>
          </w:p>
        </w:tc>
      </w:tr>
      <w:tr>
        <w:trPr>
          <w:trHeight w:val="224"/>
        </w:trPr>
        <w:tc>
          <w:tcPr>
            <w:tcW w:w="1260" w:type="dxa"/>
            <w:vAlign w:val="bottom"/>
          </w:tcPr>
          <w:p>
            <w:pPr>
              <w:ind w:left="40"/>
              <w:spacing w:after="0"/>
              <w:rPr>
                <w:sz w:val="20"/>
                <w:szCs w:val="20"/>
                <w:color w:val="auto"/>
              </w:rPr>
            </w:pPr>
            <w:r>
              <w:rPr>
                <w:rFonts w:ascii="Arial" w:cs="Arial" w:eastAsia="Arial" w:hAnsi="Arial"/>
                <w:sz w:val="16"/>
                <w:szCs w:val="16"/>
                <w:color w:val="auto"/>
              </w:rPr>
              <w:t>2018</w:t>
            </w:r>
          </w:p>
        </w:tc>
        <w:tc>
          <w:tcPr>
            <w:tcW w:w="1040" w:type="dxa"/>
            <w:vAlign w:val="bottom"/>
            <w:tcBorders>
              <w:bottom w:val="single" w:sz="8" w:color="auto"/>
            </w:tcBorders>
            <w:vMerge w:val="continue"/>
          </w:tcPr>
          <w:p>
            <w:pPr>
              <w:spacing w:after="0"/>
              <w:rPr>
                <w:sz w:val="19"/>
                <w:szCs w:val="19"/>
                <w:color w:val="auto"/>
              </w:rPr>
            </w:pPr>
          </w:p>
        </w:tc>
        <w:tc>
          <w:tcPr>
            <w:tcW w:w="120" w:type="dxa"/>
            <w:vAlign w:val="bottom"/>
          </w:tcPr>
          <w:p>
            <w:pPr>
              <w:spacing w:after="0"/>
              <w:rPr>
                <w:sz w:val="19"/>
                <w:szCs w:val="19"/>
                <w:color w:val="auto"/>
              </w:rPr>
            </w:pPr>
          </w:p>
        </w:tc>
        <w:tc>
          <w:tcPr>
            <w:tcW w:w="700" w:type="dxa"/>
            <w:vAlign w:val="bottom"/>
            <w:tcBorders>
              <w:bottom w:val="single" w:sz="8" w:color="auto"/>
            </w:tcBorders>
            <w:vMerge w:val="continue"/>
          </w:tcPr>
          <w:p>
            <w:pPr>
              <w:spacing w:after="0"/>
              <w:rPr>
                <w:sz w:val="19"/>
                <w:szCs w:val="19"/>
                <w:color w:val="auto"/>
              </w:rPr>
            </w:pPr>
          </w:p>
        </w:tc>
        <w:tc>
          <w:tcPr>
            <w:tcW w:w="120" w:type="dxa"/>
            <w:vAlign w:val="bottom"/>
          </w:tcPr>
          <w:p>
            <w:pPr>
              <w:spacing w:after="0"/>
              <w:rPr>
                <w:sz w:val="19"/>
                <w:szCs w:val="19"/>
                <w:color w:val="auto"/>
              </w:rPr>
            </w:pPr>
          </w:p>
        </w:tc>
        <w:tc>
          <w:tcPr>
            <w:tcW w:w="1160" w:type="dxa"/>
            <w:vAlign w:val="bottom"/>
            <w:tcBorders>
              <w:bottom w:val="single" w:sz="8" w:color="auto"/>
            </w:tcBorders>
            <w:vMerge w:val="continue"/>
          </w:tcPr>
          <w:p>
            <w:pPr>
              <w:spacing w:after="0"/>
              <w:rPr>
                <w:sz w:val="19"/>
                <w:szCs w:val="19"/>
                <w:color w:val="auto"/>
              </w:rPr>
            </w:pPr>
          </w:p>
        </w:tc>
        <w:tc>
          <w:tcPr>
            <w:tcW w:w="120" w:type="dxa"/>
            <w:vAlign w:val="bottom"/>
          </w:tcPr>
          <w:p>
            <w:pPr>
              <w:spacing w:after="0"/>
              <w:rPr>
                <w:sz w:val="19"/>
                <w:szCs w:val="19"/>
                <w:color w:val="auto"/>
              </w:rPr>
            </w:pPr>
          </w:p>
        </w:tc>
        <w:tc>
          <w:tcPr>
            <w:tcW w:w="800" w:type="dxa"/>
            <w:vAlign w:val="bottom"/>
            <w:tcBorders>
              <w:bottom w:val="single" w:sz="8" w:color="auto"/>
            </w:tcBorders>
            <w:vMerge w:val="continue"/>
          </w:tcPr>
          <w:p>
            <w:pPr>
              <w:spacing w:after="0"/>
              <w:rPr>
                <w:sz w:val="19"/>
                <w:szCs w:val="19"/>
                <w:color w:val="auto"/>
              </w:rPr>
            </w:pPr>
          </w:p>
        </w:tc>
        <w:tc>
          <w:tcPr>
            <w:tcW w:w="120" w:type="dxa"/>
            <w:vAlign w:val="bottom"/>
          </w:tcPr>
          <w:p>
            <w:pPr>
              <w:spacing w:after="0"/>
              <w:rPr>
                <w:sz w:val="19"/>
                <w:szCs w:val="19"/>
                <w:color w:val="auto"/>
              </w:rPr>
            </w:pPr>
          </w:p>
        </w:tc>
        <w:tc>
          <w:tcPr>
            <w:tcW w:w="1020" w:type="dxa"/>
            <w:vAlign w:val="bottom"/>
            <w:tcBorders>
              <w:bottom w:val="single" w:sz="8" w:color="auto"/>
            </w:tcBorders>
            <w:vMerge w:val="continue"/>
          </w:tcPr>
          <w:p>
            <w:pPr>
              <w:spacing w:after="0"/>
              <w:rPr>
                <w:sz w:val="19"/>
                <w:szCs w:val="19"/>
                <w:color w:val="auto"/>
              </w:rPr>
            </w:pPr>
          </w:p>
        </w:tc>
        <w:tc>
          <w:tcPr>
            <w:tcW w:w="100" w:type="dxa"/>
            <w:vAlign w:val="bottom"/>
          </w:tcPr>
          <w:p>
            <w:pPr>
              <w:spacing w:after="0"/>
              <w:rPr>
                <w:sz w:val="19"/>
                <w:szCs w:val="19"/>
                <w:color w:val="auto"/>
              </w:rPr>
            </w:pPr>
          </w:p>
        </w:tc>
        <w:tc>
          <w:tcPr>
            <w:tcW w:w="1120" w:type="dxa"/>
            <w:vAlign w:val="bottom"/>
            <w:tcBorders>
              <w:bottom w:val="single" w:sz="8" w:color="auto"/>
            </w:tcBorders>
            <w:vMerge w:val="continue"/>
          </w:tcPr>
          <w:p>
            <w:pPr>
              <w:spacing w:after="0"/>
              <w:rPr>
                <w:sz w:val="19"/>
                <w:szCs w:val="19"/>
                <w:color w:val="auto"/>
              </w:rPr>
            </w:pPr>
          </w:p>
        </w:tc>
        <w:tc>
          <w:tcPr>
            <w:tcW w:w="100" w:type="dxa"/>
            <w:vAlign w:val="bottom"/>
          </w:tcPr>
          <w:p>
            <w:pPr>
              <w:spacing w:after="0"/>
              <w:rPr>
                <w:sz w:val="19"/>
                <w:szCs w:val="19"/>
                <w:color w:val="auto"/>
              </w:rPr>
            </w:pPr>
          </w:p>
        </w:tc>
        <w:tc>
          <w:tcPr>
            <w:tcW w:w="1260" w:type="dxa"/>
            <w:vAlign w:val="bottom"/>
            <w:tcBorders>
              <w:bottom w:val="single" w:sz="8" w:color="auto"/>
            </w:tcBorders>
            <w:vMerge w:val="continue"/>
          </w:tcPr>
          <w:p>
            <w:pPr>
              <w:spacing w:after="0"/>
              <w:rPr>
                <w:sz w:val="19"/>
                <w:szCs w:val="19"/>
                <w:color w:val="auto"/>
              </w:rPr>
            </w:pPr>
          </w:p>
        </w:tc>
        <w:tc>
          <w:tcPr>
            <w:tcW w:w="1320" w:type="dxa"/>
            <w:vAlign w:val="bottom"/>
            <w:tcBorders>
              <w:bottom w:val="single" w:sz="8" w:color="auto"/>
            </w:tcBorders>
            <w:vMerge w:val="continue"/>
          </w:tcPr>
          <w:p>
            <w:pPr>
              <w:spacing w:after="0"/>
              <w:rPr>
                <w:sz w:val="19"/>
                <w:szCs w:val="19"/>
                <w:color w:val="auto"/>
              </w:rPr>
            </w:pPr>
          </w:p>
        </w:tc>
        <w:tc>
          <w:tcPr>
            <w:tcW w:w="1000" w:type="dxa"/>
            <w:vAlign w:val="bottom"/>
            <w:tcBorders>
              <w:bottom w:val="single" w:sz="8" w:color="auto"/>
            </w:tcBorders>
            <w:vMerge w:val="continue"/>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1260" w:type="dxa"/>
            <w:vAlign w:val="bottom"/>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60" w:type="dxa"/>
            <w:vAlign w:val="bottom"/>
            <w:tcBorders>
              <w:bottom w:val="single" w:sz="8" w:color="auto"/>
            </w:tcBorders>
          </w:tcPr>
          <w:p>
            <w:pPr>
              <w:spacing w:after="0" w:line="20" w:lineRule="exact"/>
              <w:rPr>
                <w:sz w:val="1"/>
                <w:szCs w:val="1"/>
                <w:color w:val="auto"/>
              </w:rPr>
            </w:pPr>
          </w:p>
        </w:tc>
        <w:tc>
          <w:tcPr>
            <w:tcW w:w="132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2" w:lineRule="exact"/>
        <w:rPr>
          <w:sz w:val="20"/>
          <w:szCs w:val="20"/>
          <w:color w:val="auto"/>
        </w:rPr>
      </w:pPr>
    </w:p>
    <w:p>
      <w:pPr>
        <w:ind w:left="500" w:right="120" w:hanging="492"/>
        <w:spacing w:after="0" w:line="259" w:lineRule="auto"/>
        <w:tabs>
          <w:tab w:leader="none" w:pos="500" w:val="left"/>
        </w:tabs>
        <w:numPr>
          <w:ilvl w:val="0"/>
          <w:numId w:val="12"/>
        </w:numPr>
        <w:rPr>
          <w:rFonts w:ascii="Arial" w:cs="Arial" w:eastAsia="Arial" w:hAnsi="Arial"/>
          <w:sz w:val="18"/>
          <w:szCs w:val="18"/>
          <w:color w:val="auto"/>
        </w:rPr>
      </w:pPr>
      <w:r>
        <w:rPr>
          <w:rFonts w:ascii="Arial" w:cs="Arial" w:eastAsia="Arial" w:hAnsi="Arial"/>
          <w:sz w:val="18"/>
          <w:szCs w:val="18"/>
          <w:color w:val="auto"/>
        </w:rPr>
        <w:t>The stock dividends payable in connection with Carilion Clinic’s Series A Preferred Stock will be issued subsequent to June 30, 2018. For the period from January 12, 2010, the original issue date of the Series A Preferred Stock, through June 30, 2018, the Series A Preferred Stock issued to Carilion has accrued $1,287,991 in dividends. The accrued and unpaid dividends as of June 30, 2018 will be paid by the issuance of 671,339 shares of our common stock upon Carilion’s written request.</w:t>
      </w:r>
    </w:p>
    <w:p>
      <w:pPr>
        <w:spacing w:after="0" w:line="133"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Stock Repurchase Program</w:t>
      </w:r>
    </w:p>
    <w:p>
      <w:pPr>
        <w:spacing w:after="0" w:line="171" w:lineRule="exact"/>
        <w:rPr>
          <w:sz w:val="20"/>
          <w:szCs w:val="20"/>
          <w:color w:val="auto"/>
        </w:rPr>
      </w:pPr>
    </w:p>
    <w:p>
      <w:pPr>
        <w:ind w:right="160" w:firstLine="432"/>
        <w:spacing w:after="0" w:line="264" w:lineRule="auto"/>
        <w:rPr>
          <w:sz w:val="20"/>
          <w:szCs w:val="20"/>
          <w:color w:val="auto"/>
        </w:rPr>
      </w:pPr>
      <w:r>
        <w:rPr>
          <w:rFonts w:ascii="Arial" w:cs="Arial" w:eastAsia="Arial" w:hAnsi="Arial"/>
          <w:sz w:val="18"/>
          <w:szCs w:val="18"/>
          <w:color w:val="auto"/>
        </w:rPr>
        <w:t>In May 2016, our board of directors authorized us to repurchase up to $2.0 million of our common stock through May 31, 2017. As of May 31, 2017, we had repurchased a total of 205,500 shares for an aggregate purchase price of $0.2 million under this stock repurchase program, after which this stock repurchase program expired.</w:t>
      </w:r>
    </w:p>
    <w:p>
      <w:pPr>
        <w:spacing w:after="0" w:line="181" w:lineRule="exact"/>
        <w:rPr>
          <w:sz w:val="20"/>
          <w:szCs w:val="20"/>
          <w:color w:val="auto"/>
        </w:rPr>
      </w:pPr>
    </w:p>
    <w:p>
      <w:pPr>
        <w:ind w:firstLine="432"/>
        <w:spacing w:after="0" w:line="297" w:lineRule="auto"/>
        <w:rPr>
          <w:sz w:val="20"/>
          <w:szCs w:val="20"/>
          <w:color w:val="auto"/>
        </w:rPr>
      </w:pPr>
      <w:r>
        <w:rPr>
          <w:rFonts w:ascii="Arial" w:cs="Arial" w:eastAsia="Arial" w:hAnsi="Arial"/>
          <w:sz w:val="16"/>
          <w:szCs w:val="16"/>
          <w:color w:val="auto"/>
        </w:rPr>
        <w:t>In September 2017, our board of directors re-instituted the stock repurchase program and authorized us to repurchase up to $2.0 million of our common stock through September 19, 2018. Our stock repurchase program does not obligate us to acquire any specific number of shares. Under the program, shares may be repurchased in privately negotiated or open market transactions, including under plans complying with Rule 10b5-1 under the Securities Exchange Act of 1934, as amended. As of June 30, 2018, we had repurchased a total of 565,629 shares for an aggregate purchase price of $1.1 million under this stock repurchase program. We currently maintain all repurchased shares under these stock repurchase programs as treasury stock.</w:t>
      </w:r>
    </w:p>
    <w:p>
      <w:pPr>
        <w:spacing w:after="0" w:line="154" w:lineRule="exact"/>
        <w:rPr>
          <w:sz w:val="20"/>
          <w:szCs w:val="20"/>
          <w:color w:val="auto"/>
        </w:rPr>
      </w:pPr>
    </w:p>
    <w:p>
      <w:pPr>
        <w:ind w:left="500" w:hanging="492"/>
        <w:spacing w:after="0"/>
        <w:tabs>
          <w:tab w:leader="none" w:pos="500" w:val="left"/>
        </w:tabs>
        <w:numPr>
          <w:ilvl w:val="0"/>
          <w:numId w:val="13"/>
        </w:numPr>
        <w:rPr>
          <w:rFonts w:ascii="Arial" w:cs="Arial" w:eastAsia="Arial" w:hAnsi="Arial"/>
          <w:sz w:val="18"/>
          <w:szCs w:val="18"/>
          <w:b w:val="1"/>
          <w:bCs w:val="1"/>
          <w:color w:val="auto"/>
        </w:rPr>
      </w:pPr>
      <w:r>
        <w:rPr>
          <w:rFonts w:ascii="Arial" w:cs="Arial" w:eastAsia="Arial" w:hAnsi="Arial"/>
          <w:sz w:val="18"/>
          <w:szCs w:val="18"/>
          <w:b w:val="1"/>
          <w:bCs w:val="1"/>
          <w:color w:val="auto"/>
        </w:rPr>
        <w:t>Income Taxes</w:t>
      </w:r>
    </w:p>
    <w:p>
      <w:pPr>
        <w:spacing w:after="0" w:line="229" w:lineRule="exact"/>
        <w:rPr>
          <w:sz w:val="20"/>
          <w:szCs w:val="20"/>
          <w:color w:val="auto"/>
        </w:rPr>
      </w:pPr>
    </w:p>
    <w:p>
      <w:pPr>
        <w:ind w:left="660"/>
        <w:spacing w:after="0"/>
        <w:rPr>
          <w:sz w:val="20"/>
          <w:szCs w:val="20"/>
          <w:color w:val="auto"/>
        </w:rPr>
      </w:pPr>
      <w:r>
        <w:rPr>
          <w:rFonts w:ascii="Arial" w:cs="Arial" w:eastAsia="Arial" w:hAnsi="Arial"/>
          <w:sz w:val="18"/>
          <w:szCs w:val="18"/>
          <w:color w:val="auto"/>
        </w:rPr>
        <w:t>We and our subsidiaries file U.S. Federal income tax returns and income tax returns in various state, local and foreign jurisdictions.</w:t>
      </w:r>
    </w:p>
    <w:p>
      <w:pPr>
        <w:spacing w:after="0" w:line="225" w:lineRule="exact"/>
        <w:rPr>
          <w:sz w:val="20"/>
          <w:szCs w:val="20"/>
          <w:color w:val="auto"/>
        </w:rPr>
      </w:pPr>
    </w:p>
    <w:p>
      <w:pPr>
        <w:ind w:right="300" w:firstLine="648"/>
        <w:spacing w:after="0" w:line="259" w:lineRule="auto"/>
        <w:rPr>
          <w:sz w:val="20"/>
          <w:szCs w:val="20"/>
          <w:color w:val="auto"/>
        </w:rPr>
      </w:pPr>
      <w:r>
        <w:rPr>
          <w:rFonts w:ascii="Arial" w:cs="Arial" w:eastAsia="Arial" w:hAnsi="Arial"/>
          <w:sz w:val="18"/>
          <w:szCs w:val="18"/>
          <w:color w:val="auto"/>
        </w:rPr>
        <w:t>Our quarterly tax provision, and our quarterly estimate of our annual effective tax rate, is subject to significant variation due to several factors, including the variability in accurately predicting our pre-tax and taxable income and the mix of jurisdictions to which they relate, changes in how we do business, changes in our stock price, tax law developments (including changes in statues, regulations, case law, and administrative practices), and relative changes of expenses or losses for which tax</w:t>
      </w:r>
    </w:p>
    <w:p>
      <w:pPr>
        <w:spacing w:after="0" w:line="214"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19</w:t>
      </w:r>
    </w:p>
    <w:p>
      <w:pPr>
        <w:sectPr>
          <w:pgSz w:w="11900" w:h="16838" w:orient="portrait"/>
          <w:cols w:equalWidth="0" w:num="1">
            <w:col w:w="11360"/>
          </w:cols>
          <w:pgMar w:left="240" w:top="118" w:right="299" w:bottom="1440" w:gutter="0" w:footer="0" w:header="0"/>
        </w:sectPr>
      </w:pPr>
    </w:p>
    <w:bookmarkStart w:id="19" w:name="page20"/>
    <w:bookmarkEnd w:id="19"/>
    <w:p>
      <w:pPr>
        <w:spacing w:after="0"/>
        <w:rPr>
          <w:rFonts w:ascii="Arial" w:cs="Arial" w:eastAsia="Arial" w:hAnsi="Arial"/>
          <w:sz w:val="14"/>
          <w:szCs w:val="14"/>
          <w:b w:val="1"/>
          <w:bCs w:val="1"/>
          <w:u w:val="single" w:color="auto"/>
          <w:color w:val="0000EE"/>
        </w:rPr>
      </w:pPr>
      <w:hyperlink w:anchor="page2">
        <w:r>
          <w:rPr>
            <w:rFonts w:ascii="Arial" w:cs="Arial" w:eastAsia="Arial" w:hAnsi="Arial"/>
            <w:sz w:val="14"/>
            <w:szCs w:val="14"/>
            <w:b w:val="1"/>
            <w:bCs w:val="1"/>
            <w:u w:val="single" w:color="auto"/>
            <w:color w:val="0000EE"/>
          </w:rPr>
          <w:t>Table of Contents</w:t>
        </w:r>
      </w:hyperlink>
    </w:p>
    <w:p>
      <w:pPr>
        <w:spacing w:after="0" w:line="252" w:lineRule="exact"/>
        <w:rPr>
          <w:sz w:val="20"/>
          <w:szCs w:val="20"/>
          <w:color w:val="auto"/>
        </w:rPr>
      </w:pPr>
    </w:p>
    <w:p>
      <w:pPr>
        <w:ind w:right="240"/>
        <w:spacing w:after="0" w:line="277" w:lineRule="auto"/>
        <w:rPr>
          <w:sz w:val="20"/>
          <w:szCs w:val="20"/>
          <w:color w:val="auto"/>
        </w:rPr>
      </w:pPr>
      <w:r>
        <w:rPr>
          <w:rFonts w:ascii="Arial" w:cs="Arial" w:eastAsia="Arial" w:hAnsi="Arial"/>
          <w:sz w:val="18"/>
          <w:szCs w:val="18"/>
          <w:color w:val="auto"/>
        </w:rPr>
        <w:t>benefits are not recognized. Additionally, our effective tax rate can be more or less volatile based on the amount if pre-tax income or loss. For example, the impact of discrete items and non-deductible expenses on our effective tax rate is greater when our pre-tax income is lower.</w:t>
      </w:r>
    </w:p>
    <w:p>
      <w:pPr>
        <w:spacing w:after="0" w:line="170" w:lineRule="exact"/>
        <w:rPr>
          <w:sz w:val="20"/>
          <w:szCs w:val="20"/>
          <w:color w:val="auto"/>
        </w:rPr>
      </w:pPr>
    </w:p>
    <w:p>
      <w:pPr>
        <w:ind w:right="80" w:firstLine="648"/>
        <w:spacing w:after="0" w:line="342" w:lineRule="auto"/>
        <w:rPr>
          <w:sz w:val="20"/>
          <w:szCs w:val="20"/>
          <w:color w:val="auto"/>
        </w:rPr>
      </w:pPr>
      <w:r>
        <w:rPr>
          <w:rFonts w:ascii="Arial" w:cs="Arial" w:eastAsia="Arial" w:hAnsi="Arial"/>
          <w:sz w:val="16"/>
          <w:szCs w:val="16"/>
          <w:color w:val="auto"/>
        </w:rPr>
        <w:t>For 2018, the anticipated effective income tax rate is expected to continue to differ from the Federal statutory rate of 21% primarily because of the release of valuation allowance related to net operating loss carryfowards expected to be used to offset taxable income in the period and certain discrete items.</w:t>
      </w:r>
    </w:p>
    <w:p>
      <w:pPr>
        <w:spacing w:after="0" w:line="124" w:lineRule="exact"/>
        <w:rPr>
          <w:sz w:val="20"/>
          <w:szCs w:val="20"/>
          <w:color w:val="auto"/>
        </w:rPr>
      </w:pPr>
    </w:p>
    <w:p>
      <w:pPr>
        <w:ind w:right="40" w:firstLine="648"/>
        <w:spacing w:after="0" w:line="259" w:lineRule="auto"/>
        <w:rPr>
          <w:sz w:val="20"/>
          <w:szCs w:val="20"/>
          <w:color w:val="auto"/>
        </w:rPr>
      </w:pPr>
      <w:r>
        <w:rPr>
          <w:rFonts w:ascii="Arial" w:cs="Arial" w:eastAsia="Arial" w:hAnsi="Arial"/>
          <w:sz w:val="18"/>
          <w:szCs w:val="18"/>
          <w:color w:val="auto"/>
        </w:rPr>
        <w:t>We consider both positive and negative evidence when evaluating the recoverability of our deferred tax assets ("DTAs"). The assessment is required to determine whether based on all available evidence, it is more likely than not (i.e. greater than a 50% probability) that all or some portion of the DTAs will be realized in the future. As of June 30, 2018 management has concluded a full valuation allowance of the DTAs is necessary because of sufficient uncertainty in our ability to realize the benefit associated with such DTAs in the future.</w:t>
      </w:r>
    </w:p>
    <w:p>
      <w:pPr>
        <w:spacing w:after="0" w:line="200" w:lineRule="exact"/>
        <w:rPr>
          <w:sz w:val="20"/>
          <w:szCs w:val="20"/>
          <w:color w:val="auto"/>
        </w:rPr>
      </w:pPr>
    </w:p>
    <w:p>
      <w:pPr>
        <w:spacing w:after="0" w:line="200" w:lineRule="exact"/>
        <w:rPr>
          <w:sz w:val="20"/>
          <w:szCs w:val="20"/>
          <w:color w:val="auto"/>
        </w:rPr>
      </w:pPr>
    </w:p>
    <w:p>
      <w:pPr>
        <w:spacing w:after="0" w:line="215" w:lineRule="exact"/>
        <w:rPr>
          <w:sz w:val="20"/>
          <w:szCs w:val="20"/>
          <w:color w:val="auto"/>
        </w:rPr>
      </w:pPr>
    </w:p>
    <w:p>
      <w:pPr>
        <w:ind w:left="500" w:hanging="492"/>
        <w:spacing w:after="0"/>
        <w:tabs>
          <w:tab w:leader="none" w:pos="500" w:val="left"/>
        </w:tabs>
        <w:numPr>
          <w:ilvl w:val="0"/>
          <w:numId w:val="14"/>
        </w:numPr>
        <w:rPr>
          <w:rFonts w:ascii="Arial" w:cs="Arial" w:eastAsia="Arial" w:hAnsi="Arial"/>
          <w:sz w:val="18"/>
          <w:szCs w:val="18"/>
          <w:b w:val="1"/>
          <w:bCs w:val="1"/>
          <w:color w:val="auto"/>
        </w:rPr>
      </w:pPr>
      <w:r>
        <w:rPr>
          <w:rFonts w:ascii="Arial" w:cs="Arial" w:eastAsia="Arial" w:hAnsi="Arial"/>
          <w:sz w:val="18"/>
          <w:szCs w:val="18"/>
          <w:b w:val="1"/>
          <w:bCs w:val="1"/>
          <w:color w:val="auto"/>
        </w:rPr>
        <w:t>Operating Segments</w:t>
      </w:r>
    </w:p>
    <w:p>
      <w:pPr>
        <w:spacing w:after="0" w:line="121" w:lineRule="exact"/>
        <w:rPr>
          <w:sz w:val="20"/>
          <w:szCs w:val="20"/>
          <w:color w:val="auto"/>
        </w:rPr>
      </w:pPr>
    </w:p>
    <w:p>
      <w:pPr>
        <w:ind w:left="440"/>
        <w:spacing w:after="0"/>
        <w:rPr>
          <w:sz w:val="20"/>
          <w:szCs w:val="20"/>
          <w:color w:val="auto"/>
        </w:rPr>
      </w:pPr>
      <w:r>
        <w:rPr>
          <w:rFonts w:ascii="Arial" w:cs="Arial" w:eastAsia="Arial" w:hAnsi="Arial"/>
          <w:sz w:val="18"/>
          <w:szCs w:val="18"/>
          <w:color w:val="auto"/>
        </w:rPr>
        <w:t>Our operations are divided into two operating segments—“Technology Development” and “Products and Licensing”.</w:t>
      </w:r>
    </w:p>
    <w:p>
      <w:pPr>
        <w:spacing w:after="0" w:line="225" w:lineRule="exact"/>
        <w:rPr>
          <w:sz w:val="20"/>
          <w:szCs w:val="20"/>
          <w:color w:val="auto"/>
        </w:rPr>
      </w:pPr>
    </w:p>
    <w:p>
      <w:pPr>
        <w:jc w:val="both"/>
        <w:ind w:right="180" w:firstLine="432"/>
        <w:spacing w:after="0" w:line="279" w:lineRule="auto"/>
        <w:rPr>
          <w:sz w:val="20"/>
          <w:szCs w:val="20"/>
          <w:color w:val="auto"/>
        </w:rPr>
      </w:pPr>
      <w:r>
        <w:rPr>
          <w:rFonts w:ascii="Arial" w:cs="Arial" w:eastAsia="Arial" w:hAnsi="Arial"/>
          <w:sz w:val="17"/>
          <w:szCs w:val="17"/>
          <w:color w:val="auto"/>
        </w:rPr>
        <w:t>The Technology Development segment provides applied research to customers in our areas of focus. Our engineers and scientists collaborate with our network of government, academic and industry experts to identify technologies and ideas with promising market potential. We then compete to win fee-for-service contracts from government agencies and industrial customers who seek innovative solutions to practical problems that require new technology. The Technology Development segment derives its revenues primarily from services.</w:t>
      </w:r>
    </w:p>
    <w:p>
      <w:pPr>
        <w:spacing w:after="0" w:line="171" w:lineRule="exact"/>
        <w:rPr>
          <w:sz w:val="20"/>
          <w:szCs w:val="20"/>
          <w:color w:val="auto"/>
        </w:rPr>
      </w:pPr>
    </w:p>
    <w:p>
      <w:pPr>
        <w:ind w:left="440"/>
        <w:spacing w:after="0"/>
        <w:rPr>
          <w:sz w:val="20"/>
          <w:szCs w:val="20"/>
          <w:color w:val="auto"/>
        </w:rPr>
      </w:pPr>
      <w:r>
        <w:rPr>
          <w:rFonts w:ascii="Arial" w:cs="Arial" w:eastAsia="Arial" w:hAnsi="Arial"/>
          <w:sz w:val="18"/>
          <w:szCs w:val="18"/>
          <w:color w:val="auto"/>
        </w:rPr>
        <w:t>The Products and Licensing segment derives its revenues from product sales, funded product development and technology licenses.</w:t>
      </w:r>
    </w:p>
    <w:p>
      <w:pPr>
        <w:spacing w:after="0" w:line="225" w:lineRule="exact"/>
        <w:rPr>
          <w:sz w:val="20"/>
          <w:szCs w:val="20"/>
          <w:color w:val="auto"/>
        </w:rPr>
      </w:pPr>
    </w:p>
    <w:p>
      <w:pPr>
        <w:ind w:right="160" w:firstLine="432"/>
        <w:spacing w:after="0" w:line="279" w:lineRule="auto"/>
        <w:rPr>
          <w:sz w:val="20"/>
          <w:szCs w:val="20"/>
          <w:color w:val="auto"/>
        </w:rPr>
      </w:pPr>
      <w:r>
        <w:rPr>
          <w:rFonts w:ascii="Arial" w:cs="Arial" w:eastAsia="Arial" w:hAnsi="Arial"/>
          <w:sz w:val="17"/>
          <w:szCs w:val="17"/>
          <w:color w:val="auto"/>
        </w:rPr>
        <w:t>Through June 30, 2018, our Chief Executive Officer and his direct reports collectively represented our chief operating decision makers, and they evaluated segment performance based primarily on revenues and operating income or loss. The accounting policies of our segments are the same as those described in the summary of significant accounting policies (see Note 1 to our Financial Statements, “Organization and Summary of Significant Accounting Policies,” presented in our Annual Report on Form 10-K as filed with the SEC on March 21, 2018).</w:t>
      </w:r>
    </w:p>
    <w:p>
      <w:pPr>
        <w:spacing w:after="0" w:line="171" w:lineRule="exact"/>
        <w:rPr>
          <w:sz w:val="20"/>
          <w:szCs w:val="20"/>
          <w:color w:val="auto"/>
        </w:rPr>
      </w:pPr>
    </w:p>
    <w:p>
      <w:pPr>
        <w:ind w:left="440"/>
        <w:spacing w:after="0"/>
        <w:rPr>
          <w:sz w:val="20"/>
          <w:szCs w:val="20"/>
          <w:color w:val="auto"/>
        </w:rPr>
      </w:pPr>
      <w:r>
        <w:rPr>
          <w:rFonts w:ascii="Arial" w:cs="Arial" w:eastAsia="Arial" w:hAnsi="Arial"/>
          <w:sz w:val="18"/>
          <w:szCs w:val="18"/>
          <w:color w:val="auto"/>
        </w:rPr>
        <w:t>The table below presents revenues and operating income/(loss) for reportable segments:</w:t>
      </w:r>
    </w:p>
    <w:p>
      <w:pPr>
        <w:sectPr>
          <w:pgSz w:w="11900" w:h="16838" w:orient="portrait"/>
          <w:cols w:equalWidth="0" w:num="1">
            <w:col w:w="11420"/>
          </w:cols>
          <w:pgMar w:left="240" w:top="118" w:right="239" w:bottom="1440" w:gutter="0" w:footer="0" w:header="0"/>
        </w:sectPr>
      </w:pPr>
    </w:p>
    <w:p>
      <w:pPr>
        <w:spacing w:after="0" w:line="200" w:lineRule="exact"/>
        <w:rPr>
          <w:sz w:val="20"/>
          <w:szCs w:val="20"/>
          <w:color w:val="auto"/>
        </w:rPr>
      </w:pPr>
    </w:p>
    <w:p>
      <w:pPr>
        <w:spacing w:after="0" w:line="287" w:lineRule="exact"/>
        <w:rPr>
          <w:sz w:val="20"/>
          <w:szCs w:val="20"/>
          <w:color w:val="auto"/>
        </w:rPr>
      </w:pPr>
    </w:p>
    <w:p>
      <w:pPr>
        <w:ind w:left="5400"/>
        <w:spacing w:after="0"/>
        <w:rPr>
          <w:sz w:val="20"/>
          <w:szCs w:val="20"/>
          <w:color w:val="auto"/>
        </w:rPr>
      </w:pPr>
      <w:r>
        <w:rPr>
          <w:rFonts w:ascii="Arial" w:cs="Arial" w:eastAsia="Arial" w:hAnsi="Arial"/>
          <w:sz w:val="13"/>
          <w:szCs w:val="13"/>
          <w:b w:val="1"/>
          <w:bCs w:val="1"/>
          <w:color w:val="auto"/>
        </w:rPr>
        <w:t>Three Months Ended June 30,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2980690</wp:posOffset>
            </wp:positionH>
            <wp:positionV relativeFrom="paragraph">
              <wp:posOffset>31115</wp:posOffset>
            </wp:positionV>
            <wp:extent cx="2058035" cy="889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2058035" cy="8890"/>
                    </a:xfrm>
                    <a:prstGeom prst="rect">
                      <a:avLst/>
                    </a:prstGeom>
                    <a:noFill/>
                  </pic:spPr>
                </pic:pic>
              </a:graphicData>
            </a:graphic>
          </wp:anchor>
        </w:drawing>
      </w:r>
    </w:p>
    <w:p>
      <w:pPr>
        <w:spacing w:after="0" w:line="114" w:lineRule="exact"/>
        <w:rPr>
          <w:sz w:val="20"/>
          <w:szCs w:val="20"/>
          <w:color w:val="auto"/>
        </w:rPr>
      </w:pPr>
    </w:p>
    <w:p>
      <w:pPr>
        <w:ind w:left="5260"/>
        <w:spacing w:after="0"/>
        <w:tabs>
          <w:tab w:leader="none" w:pos="6920" w:val="left"/>
        </w:tabs>
        <w:rPr>
          <w:sz w:val="20"/>
          <w:szCs w:val="20"/>
          <w:color w:val="auto"/>
        </w:rPr>
      </w:pPr>
      <w:r>
        <w:rPr>
          <w:rFonts w:ascii="Arial" w:cs="Arial" w:eastAsia="Arial" w:hAnsi="Arial"/>
          <w:sz w:val="14"/>
          <w:szCs w:val="14"/>
          <w:b w:val="1"/>
          <w:bCs w:val="1"/>
          <w:color w:val="auto"/>
        </w:rPr>
        <w:t>2018</w:t>
      </w:r>
      <w:r>
        <w:rPr>
          <w:sz w:val="20"/>
          <w:szCs w:val="20"/>
          <w:color w:val="auto"/>
        </w:rPr>
        <w:tab/>
      </w:r>
      <w:r>
        <w:rPr>
          <w:rFonts w:ascii="Arial" w:cs="Arial" w:eastAsia="Arial" w:hAnsi="Arial"/>
          <w:sz w:val="14"/>
          <w:szCs w:val="14"/>
          <w:b w:val="1"/>
          <w:bCs w:val="1"/>
          <w:color w:val="auto"/>
        </w:rPr>
        <w:t>2017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23495</wp:posOffset>
            </wp:positionV>
            <wp:extent cx="5034280" cy="18034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5034280" cy="180340"/>
                    </a:xfrm>
                    <a:prstGeom prst="rect">
                      <a:avLst/>
                    </a:prstGeom>
                    <a:noFill/>
                  </pic:spPr>
                </pic:pic>
              </a:graphicData>
            </a:graphic>
          </wp:anchor>
        </w:drawing>
      </w:r>
    </w:p>
    <w:p>
      <w:pPr>
        <w:spacing w:after="0" w:line="107" w:lineRule="exact"/>
        <w:rPr>
          <w:sz w:val="20"/>
          <w:szCs w:val="20"/>
          <w:color w:val="auto"/>
        </w:rPr>
      </w:pPr>
    </w:p>
    <w:p>
      <w:pPr>
        <w:ind w:left="6000"/>
        <w:spacing w:after="0"/>
        <w:rPr>
          <w:sz w:val="20"/>
          <w:szCs w:val="20"/>
          <w:color w:val="auto"/>
        </w:rPr>
      </w:pPr>
      <w:r>
        <w:rPr>
          <w:rFonts w:ascii="Arial" w:cs="Arial" w:eastAsia="Arial" w:hAnsi="Arial"/>
          <w:sz w:val="14"/>
          <w:szCs w:val="14"/>
          <w:color w:val="auto"/>
        </w:rPr>
        <w:t>(unaudited)</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67" w:lineRule="exact"/>
        <w:rPr>
          <w:sz w:val="20"/>
          <w:szCs w:val="20"/>
          <w:color w:val="auto"/>
        </w:rPr>
      </w:pPr>
    </w:p>
    <w:p>
      <w:pPr>
        <w:ind w:left="100"/>
        <w:spacing w:after="0"/>
        <w:rPr>
          <w:sz w:val="20"/>
          <w:szCs w:val="20"/>
          <w:color w:val="auto"/>
        </w:rPr>
      </w:pPr>
      <w:r>
        <w:rPr>
          <w:rFonts w:ascii="Arial" w:cs="Arial" w:eastAsia="Arial" w:hAnsi="Arial"/>
          <w:sz w:val="13"/>
          <w:szCs w:val="13"/>
          <w:b w:val="1"/>
          <w:bCs w:val="1"/>
          <w:color w:val="auto"/>
        </w:rPr>
        <w:t>Six Months Ended June 30,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-342265</wp:posOffset>
            </wp:positionH>
            <wp:positionV relativeFrom="paragraph">
              <wp:posOffset>31115</wp:posOffset>
            </wp:positionV>
            <wp:extent cx="2006600" cy="889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2006600" cy="8890"/>
                    </a:xfrm>
                    <a:prstGeom prst="rect">
                      <a:avLst/>
                    </a:prstGeom>
                    <a:noFill/>
                  </pic:spPr>
                </pic:pic>
              </a:graphicData>
            </a:graphic>
          </wp:anchor>
        </w:drawing>
      </w:r>
    </w:p>
    <w:p>
      <w:pPr>
        <w:spacing w:after="0" w:line="114" w:lineRule="exact"/>
        <w:rPr>
          <w:sz w:val="20"/>
          <w:szCs w:val="20"/>
          <w:color w:val="auto"/>
        </w:rPr>
      </w:pPr>
    </w:p>
    <w:p>
      <w:pPr>
        <w:spacing w:after="0"/>
        <w:tabs>
          <w:tab w:leader="none" w:pos="1560" w:val="left"/>
        </w:tabs>
        <w:rPr>
          <w:sz w:val="20"/>
          <w:szCs w:val="20"/>
          <w:color w:val="auto"/>
        </w:rPr>
      </w:pPr>
      <w:r>
        <w:rPr>
          <w:rFonts w:ascii="Arial" w:cs="Arial" w:eastAsia="Arial" w:hAnsi="Arial"/>
          <w:sz w:val="12"/>
          <w:szCs w:val="12"/>
          <w:b w:val="1"/>
          <w:bCs w:val="1"/>
          <w:color w:val="auto"/>
        </w:rPr>
        <w:t>2018</w:t>
      </w:r>
      <w:r>
        <w:rPr>
          <w:sz w:val="20"/>
          <w:szCs w:val="20"/>
          <w:color w:val="auto"/>
        </w:rPr>
        <w:tab/>
      </w:r>
      <w:r>
        <w:rPr>
          <w:rFonts w:ascii="Arial" w:cs="Arial" w:eastAsia="Arial" w:hAnsi="Arial"/>
          <w:sz w:val="12"/>
          <w:szCs w:val="12"/>
          <w:b w:val="1"/>
          <w:bCs w:val="1"/>
          <w:color w:val="auto"/>
        </w:rPr>
        <w:t>2017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-479425</wp:posOffset>
            </wp:positionH>
            <wp:positionV relativeFrom="paragraph">
              <wp:posOffset>38100</wp:posOffset>
            </wp:positionV>
            <wp:extent cx="2006600" cy="18034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2006600" cy="180340"/>
                    </a:xfrm>
                    <a:prstGeom prst="rect">
                      <a:avLst/>
                    </a:prstGeom>
                    <a:noFill/>
                  </pic:spPr>
                </pic:pic>
              </a:graphicData>
            </a:graphic>
          </wp:anchor>
        </w:drawing>
      </w:r>
    </w:p>
    <w:p>
      <w:pPr>
        <w:spacing w:after="0" w:line="130" w:lineRule="exact"/>
        <w:rPr>
          <w:sz w:val="20"/>
          <w:szCs w:val="20"/>
          <w:color w:val="auto"/>
        </w:rPr>
      </w:pPr>
    </w:p>
    <w:p>
      <w:pPr>
        <w:ind w:left="620"/>
        <w:spacing w:after="0"/>
        <w:rPr>
          <w:sz w:val="20"/>
          <w:szCs w:val="20"/>
          <w:color w:val="auto"/>
        </w:rPr>
      </w:pPr>
      <w:r>
        <w:rPr>
          <w:rFonts w:ascii="Arial" w:cs="Arial" w:eastAsia="Arial" w:hAnsi="Arial"/>
          <w:sz w:val="14"/>
          <w:szCs w:val="14"/>
          <w:color w:val="auto"/>
        </w:rPr>
        <w:t>(unaudited)</w:t>
      </w:r>
    </w:p>
    <w:p>
      <w:pPr>
        <w:spacing w:after="0" w:line="46" w:lineRule="exact"/>
        <w:rPr>
          <w:sz w:val="20"/>
          <w:szCs w:val="20"/>
          <w:color w:val="auto"/>
        </w:rPr>
      </w:pPr>
    </w:p>
    <w:p>
      <w:pPr>
        <w:sectPr>
          <w:pgSz w:w="11900" w:h="16838" w:orient="portrait"/>
          <w:cols w:equalWidth="0" w:num="2">
            <w:col w:w="8080" w:space="720"/>
            <w:col w:w="2620"/>
          </w:cols>
          <w:pgMar w:left="240" w:top="118" w:right="239" w:bottom="1440" w:gutter="0" w:footer="0" w:header="0"/>
          <w:type w:val="continuous"/>
        </w:sectPr>
      </w:pPr>
    </w:p>
    <w:tbl>
      <w:tblPr>
        <w:tblLayout w:type="fixed"/>
        <w:tblInd w:w="0" w:type="dxa"/>
        <w:tblCellMar>
          <w:top w:w="0" w:type="dxa"/>
          <w:left w:w="0" w:type="dxa"/>
          <w:bottom w:w="0" w:type="dxa"/>
          <w:right w:w="0" w:type="dxa"/>
        </w:tblCellMar>
      </w:tblPr>
      <w:tr>
        <w:trPr>
          <w:trHeight w:val="230"/>
        </w:trPr>
        <w:tc>
          <w:tcPr>
            <w:tcW w:w="4700" w:type="dxa"/>
            <w:vAlign w:val="bottom"/>
          </w:tcPr>
          <w:p>
            <w:pPr>
              <w:ind w:left="40"/>
              <w:spacing w:after="0"/>
              <w:rPr>
                <w:sz w:val="20"/>
                <w:szCs w:val="20"/>
                <w:color w:val="auto"/>
              </w:rPr>
            </w:pPr>
            <w:r>
              <w:rPr>
                <w:rFonts w:ascii="Arial" w:cs="Arial" w:eastAsia="Arial" w:hAnsi="Arial"/>
                <w:sz w:val="18"/>
                <w:szCs w:val="18"/>
                <w:color w:val="auto"/>
              </w:rPr>
              <w:t>Revenues:</w:t>
            </w:r>
          </w:p>
        </w:tc>
        <w:tc>
          <w:tcPr>
            <w:tcW w:w="28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460" w:type="dxa"/>
            <w:vAlign w:val="bottom"/>
          </w:tcPr>
          <w:p>
            <w:pPr>
              <w:spacing w:after="0"/>
              <w:rPr>
                <w:sz w:val="20"/>
                <w:szCs w:val="20"/>
                <w:color w:val="auto"/>
              </w:rPr>
            </w:pPr>
          </w:p>
        </w:tc>
        <w:tc>
          <w:tcPr>
            <w:tcW w:w="12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500" w:type="dxa"/>
            <w:vAlign w:val="bottom"/>
          </w:tcPr>
          <w:p>
            <w:pPr>
              <w:spacing w:after="0"/>
              <w:rPr>
                <w:sz w:val="20"/>
                <w:szCs w:val="20"/>
                <w:color w:val="auto"/>
              </w:rPr>
            </w:pPr>
          </w:p>
        </w:tc>
        <w:tc>
          <w:tcPr>
            <w:tcW w:w="108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3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7"/>
        </w:trPr>
        <w:tc>
          <w:tcPr>
            <w:tcW w:w="4700" w:type="dxa"/>
            <w:vAlign w:val="bottom"/>
          </w:tcPr>
          <w:p>
            <w:pPr>
              <w:spacing w:after="0"/>
              <w:rPr>
                <w:sz w:val="2"/>
                <w:szCs w:val="2"/>
                <w:color w:val="auto"/>
              </w:rPr>
            </w:pPr>
          </w:p>
        </w:tc>
        <w:tc>
          <w:tcPr>
            <w:tcW w:w="28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46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00" w:type="dxa"/>
            <w:vAlign w:val="bottom"/>
          </w:tcPr>
          <w:p>
            <w:pPr>
              <w:spacing w:after="0"/>
              <w:rPr>
                <w:sz w:val="2"/>
                <w:szCs w:val="2"/>
                <w:color w:val="auto"/>
              </w:rPr>
            </w:pPr>
          </w:p>
        </w:tc>
        <w:tc>
          <w:tcPr>
            <w:tcW w:w="500" w:type="dxa"/>
            <w:vAlign w:val="bottom"/>
          </w:tcPr>
          <w:p>
            <w:pPr>
              <w:spacing w:after="0"/>
              <w:rPr>
                <w:sz w:val="2"/>
                <w:szCs w:val="2"/>
                <w:color w:val="auto"/>
              </w:rPr>
            </w:pPr>
          </w:p>
        </w:tc>
        <w:tc>
          <w:tcPr>
            <w:tcW w:w="1080" w:type="dxa"/>
            <w:vAlign w:val="bottom"/>
          </w:tcPr>
          <w:p>
            <w:pPr>
              <w:spacing w:after="0"/>
              <w:rPr>
                <w:sz w:val="2"/>
                <w:szCs w:val="2"/>
                <w:color w:val="auto"/>
              </w:rPr>
            </w:pPr>
          </w:p>
        </w:tc>
        <w:tc>
          <w:tcPr>
            <w:tcW w:w="220" w:type="dxa"/>
            <w:vAlign w:val="bottom"/>
          </w:tcPr>
          <w:p>
            <w:pPr>
              <w:spacing w:after="0"/>
              <w:rPr>
                <w:sz w:val="2"/>
                <w:szCs w:val="2"/>
                <w:color w:val="auto"/>
              </w:rPr>
            </w:pPr>
          </w:p>
        </w:tc>
        <w:tc>
          <w:tcPr>
            <w:tcW w:w="280" w:type="dxa"/>
            <w:vAlign w:val="bottom"/>
          </w:tcPr>
          <w:p>
            <w:pPr>
              <w:spacing w:after="0"/>
              <w:rPr>
                <w:sz w:val="2"/>
                <w:szCs w:val="2"/>
                <w:color w:val="auto"/>
              </w:rPr>
            </w:pPr>
          </w:p>
        </w:tc>
        <w:tc>
          <w:tcPr>
            <w:tcW w:w="13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47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Technology development</w:t>
            </w:r>
          </w:p>
        </w:tc>
        <w:tc>
          <w:tcPr>
            <w:tcW w:w="28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5,466,281</w:t>
            </w:r>
          </w:p>
        </w:tc>
        <w:tc>
          <w:tcPr>
            <w:tcW w:w="120" w:type="dxa"/>
            <w:vAlign w:val="bottom"/>
            <w:tcBorders>
              <w:bottom w:val="single" w:sz="8" w:color="CCEEFF"/>
            </w:tcBorders>
            <w:shd w:val="clear" w:color="auto" w:fill="CCEEFF"/>
          </w:tcPr>
          <w:p>
            <w:pPr>
              <w:spacing w:after="0"/>
              <w:rPr>
                <w:sz w:val="21"/>
                <w:szCs w:val="21"/>
                <w:color w:val="auto"/>
              </w:rPr>
            </w:pPr>
          </w:p>
        </w:tc>
        <w:tc>
          <w:tcPr>
            <w:tcW w:w="460" w:type="dxa"/>
            <w:vAlign w:val="bottom"/>
            <w:tcBorders>
              <w:bottom w:val="single" w:sz="8" w:color="CCEEFF"/>
            </w:tcBorders>
            <w:shd w:val="clear" w:color="auto" w:fill="CCEEFF"/>
          </w:tcPr>
          <w:p>
            <w:pPr>
              <w:jc w:val="right"/>
              <w:ind w:right="250"/>
              <w:spacing w:after="0"/>
              <w:rPr>
                <w:sz w:val="20"/>
                <w:szCs w:val="20"/>
                <w:color w:val="auto"/>
              </w:rPr>
            </w:pPr>
            <w:r>
              <w:rPr>
                <w:rFonts w:ascii="Arial" w:cs="Arial" w:eastAsia="Arial" w:hAnsi="Arial"/>
                <w:sz w:val="18"/>
                <w:szCs w:val="18"/>
                <w:color w:val="auto"/>
                <w:w w:val="99"/>
              </w:rPr>
              <w:t>$</w:t>
            </w:r>
          </w:p>
        </w:tc>
        <w:tc>
          <w:tcPr>
            <w:tcW w:w="12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4,602,272</w:t>
            </w:r>
          </w:p>
        </w:tc>
        <w:tc>
          <w:tcPr>
            <w:tcW w:w="100" w:type="dxa"/>
            <w:vAlign w:val="bottom"/>
            <w:tcBorders>
              <w:bottom w:val="single" w:sz="8" w:color="CCEEFF"/>
            </w:tcBorders>
            <w:shd w:val="clear" w:color="auto" w:fill="CCEEFF"/>
          </w:tcPr>
          <w:p>
            <w:pPr>
              <w:spacing w:after="0"/>
              <w:rPr>
                <w:sz w:val="21"/>
                <w:szCs w:val="21"/>
                <w:color w:val="auto"/>
              </w:rPr>
            </w:pPr>
          </w:p>
        </w:tc>
        <w:tc>
          <w:tcPr>
            <w:tcW w:w="50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rPr>
              <w:t>$</w:t>
            </w:r>
          </w:p>
        </w:tc>
        <w:tc>
          <w:tcPr>
            <w:tcW w:w="10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10,103,056</w:t>
            </w:r>
          </w:p>
        </w:tc>
        <w:tc>
          <w:tcPr>
            <w:tcW w:w="22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w w:val="99"/>
              </w:rPr>
              <w:t>$</w:t>
            </w:r>
          </w:p>
        </w:tc>
        <w:tc>
          <w:tcPr>
            <w:tcW w:w="1300" w:type="dxa"/>
            <w:vAlign w:val="bottom"/>
            <w:tcBorders>
              <w:bottom w:val="single" w:sz="8" w:color="CCEEFF"/>
            </w:tcBorders>
            <w:shd w:val="clear" w:color="auto" w:fill="CCEEFF"/>
          </w:tcPr>
          <w:p>
            <w:pPr>
              <w:jc w:val="right"/>
              <w:ind w:right="230"/>
              <w:spacing w:after="0"/>
              <w:rPr>
                <w:sz w:val="20"/>
                <w:szCs w:val="20"/>
                <w:color w:val="auto"/>
              </w:rPr>
            </w:pPr>
            <w:r>
              <w:rPr>
                <w:rFonts w:ascii="Arial" w:cs="Arial" w:eastAsia="Arial" w:hAnsi="Arial"/>
                <w:sz w:val="18"/>
                <w:szCs w:val="18"/>
                <w:color w:val="auto"/>
              </w:rPr>
              <w:t>8,838,375</w:t>
            </w:r>
          </w:p>
        </w:tc>
        <w:tc>
          <w:tcPr>
            <w:tcW w:w="0" w:type="dxa"/>
            <w:vAlign w:val="bottom"/>
          </w:tcPr>
          <w:p>
            <w:pPr>
              <w:spacing w:after="0"/>
              <w:rPr>
                <w:sz w:val="1"/>
                <w:szCs w:val="1"/>
                <w:color w:val="auto"/>
              </w:rPr>
            </w:pPr>
          </w:p>
        </w:tc>
      </w:tr>
      <w:tr>
        <w:trPr>
          <w:trHeight w:val="243"/>
        </w:trPr>
        <w:tc>
          <w:tcPr>
            <w:tcW w:w="4700" w:type="dxa"/>
            <w:vAlign w:val="bottom"/>
          </w:tcPr>
          <w:p>
            <w:pPr>
              <w:ind w:left="40"/>
              <w:spacing w:after="0"/>
              <w:rPr>
                <w:sz w:val="20"/>
                <w:szCs w:val="20"/>
                <w:color w:val="auto"/>
              </w:rPr>
            </w:pPr>
            <w:r>
              <w:rPr>
                <w:rFonts w:ascii="Arial" w:cs="Arial" w:eastAsia="Arial" w:hAnsi="Arial"/>
                <w:sz w:val="18"/>
                <w:szCs w:val="18"/>
                <w:color w:val="auto"/>
              </w:rPr>
              <w:t>Products and licensing</w:t>
            </w:r>
          </w:p>
        </w:tc>
        <w:tc>
          <w:tcPr>
            <w:tcW w:w="280" w:type="dxa"/>
            <w:vAlign w:val="bottom"/>
          </w:tcPr>
          <w:p>
            <w:pPr>
              <w:spacing w:after="0"/>
              <w:rPr>
                <w:sz w:val="21"/>
                <w:szCs w:val="21"/>
                <w:color w:val="auto"/>
              </w:rPr>
            </w:pPr>
          </w:p>
        </w:tc>
        <w:tc>
          <w:tcPr>
            <w:tcW w:w="1120" w:type="dxa"/>
            <w:vAlign w:val="bottom"/>
          </w:tcPr>
          <w:p>
            <w:pPr>
              <w:jc w:val="right"/>
              <w:ind w:right="30"/>
              <w:spacing w:after="0"/>
              <w:rPr>
                <w:sz w:val="20"/>
                <w:szCs w:val="20"/>
                <w:color w:val="auto"/>
              </w:rPr>
            </w:pPr>
            <w:r>
              <w:rPr>
                <w:rFonts w:ascii="Arial" w:cs="Arial" w:eastAsia="Arial" w:hAnsi="Arial"/>
                <w:sz w:val="18"/>
                <w:szCs w:val="18"/>
                <w:color w:val="auto"/>
              </w:rPr>
              <w:t>8,306,367</w:t>
            </w:r>
          </w:p>
        </w:tc>
        <w:tc>
          <w:tcPr>
            <w:tcW w:w="120" w:type="dxa"/>
            <w:vAlign w:val="bottom"/>
          </w:tcPr>
          <w:p>
            <w:pPr>
              <w:spacing w:after="0"/>
              <w:rPr>
                <w:sz w:val="21"/>
                <w:szCs w:val="21"/>
                <w:color w:val="auto"/>
              </w:rPr>
            </w:pPr>
          </w:p>
        </w:tc>
        <w:tc>
          <w:tcPr>
            <w:tcW w:w="460" w:type="dxa"/>
            <w:vAlign w:val="bottom"/>
          </w:tcPr>
          <w:p>
            <w:pPr>
              <w:spacing w:after="0"/>
              <w:rPr>
                <w:sz w:val="21"/>
                <w:szCs w:val="21"/>
                <w:color w:val="auto"/>
              </w:rPr>
            </w:pPr>
          </w:p>
        </w:tc>
        <w:tc>
          <w:tcPr>
            <w:tcW w:w="1260" w:type="dxa"/>
            <w:vAlign w:val="bottom"/>
          </w:tcPr>
          <w:p>
            <w:pPr>
              <w:jc w:val="right"/>
              <w:ind w:right="30"/>
              <w:spacing w:after="0"/>
              <w:rPr>
                <w:sz w:val="20"/>
                <w:szCs w:val="20"/>
                <w:color w:val="auto"/>
              </w:rPr>
            </w:pPr>
            <w:r>
              <w:rPr>
                <w:rFonts w:ascii="Arial" w:cs="Arial" w:eastAsia="Arial" w:hAnsi="Arial"/>
                <w:sz w:val="18"/>
                <w:szCs w:val="18"/>
                <w:color w:val="auto"/>
              </w:rPr>
              <w:t>6,690,759</w:t>
            </w:r>
          </w:p>
        </w:tc>
        <w:tc>
          <w:tcPr>
            <w:tcW w:w="100" w:type="dxa"/>
            <w:vAlign w:val="bottom"/>
          </w:tcPr>
          <w:p>
            <w:pPr>
              <w:spacing w:after="0"/>
              <w:rPr>
                <w:sz w:val="21"/>
                <w:szCs w:val="21"/>
                <w:color w:val="auto"/>
              </w:rPr>
            </w:pPr>
          </w:p>
        </w:tc>
        <w:tc>
          <w:tcPr>
            <w:tcW w:w="500" w:type="dxa"/>
            <w:vAlign w:val="bottom"/>
          </w:tcPr>
          <w:p>
            <w:pPr>
              <w:spacing w:after="0"/>
              <w:rPr>
                <w:sz w:val="21"/>
                <w:szCs w:val="21"/>
                <w:color w:val="auto"/>
              </w:rPr>
            </w:pPr>
          </w:p>
        </w:tc>
        <w:tc>
          <w:tcPr>
            <w:tcW w:w="1080" w:type="dxa"/>
            <w:vAlign w:val="bottom"/>
          </w:tcPr>
          <w:p>
            <w:pPr>
              <w:jc w:val="right"/>
              <w:ind w:right="10"/>
              <w:spacing w:after="0"/>
              <w:rPr>
                <w:sz w:val="20"/>
                <w:szCs w:val="20"/>
                <w:color w:val="auto"/>
              </w:rPr>
            </w:pPr>
            <w:r>
              <w:rPr>
                <w:rFonts w:ascii="Arial" w:cs="Arial" w:eastAsia="Arial" w:hAnsi="Arial"/>
                <w:sz w:val="18"/>
                <w:szCs w:val="18"/>
                <w:color w:val="auto"/>
              </w:rPr>
              <w:t>15,862,763</w:t>
            </w:r>
          </w:p>
        </w:tc>
        <w:tc>
          <w:tcPr>
            <w:tcW w:w="22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300" w:type="dxa"/>
            <w:vAlign w:val="bottom"/>
          </w:tcPr>
          <w:p>
            <w:pPr>
              <w:jc w:val="right"/>
              <w:ind w:right="230"/>
              <w:spacing w:after="0"/>
              <w:rPr>
                <w:sz w:val="20"/>
                <w:szCs w:val="20"/>
                <w:color w:val="auto"/>
              </w:rPr>
            </w:pPr>
            <w:r>
              <w:rPr>
                <w:rFonts w:ascii="Arial" w:cs="Arial" w:eastAsia="Arial" w:hAnsi="Arial"/>
                <w:sz w:val="18"/>
                <w:szCs w:val="18"/>
                <w:color w:val="auto"/>
              </w:rPr>
              <w:t>12,541,554</w:t>
            </w:r>
          </w:p>
        </w:tc>
        <w:tc>
          <w:tcPr>
            <w:tcW w:w="0" w:type="dxa"/>
            <w:vAlign w:val="bottom"/>
          </w:tcPr>
          <w:p>
            <w:pPr>
              <w:spacing w:after="0"/>
              <w:rPr>
                <w:sz w:val="1"/>
                <w:szCs w:val="1"/>
                <w:color w:val="auto"/>
              </w:rPr>
            </w:pPr>
          </w:p>
        </w:tc>
      </w:tr>
      <w:tr>
        <w:trPr>
          <w:trHeight w:val="27"/>
        </w:trPr>
        <w:tc>
          <w:tcPr>
            <w:tcW w:w="470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46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50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22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9"/>
        </w:trPr>
        <w:tc>
          <w:tcPr>
            <w:tcW w:w="47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Total revenues</w:t>
            </w:r>
          </w:p>
        </w:tc>
        <w:tc>
          <w:tcPr>
            <w:tcW w:w="28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13,772,648</w:t>
            </w:r>
          </w:p>
        </w:tc>
        <w:tc>
          <w:tcPr>
            <w:tcW w:w="120" w:type="dxa"/>
            <w:vAlign w:val="bottom"/>
            <w:tcBorders>
              <w:bottom w:val="single" w:sz="8" w:color="CCEEFF"/>
            </w:tcBorders>
            <w:shd w:val="clear" w:color="auto" w:fill="CCEEFF"/>
          </w:tcPr>
          <w:p>
            <w:pPr>
              <w:spacing w:after="0"/>
              <w:rPr>
                <w:sz w:val="22"/>
                <w:szCs w:val="22"/>
                <w:color w:val="auto"/>
              </w:rPr>
            </w:pPr>
          </w:p>
        </w:tc>
        <w:tc>
          <w:tcPr>
            <w:tcW w:w="460" w:type="dxa"/>
            <w:vAlign w:val="bottom"/>
            <w:tcBorders>
              <w:bottom w:val="single" w:sz="8" w:color="CCEEFF"/>
            </w:tcBorders>
            <w:shd w:val="clear" w:color="auto" w:fill="CCEEFF"/>
          </w:tcPr>
          <w:p>
            <w:pPr>
              <w:jc w:val="right"/>
              <w:ind w:right="250"/>
              <w:spacing w:after="0"/>
              <w:rPr>
                <w:sz w:val="20"/>
                <w:szCs w:val="20"/>
                <w:color w:val="auto"/>
              </w:rPr>
            </w:pPr>
            <w:r>
              <w:rPr>
                <w:rFonts w:ascii="Arial" w:cs="Arial" w:eastAsia="Arial" w:hAnsi="Arial"/>
                <w:sz w:val="18"/>
                <w:szCs w:val="18"/>
                <w:color w:val="auto"/>
                <w:w w:val="99"/>
              </w:rPr>
              <w:t>$</w:t>
            </w:r>
          </w:p>
        </w:tc>
        <w:tc>
          <w:tcPr>
            <w:tcW w:w="12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11,293,031</w:t>
            </w:r>
          </w:p>
        </w:tc>
        <w:tc>
          <w:tcPr>
            <w:tcW w:w="100" w:type="dxa"/>
            <w:vAlign w:val="bottom"/>
            <w:tcBorders>
              <w:bottom w:val="single" w:sz="8" w:color="CCEEFF"/>
            </w:tcBorders>
            <w:shd w:val="clear" w:color="auto" w:fill="CCEEFF"/>
          </w:tcPr>
          <w:p>
            <w:pPr>
              <w:spacing w:after="0"/>
              <w:rPr>
                <w:sz w:val="22"/>
                <w:szCs w:val="22"/>
                <w:color w:val="auto"/>
              </w:rPr>
            </w:pPr>
          </w:p>
        </w:tc>
        <w:tc>
          <w:tcPr>
            <w:tcW w:w="50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rPr>
              <w:t>$</w:t>
            </w:r>
          </w:p>
        </w:tc>
        <w:tc>
          <w:tcPr>
            <w:tcW w:w="10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25,965,819</w:t>
            </w:r>
          </w:p>
        </w:tc>
        <w:tc>
          <w:tcPr>
            <w:tcW w:w="220" w:type="dxa"/>
            <w:vAlign w:val="bottom"/>
            <w:tcBorders>
              <w:bottom w:val="single" w:sz="8" w:color="CCEEFF"/>
            </w:tcBorders>
            <w:shd w:val="clear" w:color="auto" w:fill="CCEEFF"/>
          </w:tcPr>
          <w:p>
            <w:pPr>
              <w:spacing w:after="0"/>
              <w:rPr>
                <w:sz w:val="22"/>
                <w:szCs w:val="22"/>
                <w:color w:val="auto"/>
              </w:rPr>
            </w:pPr>
          </w:p>
        </w:tc>
        <w:tc>
          <w:tcPr>
            <w:tcW w:w="28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w w:val="99"/>
              </w:rPr>
              <w:t>$</w:t>
            </w:r>
          </w:p>
        </w:tc>
        <w:tc>
          <w:tcPr>
            <w:tcW w:w="1300" w:type="dxa"/>
            <w:vAlign w:val="bottom"/>
            <w:tcBorders>
              <w:bottom w:val="single" w:sz="8" w:color="CCEEFF"/>
            </w:tcBorders>
            <w:shd w:val="clear" w:color="auto" w:fill="CCEEFF"/>
          </w:tcPr>
          <w:p>
            <w:pPr>
              <w:jc w:val="right"/>
              <w:ind w:right="230"/>
              <w:spacing w:after="0"/>
              <w:rPr>
                <w:sz w:val="20"/>
                <w:szCs w:val="20"/>
                <w:color w:val="auto"/>
              </w:rPr>
            </w:pPr>
            <w:r>
              <w:rPr>
                <w:rFonts w:ascii="Arial" w:cs="Arial" w:eastAsia="Arial" w:hAnsi="Arial"/>
                <w:sz w:val="18"/>
                <w:szCs w:val="18"/>
                <w:color w:val="auto"/>
              </w:rPr>
              <w:t>21,379,929</w:t>
            </w:r>
          </w:p>
        </w:tc>
        <w:tc>
          <w:tcPr>
            <w:tcW w:w="0" w:type="dxa"/>
            <w:vAlign w:val="bottom"/>
          </w:tcPr>
          <w:p>
            <w:pPr>
              <w:spacing w:after="0"/>
              <w:rPr>
                <w:sz w:val="1"/>
                <w:szCs w:val="1"/>
                <w:color w:val="auto"/>
              </w:rPr>
            </w:pPr>
          </w:p>
        </w:tc>
      </w:tr>
      <w:tr>
        <w:trPr>
          <w:trHeight w:val="20"/>
        </w:trPr>
        <w:tc>
          <w:tcPr>
            <w:tcW w:w="4700" w:type="dxa"/>
            <w:vAlign w:val="bottom"/>
            <w:tcBorders>
              <w:top w:val="single" w:sz="8" w:color="CCEEFF"/>
              <w:bottom w:val="single" w:sz="8" w:color="CCEEFF"/>
            </w:tcBorders>
            <w:vMerge w:val="restart"/>
          </w:tcPr>
          <w:p>
            <w:pPr>
              <w:ind w:left="40"/>
              <w:spacing w:after="0"/>
              <w:rPr>
                <w:sz w:val="20"/>
                <w:szCs w:val="20"/>
                <w:color w:val="auto"/>
              </w:rPr>
            </w:pPr>
            <w:r>
              <w:rPr>
                <w:rFonts w:ascii="Arial" w:cs="Arial" w:eastAsia="Arial" w:hAnsi="Arial"/>
                <w:sz w:val="18"/>
                <w:szCs w:val="18"/>
                <w:color w:val="auto"/>
              </w:rPr>
              <w:t>Technology development operating income/(loss)</w:t>
            </w:r>
          </w:p>
        </w:tc>
        <w:tc>
          <w:tcPr>
            <w:tcW w:w="280" w:type="dxa"/>
            <w:vAlign w:val="bottom"/>
            <w:tcBorders>
              <w:top w:val="single" w:sz="8" w:color="auto"/>
              <w:bottom w:val="single" w:sz="8" w:color="auto"/>
            </w:tcBorders>
          </w:tcPr>
          <w:p>
            <w:pPr>
              <w:spacing w:after="0" w:line="20" w:lineRule="exact"/>
              <w:rPr>
                <w:sz w:val="1"/>
                <w:szCs w:val="1"/>
                <w:color w:val="auto"/>
              </w:rPr>
            </w:pPr>
          </w:p>
        </w:tc>
        <w:tc>
          <w:tcPr>
            <w:tcW w:w="11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460" w:type="dxa"/>
            <w:vAlign w:val="bottom"/>
            <w:tcBorders>
              <w:top w:val="single" w:sz="8" w:color="auto"/>
              <w:bottom w:val="single" w:sz="8" w:color="auto"/>
            </w:tcBorders>
          </w:tcPr>
          <w:p>
            <w:pPr>
              <w:spacing w:after="0" w:line="20" w:lineRule="exact"/>
              <w:rPr>
                <w:sz w:val="1"/>
                <w:szCs w:val="1"/>
                <w:color w:val="auto"/>
              </w:rPr>
            </w:pPr>
          </w:p>
        </w:tc>
        <w:tc>
          <w:tcPr>
            <w:tcW w:w="12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108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130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4"/>
        </w:trPr>
        <w:tc>
          <w:tcPr>
            <w:tcW w:w="4700" w:type="dxa"/>
            <w:vAlign w:val="bottom"/>
            <w:vMerge w:val="continue"/>
          </w:tcPr>
          <w:p>
            <w:pPr>
              <w:spacing w:after="0"/>
              <w:rPr>
                <w:sz w:val="19"/>
                <w:szCs w:val="19"/>
                <w:color w:val="auto"/>
              </w:rPr>
            </w:pPr>
          </w:p>
        </w:tc>
        <w:tc>
          <w:tcPr>
            <w:tcW w:w="280" w:type="dxa"/>
            <w:vAlign w:val="bottom"/>
          </w:tcPr>
          <w:p>
            <w:pPr>
              <w:jc w:val="right"/>
              <w:ind w:right="70"/>
              <w:spacing w:after="0"/>
              <w:rPr>
                <w:sz w:val="20"/>
                <w:szCs w:val="20"/>
                <w:color w:val="auto"/>
              </w:rPr>
            </w:pPr>
            <w:r>
              <w:rPr>
                <w:rFonts w:ascii="Arial" w:cs="Arial" w:eastAsia="Arial" w:hAnsi="Arial"/>
                <w:sz w:val="18"/>
                <w:szCs w:val="18"/>
                <w:color w:val="auto"/>
                <w:w w:val="99"/>
              </w:rPr>
              <w:t>$</w:t>
            </w:r>
          </w:p>
        </w:tc>
        <w:tc>
          <w:tcPr>
            <w:tcW w:w="1120" w:type="dxa"/>
            <w:vAlign w:val="bottom"/>
          </w:tcPr>
          <w:p>
            <w:pPr>
              <w:jc w:val="right"/>
              <w:ind w:right="30"/>
              <w:spacing w:after="0"/>
              <w:rPr>
                <w:sz w:val="20"/>
                <w:szCs w:val="20"/>
                <w:color w:val="auto"/>
              </w:rPr>
            </w:pPr>
            <w:r>
              <w:rPr>
                <w:rFonts w:ascii="Arial" w:cs="Arial" w:eastAsia="Arial" w:hAnsi="Arial"/>
                <w:sz w:val="18"/>
                <w:szCs w:val="18"/>
                <w:color w:val="auto"/>
              </w:rPr>
              <w:t>445,042</w:t>
            </w:r>
          </w:p>
        </w:tc>
        <w:tc>
          <w:tcPr>
            <w:tcW w:w="120" w:type="dxa"/>
            <w:vAlign w:val="bottom"/>
          </w:tcPr>
          <w:p>
            <w:pPr>
              <w:spacing w:after="0"/>
              <w:rPr>
                <w:sz w:val="19"/>
                <w:szCs w:val="19"/>
                <w:color w:val="auto"/>
              </w:rPr>
            </w:pPr>
          </w:p>
        </w:tc>
        <w:tc>
          <w:tcPr>
            <w:tcW w:w="460" w:type="dxa"/>
            <w:vAlign w:val="bottom"/>
          </w:tcPr>
          <w:p>
            <w:pPr>
              <w:jc w:val="right"/>
              <w:ind w:right="250"/>
              <w:spacing w:after="0"/>
              <w:rPr>
                <w:sz w:val="20"/>
                <w:szCs w:val="20"/>
                <w:color w:val="auto"/>
              </w:rPr>
            </w:pPr>
            <w:r>
              <w:rPr>
                <w:rFonts w:ascii="Arial" w:cs="Arial" w:eastAsia="Arial" w:hAnsi="Arial"/>
                <w:sz w:val="18"/>
                <w:szCs w:val="18"/>
                <w:color w:val="auto"/>
                <w:w w:val="99"/>
              </w:rPr>
              <w:t>$</w:t>
            </w:r>
          </w:p>
        </w:tc>
        <w:tc>
          <w:tcPr>
            <w:tcW w:w="1260" w:type="dxa"/>
            <w:vAlign w:val="bottom"/>
          </w:tcPr>
          <w:p>
            <w:pPr>
              <w:jc w:val="right"/>
              <w:ind w:right="30"/>
              <w:spacing w:after="0"/>
              <w:rPr>
                <w:sz w:val="20"/>
                <w:szCs w:val="20"/>
                <w:color w:val="auto"/>
              </w:rPr>
            </w:pPr>
            <w:r>
              <w:rPr>
                <w:rFonts w:ascii="Arial" w:cs="Arial" w:eastAsia="Arial" w:hAnsi="Arial"/>
                <w:sz w:val="18"/>
                <w:szCs w:val="18"/>
                <w:color w:val="auto"/>
              </w:rPr>
              <w:t>32,920</w:t>
            </w:r>
          </w:p>
        </w:tc>
        <w:tc>
          <w:tcPr>
            <w:tcW w:w="100" w:type="dxa"/>
            <w:vAlign w:val="bottom"/>
          </w:tcPr>
          <w:p>
            <w:pPr>
              <w:spacing w:after="0"/>
              <w:rPr>
                <w:sz w:val="19"/>
                <w:szCs w:val="19"/>
                <w:color w:val="auto"/>
              </w:rPr>
            </w:pPr>
          </w:p>
        </w:tc>
        <w:tc>
          <w:tcPr>
            <w:tcW w:w="500" w:type="dxa"/>
            <w:vAlign w:val="bottom"/>
          </w:tcPr>
          <w:p>
            <w:pPr>
              <w:jc w:val="right"/>
              <w:ind w:right="70"/>
              <w:spacing w:after="0"/>
              <w:rPr>
                <w:sz w:val="20"/>
                <w:szCs w:val="20"/>
                <w:color w:val="auto"/>
              </w:rPr>
            </w:pPr>
            <w:r>
              <w:rPr>
                <w:rFonts w:ascii="Arial" w:cs="Arial" w:eastAsia="Arial" w:hAnsi="Arial"/>
                <w:sz w:val="18"/>
                <w:szCs w:val="18"/>
                <w:color w:val="auto"/>
              </w:rPr>
              <w:t>$</w:t>
            </w:r>
          </w:p>
        </w:tc>
        <w:tc>
          <w:tcPr>
            <w:tcW w:w="1080" w:type="dxa"/>
            <w:vAlign w:val="bottom"/>
          </w:tcPr>
          <w:p>
            <w:pPr>
              <w:jc w:val="right"/>
              <w:ind w:right="10"/>
              <w:spacing w:after="0"/>
              <w:rPr>
                <w:sz w:val="20"/>
                <w:szCs w:val="20"/>
                <w:color w:val="auto"/>
              </w:rPr>
            </w:pPr>
            <w:r>
              <w:rPr>
                <w:rFonts w:ascii="Arial" w:cs="Arial" w:eastAsia="Arial" w:hAnsi="Arial"/>
                <w:sz w:val="18"/>
                <w:szCs w:val="18"/>
                <w:color w:val="auto"/>
              </w:rPr>
              <w:t>544,274</w:t>
            </w:r>
          </w:p>
        </w:tc>
        <w:tc>
          <w:tcPr>
            <w:tcW w:w="220" w:type="dxa"/>
            <w:vAlign w:val="bottom"/>
          </w:tcPr>
          <w:p>
            <w:pPr>
              <w:spacing w:after="0"/>
              <w:rPr>
                <w:sz w:val="19"/>
                <w:szCs w:val="19"/>
                <w:color w:val="auto"/>
              </w:rPr>
            </w:pPr>
          </w:p>
        </w:tc>
        <w:tc>
          <w:tcPr>
            <w:tcW w:w="280" w:type="dxa"/>
            <w:vAlign w:val="bottom"/>
          </w:tcPr>
          <w:p>
            <w:pPr>
              <w:jc w:val="right"/>
              <w:ind w:right="70"/>
              <w:spacing w:after="0"/>
              <w:rPr>
                <w:sz w:val="20"/>
                <w:szCs w:val="20"/>
                <w:color w:val="auto"/>
              </w:rPr>
            </w:pPr>
            <w:r>
              <w:rPr>
                <w:rFonts w:ascii="Arial" w:cs="Arial" w:eastAsia="Arial" w:hAnsi="Arial"/>
                <w:sz w:val="18"/>
                <w:szCs w:val="18"/>
                <w:color w:val="auto"/>
                <w:w w:val="99"/>
              </w:rPr>
              <w:t>$</w:t>
            </w:r>
          </w:p>
        </w:tc>
        <w:tc>
          <w:tcPr>
            <w:tcW w:w="1300" w:type="dxa"/>
            <w:vAlign w:val="bottom"/>
          </w:tcPr>
          <w:p>
            <w:pPr>
              <w:jc w:val="right"/>
              <w:ind w:right="170"/>
              <w:spacing w:after="0"/>
              <w:rPr>
                <w:sz w:val="20"/>
                <w:szCs w:val="20"/>
                <w:color w:val="auto"/>
              </w:rPr>
            </w:pPr>
            <w:r>
              <w:rPr>
                <w:rFonts w:ascii="Arial" w:cs="Arial" w:eastAsia="Arial" w:hAnsi="Arial"/>
                <w:sz w:val="18"/>
                <w:szCs w:val="18"/>
                <w:color w:val="auto"/>
              </w:rPr>
              <w:t>(260,099)</w:t>
            </w:r>
          </w:p>
        </w:tc>
        <w:tc>
          <w:tcPr>
            <w:tcW w:w="0" w:type="dxa"/>
            <w:vAlign w:val="bottom"/>
          </w:tcPr>
          <w:p>
            <w:pPr>
              <w:spacing w:after="0"/>
              <w:rPr>
                <w:sz w:val="1"/>
                <w:szCs w:val="1"/>
                <w:color w:val="auto"/>
              </w:rPr>
            </w:pPr>
          </w:p>
        </w:tc>
      </w:tr>
      <w:tr>
        <w:trPr>
          <w:trHeight w:val="27"/>
        </w:trPr>
        <w:tc>
          <w:tcPr>
            <w:tcW w:w="4700" w:type="dxa"/>
            <w:vAlign w:val="bottom"/>
          </w:tcPr>
          <w:p>
            <w:pPr>
              <w:spacing w:after="0"/>
              <w:rPr>
                <w:sz w:val="2"/>
                <w:szCs w:val="2"/>
                <w:color w:val="auto"/>
              </w:rPr>
            </w:pPr>
          </w:p>
        </w:tc>
        <w:tc>
          <w:tcPr>
            <w:tcW w:w="28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46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00" w:type="dxa"/>
            <w:vAlign w:val="bottom"/>
          </w:tcPr>
          <w:p>
            <w:pPr>
              <w:spacing w:after="0"/>
              <w:rPr>
                <w:sz w:val="2"/>
                <w:szCs w:val="2"/>
                <w:color w:val="auto"/>
              </w:rPr>
            </w:pPr>
          </w:p>
        </w:tc>
        <w:tc>
          <w:tcPr>
            <w:tcW w:w="500" w:type="dxa"/>
            <w:vAlign w:val="bottom"/>
          </w:tcPr>
          <w:p>
            <w:pPr>
              <w:spacing w:after="0"/>
              <w:rPr>
                <w:sz w:val="2"/>
                <w:szCs w:val="2"/>
                <w:color w:val="auto"/>
              </w:rPr>
            </w:pPr>
          </w:p>
        </w:tc>
        <w:tc>
          <w:tcPr>
            <w:tcW w:w="1080" w:type="dxa"/>
            <w:vAlign w:val="bottom"/>
          </w:tcPr>
          <w:p>
            <w:pPr>
              <w:spacing w:after="0"/>
              <w:rPr>
                <w:sz w:val="2"/>
                <w:szCs w:val="2"/>
                <w:color w:val="auto"/>
              </w:rPr>
            </w:pPr>
          </w:p>
        </w:tc>
        <w:tc>
          <w:tcPr>
            <w:tcW w:w="220" w:type="dxa"/>
            <w:vAlign w:val="bottom"/>
          </w:tcPr>
          <w:p>
            <w:pPr>
              <w:spacing w:after="0"/>
              <w:rPr>
                <w:sz w:val="2"/>
                <w:szCs w:val="2"/>
                <w:color w:val="auto"/>
              </w:rPr>
            </w:pPr>
          </w:p>
        </w:tc>
        <w:tc>
          <w:tcPr>
            <w:tcW w:w="280" w:type="dxa"/>
            <w:vAlign w:val="bottom"/>
          </w:tcPr>
          <w:p>
            <w:pPr>
              <w:spacing w:after="0"/>
              <w:rPr>
                <w:sz w:val="2"/>
                <w:szCs w:val="2"/>
                <w:color w:val="auto"/>
              </w:rPr>
            </w:pPr>
          </w:p>
        </w:tc>
        <w:tc>
          <w:tcPr>
            <w:tcW w:w="13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47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Products and licensing operating income/(loss)</w:t>
            </w:r>
          </w:p>
        </w:tc>
        <w:tc>
          <w:tcPr>
            <w:tcW w:w="280" w:type="dxa"/>
            <w:vAlign w:val="bottom"/>
            <w:tcBorders>
              <w:bottom w:val="single" w:sz="8" w:color="CCEEFF"/>
            </w:tcBorders>
            <w:shd w:val="clear" w:color="auto" w:fill="CCEEFF"/>
          </w:tcPr>
          <w:p>
            <w:pPr>
              <w:spacing w:after="0"/>
              <w:rPr>
                <w:sz w:val="23"/>
                <w:szCs w:val="23"/>
                <w:color w:val="auto"/>
              </w:rPr>
            </w:pPr>
          </w:p>
        </w:tc>
        <w:tc>
          <w:tcPr>
            <w:tcW w:w="112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456,107</w:t>
            </w:r>
          </w:p>
        </w:tc>
        <w:tc>
          <w:tcPr>
            <w:tcW w:w="120" w:type="dxa"/>
            <w:vAlign w:val="bottom"/>
            <w:tcBorders>
              <w:bottom w:val="single" w:sz="8" w:color="CCEEFF"/>
            </w:tcBorders>
            <w:shd w:val="clear" w:color="auto" w:fill="CCEEFF"/>
          </w:tcPr>
          <w:p>
            <w:pPr>
              <w:spacing w:after="0"/>
              <w:rPr>
                <w:sz w:val="23"/>
                <w:szCs w:val="23"/>
                <w:color w:val="auto"/>
              </w:rPr>
            </w:pPr>
          </w:p>
        </w:tc>
        <w:tc>
          <w:tcPr>
            <w:tcW w:w="460" w:type="dxa"/>
            <w:vAlign w:val="bottom"/>
            <w:tcBorders>
              <w:bottom w:val="single" w:sz="8" w:color="CCEEFF"/>
            </w:tcBorders>
            <w:shd w:val="clear" w:color="auto" w:fill="CCEEFF"/>
          </w:tcPr>
          <w:p>
            <w:pPr>
              <w:spacing w:after="0"/>
              <w:rPr>
                <w:sz w:val="23"/>
                <w:szCs w:val="23"/>
                <w:color w:val="auto"/>
              </w:rPr>
            </w:pPr>
          </w:p>
        </w:tc>
        <w:tc>
          <w:tcPr>
            <w:tcW w:w="12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146,683</w:t>
            </w:r>
          </w:p>
        </w:tc>
        <w:tc>
          <w:tcPr>
            <w:tcW w:w="100" w:type="dxa"/>
            <w:vAlign w:val="bottom"/>
            <w:tcBorders>
              <w:bottom w:val="single" w:sz="8" w:color="CCEEFF"/>
            </w:tcBorders>
            <w:shd w:val="clear" w:color="auto" w:fill="CCEEFF"/>
          </w:tcPr>
          <w:p>
            <w:pPr>
              <w:spacing w:after="0"/>
              <w:rPr>
                <w:sz w:val="23"/>
                <w:szCs w:val="23"/>
                <w:color w:val="auto"/>
              </w:rPr>
            </w:pPr>
          </w:p>
        </w:tc>
        <w:tc>
          <w:tcPr>
            <w:tcW w:w="500" w:type="dxa"/>
            <w:vAlign w:val="bottom"/>
            <w:tcBorders>
              <w:bottom w:val="single" w:sz="8" w:color="CCEEFF"/>
            </w:tcBorders>
            <w:shd w:val="clear" w:color="auto" w:fill="CCEEFF"/>
          </w:tcPr>
          <w:p>
            <w:pPr>
              <w:spacing w:after="0"/>
              <w:rPr>
                <w:sz w:val="23"/>
                <w:szCs w:val="23"/>
                <w:color w:val="auto"/>
              </w:rPr>
            </w:pPr>
          </w:p>
        </w:tc>
        <w:tc>
          <w:tcPr>
            <w:tcW w:w="10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471,888</w:t>
            </w:r>
          </w:p>
        </w:tc>
        <w:tc>
          <w:tcPr>
            <w:tcW w:w="220" w:type="dxa"/>
            <w:vAlign w:val="bottom"/>
            <w:tcBorders>
              <w:bottom w:val="single" w:sz="8" w:color="CCEEFF"/>
            </w:tcBorders>
            <w:shd w:val="clear" w:color="auto" w:fill="CCEEFF"/>
          </w:tcPr>
          <w:p>
            <w:pPr>
              <w:spacing w:after="0"/>
              <w:rPr>
                <w:sz w:val="23"/>
                <w:szCs w:val="23"/>
                <w:color w:val="auto"/>
              </w:rPr>
            </w:pPr>
          </w:p>
        </w:tc>
        <w:tc>
          <w:tcPr>
            <w:tcW w:w="280" w:type="dxa"/>
            <w:vAlign w:val="bottom"/>
            <w:tcBorders>
              <w:bottom w:val="single" w:sz="8" w:color="CCEEFF"/>
            </w:tcBorders>
            <w:shd w:val="clear" w:color="auto" w:fill="CCEEFF"/>
          </w:tcPr>
          <w:p>
            <w:pPr>
              <w:spacing w:after="0"/>
              <w:rPr>
                <w:sz w:val="23"/>
                <w:szCs w:val="23"/>
                <w:color w:val="auto"/>
              </w:rPr>
            </w:pPr>
          </w:p>
        </w:tc>
        <w:tc>
          <w:tcPr>
            <w:tcW w:w="1300" w:type="dxa"/>
            <w:vAlign w:val="bottom"/>
            <w:tcBorders>
              <w:bottom w:val="single" w:sz="8" w:color="CCEEFF"/>
            </w:tcBorders>
            <w:shd w:val="clear" w:color="auto" w:fill="CCEEFF"/>
          </w:tcPr>
          <w:p>
            <w:pPr>
              <w:jc w:val="right"/>
              <w:ind w:right="170"/>
              <w:spacing w:after="0"/>
              <w:rPr>
                <w:sz w:val="20"/>
                <w:szCs w:val="20"/>
                <w:color w:val="auto"/>
              </w:rPr>
            </w:pPr>
            <w:r>
              <w:rPr>
                <w:rFonts w:ascii="Arial" w:cs="Arial" w:eastAsia="Arial" w:hAnsi="Arial"/>
                <w:sz w:val="18"/>
                <w:szCs w:val="18"/>
                <w:color w:val="auto"/>
              </w:rPr>
              <w:t>(334,859)</w:t>
            </w:r>
          </w:p>
        </w:tc>
        <w:tc>
          <w:tcPr>
            <w:tcW w:w="0" w:type="dxa"/>
            <w:vAlign w:val="bottom"/>
          </w:tcPr>
          <w:p>
            <w:pPr>
              <w:spacing w:after="0"/>
              <w:rPr>
                <w:sz w:val="1"/>
                <w:szCs w:val="1"/>
                <w:color w:val="auto"/>
              </w:rPr>
            </w:pPr>
          </w:p>
        </w:tc>
      </w:tr>
      <w:tr>
        <w:trPr>
          <w:trHeight w:val="237"/>
        </w:trPr>
        <w:tc>
          <w:tcPr>
            <w:tcW w:w="4700" w:type="dxa"/>
            <w:vAlign w:val="bottom"/>
          </w:tcPr>
          <w:p>
            <w:pPr>
              <w:ind w:left="40"/>
              <w:spacing w:after="0"/>
              <w:rPr>
                <w:sz w:val="20"/>
                <w:szCs w:val="20"/>
                <w:color w:val="auto"/>
              </w:rPr>
            </w:pPr>
            <w:r>
              <w:rPr>
                <w:rFonts w:ascii="Arial" w:cs="Arial" w:eastAsia="Arial" w:hAnsi="Arial"/>
                <w:sz w:val="18"/>
                <w:szCs w:val="18"/>
                <w:color w:val="auto"/>
              </w:rPr>
              <w:t>Total operating income/(loss)</w:t>
            </w:r>
          </w:p>
        </w:tc>
        <w:tc>
          <w:tcPr>
            <w:tcW w:w="280" w:type="dxa"/>
            <w:vAlign w:val="bottom"/>
            <w:tcBorders>
              <w:top w:val="single" w:sz="8" w:color="auto"/>
            </w:tcBorders>
          </w:tcPr>
          <w:p>
            <w:pPr>
              <w:jc w:val="right"/>
              <w:ind w:right="70"/>
              <w:spacing w:after="0"/>
              <w:rPr>
                <w:sz w:val="20"/>
                <w:szCs w:val="20"/>
                <w:color w:val="auto"/>
              </w:rPr>
            </w:pPr>
            <w:r>
              <w:rPr>
                <w:rFonts w:ascii="Arial" w:cs="Arial" w:eastAsia="Arial" w:hAnsi="Arial"/>
                <w:sz w:val="18"/>
                <w:szCs w:val="18"/>
                <w:color w:val="auto"/>
                <w:w w:val="99"/>
              </w:rPr>
              <w:t>$</w:t>
            </w:r>
          </w:p>
        </w:tc>
        <w:tc>
          <w:tcPr>
            <w:tcW w:w="1120" w:type="dxa"/>
            <w:vAlign w:val="bottom"/>
            <w:tcBorders>
              <w:top w:val="single" w:sz="8" w:color="auto"/>
            </w:tcBorders>
          </w:tcPr>
          <w:p>
            <w:pPr>
              <w:jc w:val="right"/>
              <w:ind w:right="30"/>
              <w:spacing w:after="0"/>
              <w:rPr>
                <w:sz w:val="20"/>
                <w:szCs w:val="20"/>
                <w:color w:val="auto"/>
              </w:rPr>
            </w:pPr>
            <w:r>
              <w:rPr>
                <w:rFonts w:ascii="Arial" w:cs="Arial" w:eastAsia="Arial" w:hAnsi="Arial"/>
                <w:sz w:val="18"/>
                <w:szCs w:val="18"/>
                <w:color w:val="auto"/>
              </w:rPr>
              <w:t>901,149</w:t>
            </w:r>
          </w:p>
        </w:tc>
        <w:tc>
          <w:tcPr>
            <w:tcW w:w="120" w:type="dxa"/>
            <w:vAlign w:val="bottom"/>
          </w:tcPr>
          <w:p>
            <w:pPr>
              <w:spacing w:after="0"/>
              <w:rPr>
                <w:sz w:val="20"/>
                <w:szCs w:val="20"/>
                <w:color w:val="auto"/>
              </w:rPr>
            </w:pPr>
          </w:p>
        </w:tc>
        <w:tc>
          <w:tcPr>
            <w:tcW w:w="460" w:type="dxa"/>
            <w:vAlign w:val="bottom"/>
            <w:tcBorders>
              <w:top w:val="single" w:sz="8" w:color="auto"/>
            </w:tcBorders>
          </w:tcPr>
          <w:p>
            <w:pPr>
              <w:jc w:val="right"/>
              <w:ind w:right="250"/>
              <w:spacing w:after="0"/>
              <w:rPr>
                <w:sz w:val="20"/>
                <w:szCs w:val="20"/>
                <w:color w:val="auto"/>
              </w:rPr>
            </w:pPr>
            <w:r>
              <w:rPr>
                <w:rFonts w:ascii="Arial" w:cs="Arial" w:eastAsia="Arial" w:hAnsi="Arial"/>
                <w:sz w:val="18"/>
                <w:szCs w:val="18"/>
                <w:color w:val="auto"/>
                <w:w w:val="99"/>
              </w:rPr>
              <w:t>$</w:t>
            </w:r>
          </w:p>
        </w:tc>
        <w:tc>
          <w:tcPr>
            <w:tcW w:w="1260" w:type="dxa"/>
            <w:vAlign w:val="bottom"/>
            <w:tcBorders>
              <w:top w:val="single" w:sz="8" w:color="auto"/>
            </w:tcBorders>
          </w:tcPr>
          <w:p>
            <w:pPr>
              <w:jc w:val="right"/>
              <w:ind w:right="30"/>
              <w:spacing w:after="0"/>
              <w:rPr>
                <w:sz w:val="20"/>
                <w:szCs w:val="20"/>
                <w:color w:val="auto"/>
              </w:rPr>
            </w:pPr>
            <w:r>
              <w:rPr>
                <w:rFonts w:ascii="Arial" w:cs="Arial" w:eastAsia="Arial" w:hAnsi="Arial"/>
                <w:sz w:val="18"/>
                <w:szCs w:val="18"/>
                <w:color w:val="auto"/>
              </w:rPr>
              <w:t>179,603</w:t>
            </w:r>
          </w:p>
        </w:tc>
        <w:tc>
          <w:tcPr>
            <w:tcW w:w="100" w:type="dxa"/>
            <w:vAlign w:val="bottom"/>
          </w:tcPr>
          <w:p>
            <w:pPr>
              <w:spacing w:after="0"/>
              <w:rPr>
                <w:sz w:val="20"/>
                <w:szCs w:val="20"/>
                <w:color w:val="auto"/>
              </w:rPr>
            </w:pPr>
          </w:p>
        </w:tc>
        <w:tc>
          <w:tcPr>
            <w:tcW w:w="500" w:type="dxa"/>
            <w:vAlign w:val="bottom"/>
            <w:tcBorders>
              <w:top w:val="single" w:sz="8" w:color="auto"/>
            </w:tcBorders>
          </w:tcPr>
          <w:p>
            <w:pPr>
              <w:jc w:val="right"/>
              <w:ind w:right="70"/>
              <w:spacing w:after="0"/>
              <w:rPr>
                <w:sz w:val="20"/>
                <w:szCs w:val="20"/>
                <w:color w:val="auto"/>
              </w:rPr>
            </w:pPr>
            <w:r>
              <w:rPr>
                <w:rFonts w:ascii="Arial" w:cs="Arial" w:eastAsia="Arial" w:hAnsi="Arial"/>
                <w:sz w:val="18"/>
                <w:szCs w:val="18"/>
                <w:color w:val="auto"/>
              </w:rPr>
              <w:t>$</w:t>
            </w:r>
          </w:p>
        </w:tc>
        <w:tc>
          <w:tcPr>
            <w:tcW w:w="108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1,016,162</w:t>
            </w:r>
          </w:p>
        </w:tc>
        <w:tc>
          <w:tcPr>
            <w:tcW w:w="220" w:type="dxa"/>
            <w:vAlign w:val="bottom"/>
          </w:tcPr>
          <w:p>
            <w:pPr>
              <w:spacing w:after="0"/>
              <w:rPr>
                <w:sz w:val="20"/>
                <w:szCs w:val="20"/>
                <w:color w:val="auto"/>
              </w:rPr>
            </w:pPr>
          </w:p>
        </w:tc>
        <w:tc>
          <w:tcPr>
            <w:tcW w:w="280" w:type="dxa"/>
            <w:vAlign w:val="bottom"/>
            <w:tcBorders>
              <w:top w:val="single" w:sz="8" w:color="auto"/>
            </w:tcBorders>
          </w:tcPr>
          <w:p>
            <w:pPr>
              <w:jc w:val="right"/>
              <w:ind w:right="70"/>
              <w:spacing w:after="0"/>
              <w:rPr>
                <w:sz w:val="20"/>
                <w:szCs w:val="20"/>
                <w:color w:val="auto"/>
              </w:rPr>
            </w:pPr>
            <w:r>
              <w:rPr>
                <w:rFonts w:ascii="Arial" w:cs="Arial" w:eastAsia="Arial" w:hAnsi="Arial"/>
                <w:sz w:val="18"/>
                <w:szCs w:val="18"/>
                <w:color w:val="auto"/>
                <w:w w:val="99"/>
              </w:rPr>
              <w:t>$</w:t>
            </w:r>
          </w:p>
        </w:tc>
        <w:tc>
          <w:tcPr>
            <w:tcW w:w="1300" w:type="dxa"/>
            <w:vAlign w:val="bottom"/>
            <w:tcBorders>
              <w:top w:val="single" w:sz="8" w:color="auto"/>
            </w:tcBorders>
          </w:tcPr>
          <w:p>
            <w:pPr>
              <w:jc w:val="right"/>
              <w:ind w:right="170"/>
              <w:spacing w:after="0"/>
              <w:rPr>
                <w:sz w:val="20"/>
                <w:szCs w:val="20"/>
                <w:color w:val="auto"/>
              </w:rPr>
            </w:pPr>
            <w:r>
              <w:rPr>
                <w:rFonts w:ascii="Arial" w:cs="Arial" w:eastAsia="Arial" w:hAnsi="Arial"/>
                <w:sz w:val="18"/>
                <w:szCs w:val="18"/>
                <w:color w:val="auto"/>
              </w:rPr>
              <w:t>(594,958)</w:t>
            </w:r>
          </w:p>
        </w:tc>
        <w:tc>
          <w:tcPr>
            <w:tcW w:w="0" w:type="dxa"/>
            <w:vAlign w:val="bottom"/>
          </w:tcPr>
          <w:p>
            <w:pPr>
              <w:spacing w:after="0"/>
              <w:rPr>
                <w:sz w:val="1"/>
                <w:szCs w:val="1"/>
                <w:color w:val="auto"/>
              </w:rPr>
            </w:pPr>
          </w:p>
        </w:tc>
      </w:tr>
      <w:tr>
        <w:trPr>
          <w:trHeight w:val="67"/>
        </w:trPr>
        <w:tc>
          <w:tcPr>
            <w:tcW w:w="4700" w:type="dxa"/>
            <w:vAlign w:val="bottom"/>
            <w:tcBorders>
              <w:bottom w:val="single" w:sz="8" w:color="CCEEFF"/>
            </w:tcBorders>
          </w:tcPr>
          <w:p>
            <w:pPr>
              <w:spacing w:after="0"/>
              <w:rPr>
                <w:sz w:val="5"/>
                <w:szCs w:val="5"/>
                <w:color w:val="auto"/>
              </w:rPr>
            </w:pPr>
          </w:p>
        </w:tc>
        <w:tc>
          <w:tcPr>
            <w:tcW w:w="280" w:type="dxa"/>
            <w:vAlign w:val="bottom"/>
            <w:tcBorders>
              <w:bottom w:val="single" w:sz="8" w:color="auto"/>
            </w:tcBorders>
          </w:tcPr>
          <w:p>
            <w:pPr>
              <w:spacing w:after="0"/>
              <w:rPr>
                <w:sz w:val="5"/>
                <w:szCs w:val="5"/>
                <w:color w:val="auto"/>
              </w:rPr>
            </w:pPr>
          </w:p>
        </w:tc>
        <w:tc>
          <w:tcPr>
            <w:tcW w:w="1120" w:type="dxa"/>
            <w:vAlign w:val="bottom"/>
            <w:tcBorders>
              <w:bottom w:val="single" w:sz="8" w:color="auto"/>
            </w:tcBorders>
          </w:tcPr>
          <w:p>
            <w:pPr>
              <w:spacing w:after="0"/>
              <w:rPr>
                <w:sz w:val="5"/>
                <w:szCs w:val="5"/>
                <w:color w:val="auto"/>
              </w:rPr>
            </w:pPr>
          </w:p>
        </w:tc>
        <w:tc>
          <w:tcPr>
            <w:tcW w:w="120" w:type="dxa"/>
            <w:vAlign w:val="bottom"/>
            <w:tcBorders>
              <w:bottom w:val="single" w:sz="8" w:color="CCEEFF"/>
            </w:tcBorders>
          </w:tcPr>
          <w:p>
            <w:pPr>
              <w:spacing w:after="0"/>
              <w:rPr>
                <w:sz w:val="5"/>
                <w:szCs w:val="5"/>
                <w:color w:val="auto"/>
              </w:rPr>
            </w:pPr>
          </w:p>
        </w:tc>
        <w:tc>
          <w:tcPr>
            <w:tcW w:w="460" w:type="dxa"/>
            <w:vAlign w:val="bottom"/>
            <w:tcBorders>
              <w:bottom w:val="single" w:sz="8" w:color="auto"/>
            </w:tcBorders>
          </w:tcPr>
          <w:p>
            <w:pPr>
              <w:spacing w:after="0"/>
              <w:rPr>
                <w:sz w:val="5"/>
                <w:szCs w:val="5"/>
                <w:color w:val="auto"/>
              </w:rPr>
            </w:pPr>
          </w:p>
        </w:tc>
        <w:tc>
          <w:tcPr>
            <w:tcW w:w="1260" w:type="dxa"/>
            <w:vAlign w:val="bottom"/>
            <w:tcBorders>
              <w:bottom w:val="single" w:sz="8" w:color="auto"/>
            </w:tcBorders>
          </w:tcPr>
          <w:p>
            <w:pPr>
              <w:spacing w:after="0"/>
              <w:rPr>
                <w:sz w:val="5"/>
                <w:szCs w:val="5"/>
                <w:color w:val="auto"/>
              </w:rPr>
            </w:pPr>
          </w:p>
        </w:tc>
        <w:tc>
          <w:tcPr>
            <w:tcW w:w="100" w:type="dxa"/>
            <w:vAlign w:val="bottom"/>
            <w:tcBorders>
              <w:bottom w:val="single" w:sz="8" w:color="CCEEFF"/>
            </w:tcBorders>
          </w:tcPr>
          <w:p>
            <w:pPr>
              <w:spacing w:after="0"/>
              <w:rPr>
                <w:sz w:val="5"/>
                <w:szCs w:val="5"/>
                <w:color w:val="auto"/>
              </w:rPr>
            </w:pPr>
          </w:p>
        </w:tc>
        <w:tc>
          <w:tcPr>
            <w:tcW w:w="500" w:type="dxa"/>
            <w:vAlign w:val="bottom"/>
            <w:tcBorders>
              <w:bottom w:val="single" w:sz="8" w:color="auto"/>
            </w:tcBorders>
          </w:tcPr>
          <w:p>
            <w:pPr>
              <w:spacing w:after="0"/>
              <w:rPr>
                <w:sz w:val="5"/>
                <w:szCs w:val="5"/>
                <w:color w:val="auto"/>
              </w:rPr>
            </w:pPr>
          </w:p>
        </w:tc>
        <w:tc>
          <w:tcPr>
            <w:tcW w:w="1080" w:type="dxa"/>
            <w:vAlign w:val="bottom"/>
            <w:tcBorders>
              <w:bottom w:val="single" w:sz="8" w:color="auto"/>
            </w:tcBorders>
          </w:tcPr>
          <w:p>
            <w:pPr>
              <w:spacing w:after="0"/>
              <w:rPr>
                <w:sz w:val="5"/>
                <w:szCs w:val="5"/>
                <w:color w:val="auto"/>
              </w:rPr>
            </w:pPr>
          </w:p>
        </w:tc>
        <w:tc>
          <w:tcPr>
            <w:tcW w:w="220" w:type="dxa"/>
            <w:vAlign w:val="bottom"/>
            <w:tcBorders>
              <w:bottom w:val="single" w:sz="8" w:color="CCEEFF"/>
            </w:tcBorders>
          </w:tcPr>
          <w:p>
            <w:pPr>
              <w:spacing w:after="0"/>
              <w:rPr>
                <w:sz w:val="5"/>
                <w:szCs w:val="5"/>
                <w:color w:val="auto"/>
              </w:rPr>
            </w:pPr>
          </w:p>
        </w:tc>
        <w:tc>
          <w:tcPr>
            <w:tcW w:w="280" w:type="dxa"/>
            <w:vAlign w:val="bottom"/>
            <w:tcBorders>
              <w:bottom w:val="single" w:sz="8" w:color="auto"/>
            </w:tcBorders>
          </w:tcPr>
          <w:p>
            <w:pPr>
              <w:spacing w:after="0"/>
              <w:rPr>
                <w:sz w:val="5"/>
                <w:szCs w:val="5"/>
                <w:color w:val="auto"/>
              </w:rPr>
            </w:pPr>
          </w:p>
        </w:tc>
        <w:tc>
          <w:tcPr>
            <w:tcW w:w="1300" w:type="dxa"/>
            <w:vAlign w:val="bottom"/>
            <w:tcBorders>
              <w:bottom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31"/>
        </w:trPr>
        <w:tc>
          <w:tcPr>
            <w:tcW w:w="4700" w:type="dxa"/>
            <w:vAlign w:val="bottom"/>
            <w:tcBorders>
              <w:bottom w:val="single" w:sz="8" w:color="CCEEFF"/>
            </w:tcBorders>
            <w:shd w:val="clear" w:color="auto" w:fill="CCEEFF"/>
          </w:tcPr>
          <w:p>
            <w:pPr>
              <w:ind w:left="40"/>
              <w:spacing w:after="0" w:line="196" w:lineRule="exact"/>
              <w:rPr>
                <w:sz w:val="20"/>
                <w:szCs w:val="20"/>
                <w:color w:val="auto"/>
              </w:rPr>
            </w:pPr>
            <w:r>
              <w:rPr>
                <w:rFonts w:ascii="Arial" w:cs="Arial" w:eastAsia="Arial" w:hAnsi="Arial"/>
                <w:sz w:val="18"/>
                <w:szCs w:val="18"/>
                <w:color w:val="auto"/>
              </w:rPr>
              <w:t>Depreciation, technology development</w:t>
            </w:r>
          </w:p>
        </w:tc>
        <w:tc>
          <w:tcPr>
            <w:tcW w:w="28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94,774</w:t>
            </w:r>
          </w:p>
        </w:tc>
        <w:tc>
          <w:tcPr>
            <w:tcW w:w="120" w:type="dxa"/>
            <w:vAlign w:val="bottom"/>
            <w:tcBorders>
              <w:bottom w:val="single" w:sz="8" w:color="CCEEFF"/>
            </w:tcBorders>
            <w:shd w:val="clear" w:color="auto" w:fill="CCEEFF"/>
          </w:tcPr>
          <w:p>
            <w:pPr>
              <w:spacing w:after="0"/>
              <w:rPr>
                <w:sz w:val="20"/>
                <w:szCs w:val="20"/>
                <w:color w:val="auto"/>
              </w:rPr>
            </w:pPr>
          </w:p>
        </w:tc>
        <w:tc>
          <w:tcPr>
            <w:tcW w:w="460" w:type="dxa"/>
            <w:vAlign w:val="bottom"/>
            <w:tcBorders>
              <w:bottom w:val="single" w:sz="8" w:color="CCEEFF"/>
            </w:tcBorders>
            <w:shd w:val="clear" w:color="auto" w:fill="CCEEFF"/>
          </w:tcPr>
          <w:p>
            <w:pPr>
              <w:jc w:val="right"/>
              <w:ind w:right="250"/>
              <w:spacing w:after="0"/>
              <w:rPr>
                <w:sz w:val="20"/>
                <w:szCs w:val="20"/>
                <w:color w:val="auto"/>
              </w:rPr>
            </w:pPr>
            <w:r>
              <w:rPr>
                <w:rFonts w:ascii="Arial" w:cs="Arial" w:eastAsia="Arial" w:hAnsi="Arial"/>
                <w:sz w:val="18"/>
                <w:szCs w:val="18"/>
                <w:color w:val="auto"/>
                <w:w w:val="99"/>
              </w:rPr>
              <w:t>$</w:t>
            </w:r>
          </w:p>
        </w:tc>
        <w:tc>
          <w:tcPr>
            <w:tcW w:w="12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88,698</w:t>
            </w:r>
          </w:p>
        </w:tc>
        <w:tc>
          <w:tcPr>
            <w:tcW w:w="100" w:type="dxa"/>
            <w:vAlign w:val="bottom"/>
            <w:tcBorders>
              <w:bottom w:val="single" w:sz="8" w:color="CCEEFF"/>
            </w:tcBorders>
            <w:shd w:val="clear" w:color="auto" w:fill="CCEEFF"/>
          </w:tcPr>
          <w:p>
            <w:pPr>
              <w:spacing w:after="0"/>
              <w:rPr>
                <w:sz w:val="20"/>
                <w:szCs w:val="20"/>
                <w:color w:val="auto"/>
              </w:rPr>
            </w:pPr>
          </w:p>
        </w:tc>
        <w:tc>
          <w:tcPr>
            <w:tcW w:w="50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rPr>
              <w:t>$</w:t>
            </w:r>
          </w:p>
        </w:tc>
        <w:tc>
          <w:tcPr>
            <w:tcW w:w="10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188,374</w:t>
            </w:r>
          </w:p>
        </w:tc>
        <w:tc>
          <w:tcPr>
            <w:tcW w:w="220" w:type="dxa"/>
            <w:vAlign w:val="bottom"/>
            <w:tcBorders>
              <w:bottom w:val="single" w:sz="8" w:color="CCEEFF"/>
            </w:tcBorders>
            <w:shd w:val="clear" w:color="auto" w:fill="CCEEFF"/>
          </w:tcPr>
          <w:p>
            <w:pPr>
              <w:spacing w:after="0"/>
              <w:rPr>
                <w:sz w:val="20"/>
                <w:szCs w:val="20"/>
                <w:color w:val="auto"/>
              </w:rPr>
            </w:pPr>
          </w:p>
        </w:tc>
        <w:tc>
          <w:tcPr>
            <w:tcW w:w="28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w w:val="99"/>
              </w:rPr>
              <w:t>$</w:t>
            </w:r>
          </w:p>
        </w:tc>
        <w:tc>
          <w:tcPr>
            <w:tcW w:w="1300" w:type="dxa"/>
            <w:vAlign w:val="bottom"/>
            <w:tcBorders>
              <w:bottom w:val="single" w:sz="8" w:color="CCEEFF"/>
            </w:tcBorders>
            <w:shd w:val="clear" w:color="auto" w:fill="CCEEFF"/>
          </w:tcPr>
          <w:p>
            <w:pPr>
              <w:jc w:val="right"/>
              <w:ind w:right="230"/>
              <w:spacing w:after="0"/>
              <w:rPr>
                <w:sz w:val="20"/>
                <w:szCs w:val="20"/>
                <w:color w:val="auto"/>
              </w:rPr>
            </w:pPr>
            <w:r>
              <w:rPr>
                <w:rFonts w:ascii="Arial" w:cs="Arial" w:eastAsia="Arial" w:hAnsi="Arial"/>
                <w:sz w:val="18"/>
                <w:szCs w:val="18"/>
                <w:color w:val="auto"/>
              </w:rPr>
              <w:t>176,918</w:t>
            </w:r>
          </w:p>
        </w:tc>
        <w:tc>
          <w:tcPr>
            <w:tcW w:w="0" w:type="dxa"/>
            <w:vAlign w:val="bottom"/>
          </w:tcPr>
          <w:p>
            <w:pPr>
              <w:spacing w:after="0"/>
              <w:rPr>
                <w:sz w:val="1"/>
                <w:szCs w:val="1"/>
                <w:color w:val="auto"/>
              </w:rPr>
            </w:pPr>
          </w:p>
        </w:tc>
      </w:tr>
      <w:tr>
        <w:trPr>
          <w:trHeight w:val="243"/>
        </w:trPr>
        <w:tc>
          <w:tcPr>
            <w:tcW w:w="4700" w:type="dxa"/>
            <w:vAlign w:val="bottom"/>
          </w:tcPr>
          <w:p>
            <w:pPr>
              <w:ind w:left="40"/>
              <w:spacing w:after="0"/>
              <w:rPr>
                <w:sz w:val="20"/>
                <w:szCs w:val="20"/>
                <w:color w:val="auto"/>
              </w:rPr>
            </w:pPr>
            <w:r>
              <w:rPr>
                <w:rFonts w:ascii="Arial" w:cs="Arial" w:eastAsia="Arial" w:hAnsi="Arial"/>
                <w:sz w:val="18"/>
                <w:szCs w:val="18"/>
                <w:color w:val="auto"/>
              </w:rPr>
              <w:t>Depreciation, products and licensing</w:t>
            </w:r>
          </w:p>
        </w:tc>
        <w:tc>
          <w:tcPr>
            <w:tcW w:w="280" w:type="dxa"/>
            <w:vAlign w:val="bottom"/>
          </w:tcPr>
          <w:p>
            <w:pPr>
              <w:jc w:val="right"/>
              <w:ind w:right="70"/>
              <w:spacing w:after="0"/>
              <w:rPr>
                <w:sz w:val="20"/>
                <w:szCs w:val="20"/>
                <w:color w:val="auto"/>
              </w:rPr>
            </w:pPr>
            <w:r>
              <w:rPr>
                <w:rFonts w:ascii="Arial" w:cs="Arial" w:eastAsia="Arial" w:hAnsi="Arial"/>
                <w:sz w:val="18"/>
                <w:szCs w:val="18"/>
                <w:color w:val="auto"/>
                <w:w w:val="99"/>
              </w:rPr>
              <w:t>$</w:t>
            </w:r>
          </w:p>
        </w:tc>
        <w:tc>
          <w:tcPr>
            <w:tcW w:w="1120" w:type="dxa"/>
            <w:vAlign w:val="bottom"/>
          </w:tcPr>
          <w:p>
            <w:pPr>
              <w:jc w:val="right"/>
              <w:ind w:right="30"/>
              <w:spacing w:after="0"/>
              <w:rPr>
                <w:sz w:val="20"/>
                <w:szCs w:val="20"/>
                <w:color w:val="auto"/>
              </w:rPr>
            </w:pPr>
            <w:r>
              <w:rPr>
                <w:rFonts w:ascii="Arial" w:cs="Arial" w:eastAsia="Arial" w:hAnsi="Arial"/>
                <w:sz w:val="18"/>
                <w:szCs w:val="18"/>
                <w:color w:val="auto"/>
              </w:rPr>
              <w:t>75,314</w:t>
            </w:r>
          </w:p>
        </w:tc>
        <w:tc>
          <w:tcPr>
            <w:tcW w:w="120" w:type="dxa"/>
            <w:vAlign w:val="bottom"/>
          </w:tcPr>
          <w:p>
            <w:pPr>
              <w:spacing w:after="0"/>
              <w:rPr>
                <w:sz w:val="21"/>
                <w:szCs w:val="21"/>
                <w:color w:val="auto"/>
              </w:rPr>
            </w:pPr>
          </w:p>
        </w:tc>
        <w:tc>
          <w:tcPr>
            <w:tcW w:w="460" w:type="dxa"/>
            <w:vAlign w:val="bottom"/>
          </w:tcPr>
          <w:p>
            <w:pPr>
              <w:jc w:val="right"/>
              <w:ind w:right="250"/>
              <w:spacing w:after="0"/>
              <w:rPr>
                <w:sz w:val="20"/>
                <w:szCs w:val="20"/>
                <w:color w:val="auto"/>
              </w:rPr>
            </w:pPr>
            <w:r>
              <w:rPr>
                <w:rFonts w:ascii="Arial" w:cs="Arial" w:eastAsia="Arial" w:hAnsi="Arial"/>
                <w:sz w:val="18"/>
                <w:szCs w:val="18"/>
                <w:color w:val="auto"/>
                <w:w w:val="99"/>
              </w:rPr>
              <w:t>$</w:t>
            </w:r>
          </w:p>
        </w:tc>
        <w:tc>
          <w:tcPr>
            <w:tcW w:w="1260" w:type="dxa"/>
            <w:vAlign w:val="bottom"/>
          </w:tcPr>
          <w:p>
            <w:pPr>
              <w:jc w:val="right"/>
              <w:ind w:right="30"/>
              <w:spacing w:after="0"/>
              <w:rPr>
                <w:sz w:val="20"/>
                <w:szCs w:val="20"/>
                <w:color w:val="auto"/>
              </w:rPr>
            </w:pPr>
            <w:r>
              <w:rPr>
                <w:rFonts w:ascii="Arial" w:cs="Arial" w:eastAsia="Arial" w:hAnsi="Arial"/>
                <w:sz w:val="18"/>
                <w:szCs w:val="18"/>
                <w:color w:val="auto"/>
              </w:rPr>
              <w:t>240,504</w:t>
            </w:r>
          </w:p>
        </w:tc>
        <w:tc>
          <w:tcPr>
            <w:tcW w:w="100" w:type="dxa"/>
            <w:vAlign w:val="bottom"/>
          </w:tcPr>
          <w:p>
            <w:pPr>
              <w:spacing w:after="0"/>
              <w:rPr>
                <w:sz w:val="21"/>
                <w:szCs w:val="21"/>
                <w:color w:val="auto"/>
              </w:rPr>
            </w:pPr>
          </w:p>
        </w:tc>
        <w:tc>
          <w:tcPr>
            <w:tcW w:w="500" w:type="dxa"/>
            <w:vAlign w:val="bottom"/>
          </w:tcPr>
          <w:p>
            <w:pPr>
              <w:jc w:val="right"/>
              <w:ind w:right="70"/>
              <w:spacing w:after="0"/>
              <w:rPr>
                <w:sz w:val="20"/>
                <w:szCs w:val="20"/>
                <w:color w:val="auto"/>
              </w:rPr>
            </w:pPr>
            <w:r>
              <w:rPr>
                <w:rFonts w:ascii="Arial" w:cs="Arial" w:eastAsia="Arial" w:hAnsi="Arial"/>
                <w:sz w:val="18"/>
                <w:szCs w:val="18"/>
                <w:color w:val="auto"/>
              </w:rPr>
              <w:t>$</w:t>
            </w:r>
          </w:p>
        </w:tc>
        <w:tc>
          <w:tcPr>
            <w:tcW w:w="1080" w:type="dxa"/>
            <w:vAlign w:val="bottom"/>
          </w:tcPr>
          <w:p>
            <w:pPr>
              <w:jc w:val="right"/>
              <w:ind w:right="10"/>
              <w:spacing w:after="0"/>
              <w:rPr>
                <w:sz w:val="20"/>
                <w:szCs w:val="20"/>
                <w:color w:val="auto"/>
              </w:rPr>
            </w:pPr>
            <w:r>
              <w:rPr>
                <w:rFonts w:ascii="Arial" w:cs="Arial" w:eastAsia="Arial" w:hAnsi="Arial"/>
                <w:sz w:val="18"/>
                <w:szCs w:val="18"/>
                <w:color w:val="auto"/>
              </w:rPr>
              <w:t>139,631</w:t>
            </w:r>
          </w:p>
        </w:tc>
        <w:tc>
          <w:tcPr>
            <w:tcW w:w="220" w:type="dxa"/>
            <w:vAlign w:val="bottom"/>
          </w:tcPr>
          <w:p>
            <w:pPr>
              <w:spacing w:after="0"/>
              <w:rPr>
                <w:sz w:val="21"/>
                <w:szCs w:val="21"/>
                <w:color w:val="auto"/>
              </w:rPr>
            </w:pPr>
          </w:p>
        </w:tc>
        <w:tc>
          <w:tcPr>
            <w:tcW w:w="280" w:type="dxa"/>
            <w:vAlign w:val="bottom"/>
          </w:tcPr>
          <w:p>
            <w:pPr>
              <w:jc w:val="right"/>
              <w:ind w:right="70"/>
              <w:spacing w:after="0"/>
              <w:rPr>
                <w:sz w:val="20"/>
                <w:szCs w:val="20"/>
                <w:color w:val="auto"/>
              </w:rPr>
            </w:pPr>
            <w:r>
              <w:rPr>
                <w:rFonts w:ascii="Arial" w:cs="Arial" w:eastAsia="Arial" w:hAnsi="Arial"/>
                <w:sz w:val="18"/>
                <w:szCs w:val="18"/>
                <w:color w:val="auto"/>
                <w:w w:val="99"/>
              </w:rPr>
              <w:t>$</w:t>
            </w:r>
          </w:p>
        </w:tc>
        <w:tc>
          <w:tcPr>
            <w:tcW w:w="1300" w:type="dxa"/>
            <w:vAlign w:val="bottom"/>
          </w:tcPr>
          <w:p>
            <w:pPr>
              <w:jc w:val="right"/>
              <w:ind w:right="230"/>
              <w:spacing w:after="0"/>
              <w:rPr>
                <w:sz w:val="20"/>
                <w:szCs w:val="20"/>
                <w:color w:val="auto"/>
              </w:rPr>
            </w:pPr>
            <w:r>
              <w:rPr>
                <w:rFonts w:ascii="Arial" w:cs="Arial" w:eastAsia="Arial" w:hAnsi="Arial"/>
                <w:sz w:val="18"/>
                <w:szCs w:val="18"/>
                <w:color w:val="auto"/>
              </w:rPr>
              <w:t>571,480</w:t>
            </w:r>
          </w:p>
        </w:tc>
        <w:tc>
          <w:tcPr>
            <w:tcW w:w="0" w:type="dxa"/>
            <w:vAlign w:val="bottom"/>
          </w:tcPr>
          <w:p>
            <w:pPr>
              <w:spacing w:after="0"/>
              <w:rPr>
                <w:sz w:val="1"/>
                <w:szCs w:val="1"/>
                <w:color w:val="auto"/>
              </w:rPr>
            </w:pPr>
          </w:p>
        </w:tc>
      </w:tr>
      <w:tr>
        <w:trPr>
          <w:trHeight w:val="27"/>
        </w:trPr>
        <w:tc>
          <w:tcPr>
            <w:tcW w:w="4700" w:type="dxa"/>
            <w:vAlign w:val="bottom"/>
          </w:tcPr>
          <w:p>
            <w:pPr>
              <w:spacing w:after="0"/>
              <w:rPr>
                <w:sz w:val="2"/>
                <w:szCs w:val="2"/>
                <w:color w:val="auto"/>
              </w:rPr>
            </w:pPr>
          </w:p>
        </w:tc>
        <w:tc>
          <w:tcPr>
            <w:tcW w:w="28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46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00" w:type="dxa"/>
            <w:vAlign w:val="bottom"/>
          </w:tcPr>
          <w:p>
            <w:pPr>
              <w:spacing w:after="0"/>
              <w:rPr>
                <w:sz w:val="2"/>
                <w:szCs w:val="2"/>
                <w:color w:val="auto"/>
              </w:rPr>
            </w:pPr>
          </w:p>
        </w:tc>
        <w:tc>
          <w:tcPr>
            <w:tcW w:w="500" w:type="dxa"/>
            <w:vAlign w:val="bottom"/>
          </w:tcPr>
          <w:p>
            <w:pPr>
              <w:spacing w:after="0"/>
              <w:rPr>
                <w:sz w:val="2"/>
                <w:szCs w:val="2"/>
                <w:color w:val="auto"/>
              </w:rPr>
            </w:pPr>
          </w:p>
        </w:tc>
        <w:tc>
          <w:tcPr>
            <w:tcW w:w="1080" w:type="dxa"/>
            <w:vAlign w:val="bottom"/>
          </w:tcPr>
          <w:p>
            <w:pPr>
              <w:spacing w:after="0"/>
              <w:rPr>
                <w:sz w:val="2"/>
                <w:szCs w:val="2"/>
                <w:color w:val="auto"/>
              </w:rPr>
            </w:pPr>
          </w:p>
        </w:tc>
        <w:tc>
          <w:tcPr>
            <w:tcW w:w="220" w:type="dxa"/>
            <w:vAlign w:val="bottom"/>
          </w:tcPr>
          <w:p>
            <w:pPr>
              <w:spacing w:after="0"/>
              <w:rPr>
                <w:sz w:val="2"/>
                <w:szCs w:val="2"/>
                <w:color w:val="auto"/>
              </w:rPr>
            </w:pPr>
          </w:p>
        </w:tc>
        <w:tc>
          <w:tcPr>
            <w:tcW w:w="280" w:type="dxa"/>
            <w:vAlign w:val="bottom"/>
          </w:tcPr>
          <w:p>
            <w:pPr>
              <w:spacing w:after="0"/>
              <w:rPr>
                <w:sz w:val="2"/>
                <w:szCs w:val="2"/>
                <w:color w:val="auto"/>
              </w:rPr>
            </w:pPr>
          </w:p>
        </w:tc>
        <w:tc>
          <w:tcPr>
            <w:tcW w:w="13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47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Amortization, technology development</w:t>
            </w:r>
          </w:p>
        </w:tc>
        <w:tc>
          <w:tcPr>
            <w:tcW w:w="28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40,856</w:t>
            </w:r>
          </w:p>
        </w:tc>
        <w:tc>
          <w:tcPr>
            <w:tcW w:w="120" w:type="dxa"/>
            <w:vAlign w:val="bottom"/>
            <w:tcBorders>
              <w:bottom w:val="single" w:sz="8" w:color="CCEEFF"/>
            </w:tcBorders>
            <w:shd w:val="clear" w:color="auto" w:fill="CCEEFF"/>
          </w:tcPr>
          <w:p>
            <w:pPr>
              <w:spacing w:after="0"/>
              <w:rPr>
                <w:sz w:val="21"/>
                <w:szCs w:val="21"/>
                <w:color w:val="auto"/>
              </w:rPr>
            </w:pPr>
          </w:p>
        </w:tc>
        <w:tc>
          <w:tcPr>
            <w:tcW w:w="460" w:type="dxa"/>
            <w:vAlign w:val="bottom"/>
            <w:tcBorders>
              <w:bottom w:val="single" w:sz="8" w:color="CCEEFF"/>
            </w:tcBorders>
            <w:shd w:val="clear" w:color="auto" w:fill="CCEEFF"/>
          </w:tcPr>
          <w:p>
            <w:pPr>
              <w:jc w:val="right"/>
              <w:ind w:right="250"/>
              <w:spacing w:after="0"/>
              <w:rPr>
                <w:sz w:val="20"/>
                <w:szCs w:val="20"/>
                <w:color w:val="auto"/>
              </w:rPr>
            </w:pPr>
            <w:r>
              <w:rPr>
                <w:rFonts w:ascii="Arial" w:cs="Arial" w:eastAsia="Arial" w:hAnsi="Arial"/>
                <w:sz w:val="18"/>
                <w:szCs w:val="18"/>
                <w:color w:val="auto"/>
                <w:w w:val="99"/>
              </w:rPr>
              <w:t>$</w:t>
            </w:r>
          </w:p>
        </w:tc>
        <w:tc>
          <w:tcPr>
            <w:tcW w:w="12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26,169</w:t>
            </w:r>
          </w:p>
        </w:tc>
        <w:tc>
          <w:tcPr>
            <w:tcW w:w="100" w:type="dxa"/>
            <w:vAlign w:val="bottom"/>
            <w:tcBorders>
              <w:bottom w:val="single" w:sz="8" w:color="CCEEFF"/>
            </w:tcBorders>
            <w:shd w:val="clear" w:color="auto" w:fill="CCEEFF"/>
          </w:tcPr>
          <w:p>
            <w:pPr>
              <w:spacing w:after="0"/>
              <w:rPr>
                <w:sz w:val="21"/>
                <w:szCs w:val="21"/>
                <w:color w:val="auto"/>
              </w:rPr>
            </w:pPr>
          </w:p>
        </w:tc>
        <w:tc>
          <w:tcPr>
            <w:tcW w:w="50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rPr>
              <w:t>$</w:t>
            </w:r>
          </w:p>
        </w:tc>
        <w:tc>
          <w:tcPr>
            <w:tcW w:w="10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78,062</w:t>
            </w:r>
          </w:p>
        </w:tc>
        <w:tc>
          <w:tcPr>
            <w:tcW w:w="22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w w:val="99"/>
              </w:rPr>
              <w:t>$</w:t>
            </w:r>
          </w:p>
        </w:tc>
        <w:tc>
          <w:tcPr>
            <w:tcW w:w="1300" w:type="dxa"/>
            <w:vAlign w:val="bottom"/>
            <w:tcBorders>
              <w:bottom w:val="single" w:sz="8" w:color="CCEEFF"/>
            </w:tcBorders>
            <w:shd w:val="clear" w:color="auto" w:fill="CCEEFF"/>
          </w:tcPr>
          <w:p>
            <w:pPr>
              <w:jc w:val="right"/>
              <w:ind w:right="230"/>
              <w:spacing w:after="0"/>
              <w:rPr>
                <w:sz w:val="20"/>
                <w:szCs w:val="20"/>
                <w:color w:val="auto"/>
              </w:rPr>
            </w:pPr>
            <w:r>
              <w:rPr>
                <w:rFonts w:ascii="Arial" w:cs="Arial" w:eastAsia="Arial" w:hAnsi="Arial"/>
                <w:sz w:val="18"/>
                <w:szCs w:val="18"/>
                <w:color w:val="auto"/>
              </w:rPr>
              <w:t>74,759</w:t>
            </w:r>
          </w:p>
        </w:tc>
        <w:tc>
          <w:tcPr>
            <w:tcW w:w="0" w:type="dxa"/>
            <w:vAlign w:val="bottom"/>
          </w:tcPr>
          <w:p>
            <w:pPr>
              <w:spacing w:after="0"/>
              <w:rPr>
                <w:sz w:val="1"/>
                <w:szCs w:val="1"/>
                <w:color w:val="auto"/>
              </w:rPr>
            </w:pPr>
          </w:p>
        </w:tc>
      </w:tr>
      <w:tr>
        <w:trPr>
          <w:trHeight w:val="243"/>
        </w:trPr>
        <w:tc>
          <w:tcPr>
            <w:tcW w:w="4700" w:type="dxa"/>
            <w:vAlign w:val="bottom"/>
          </w:tcPr>
          <w:p>
            <w:pPr>
              <w:ind w:left="40"/>
              <w:spacing w:after="0"/>
              <w:rPr>
                <w:sz w:val="20"/>
                <w:szCs w:val="20"/>
                <w:color w:val="auto"/>
              </w:rPr>
            </w:pPr>
            <w:r>
              <w:rPr>
                <w:rFonts w:ascii="Arial" w:cs="Arial" w:eastAsia="Arial" w:hAnsi="Arial"/>
                <w:sz w:val="18"/>
                <w:szCs w:val="18"/>
                <w:color w:val="auto"/>
              </w:rPr>
              <w:t>Amortization, products and licensing</w:t>
            </w:r>
          </w:p>
        </w:tc>
        <w:tc>
          <w:tcPr>
            <w:tcW w:w="280" w:type="dxa"/>
            <w:vAlign w:val="bottom"/>
          </w:tcPr>
          <w:p>
            <w:pPr>
              <w:jc w:val="right"/>
              <w:ind w:right="70"/>
              <w:spacing w:after="0"/>
              <w:rPr>
                <w:sz w:val="20"/>
                <w:szCs w:val="20"/>
                <w:color w:val="auto"/>
              </w:rPr>
            </w:pPr>
            <w:r>
              <w:rPr>
                <w:rFonts w:ascii="Arial" w:cs="Arial" w:eastAsia="Arial" w:hAnsi="Arial"/>
                <w:sz w:val="18"/>
                <w:szCs w:val="18"/>
                <w:color w:val="auto"/>
                <w:w w:val="99"/>
              </w:rPr>
              <w:t>$</w:t>
            </w:r>
          </w:p>
        </w:tc>
        <w:tc>
          <w:tcPr>
            <w:tcW w:w="1120" w:type="dxa"/>
            <w:vAlign w:val="bottom"/>
          </w:tcPr>
          <w:p>
            <w:pPr>
              <w:jc w:val="right"/>
              <w:ind w:right="30"/>
              <w:spacing w:after="0"/>
              <w:rPr>
                <w:sz w:val="20"/>
                <w:szCs w:val="20"/>
                <w:color w:val="auto"/>
              </w:rPr>
            </w:pPr>
            <w:r>
              <w:rPr>
                <w:rFonts w:ascii="Arial" w:cs="Arial" w:eastAsia="Arial" w:hAnsi="Arial"/>
                <w:sz w:val="18"/>
                <w:szCs w:val="18"/>
                <w:color w:val="auto"/>
              </w:rPr>
              <w:t>103,781</w:t>
            </w:r>
          </w:p>
        </w:tc>
        <w:tc>
          <w:tcPr>
            <w:tcW w:w="120" w:type="dxa"/>
            <w:vAlign w:val="bottom"/>
          </w:tcPr>
          <w:p>
            <w:pPr>
              <w:spacing w:after="0"/>
              <w:rPr>
                <w:sz w:val="21"/>
                <w:szCs w:val="21"/>
                <w:color w:val="auto"/>
              </w:rPr>
            </w:pPr>
          </w:p>
        </w:tc>
        <w:tc>
          <w:tcPr>
            <w:tcW w:w="460" w:type="dxa"/>
            <w:vAlign w:val="bottom"/>
          </w:tcPr>
          <w:p>
            <w:pPr>
              <w:jc w:val="right"/>
              <w:ind w:right="250"/>
              <w:spacing w:after="0"/>
              <w:rPr>
                <w:sz w:val="20"/>
                <w:szCs w:val="20"/>
                <w:color w:val="auto"/>
              </w:rPr>
            </w:pPr>
            <w:r>
              <w:rPr>
                <w:rFonts w:ascii="Arial" w:cs="Arial" w:eastAsia="Arial" w:hAnsi="Arial"/>
                <w:sz w:val="18"/>
                <w:szCs w:val="18"/>
                <w:color w:val="auto"/>
                <w:w w:val="99"/>
              </w:rPr>
              <w:t>$</w:t>
            </w:r>
          </w:p>
        </w:tc>
        <w:tc>
          <w:tcPr>
            <w:tcW w:w="1260" w:type="dxa"/>
            <w:vAlign w:val="bottom"/>
          </w:tcPr>
          <w:p>
            <w:pPr>
              <w:jc w:val="right"/>
              <w:ind w:right="30"/>
              <w:spacing w:after="0"/>
              <w:rPr>
                <w:sz w:val="20"/>
                <w:szCs w:val="20"/>
                <w:color w:val="auto"/>
              </w:rPr>
            </w:pPr>
            <w:r>
              <w:rPr>
                <w:rFonts w:ascii="Arial" w:cs="Arial" w:eastAsia="Arial" w:hAnsi="Arial"/>
                <w:sz w:val="18"/>
                <w:szCs w:val="18"/>
                <w:color w:val="auto"/>
              </w:rPr>
              <w:t>437,612</w:t>
            </w:r>
          </w:p>
        </w:tc>
        <w:tc>
          <w:tcPr>
            <w:tcW w:w="100" w:type="dxa"/>
            <w:vAlign w:val="bottom"/>
          </w:tcPr>
          <w:p>
            <w:pPr>
              <w:spacing w:after="0"/>
              <w:rPr>
                <w:sz w:val="21"/>
                <w:szCs w:val="21"/>
                <w:color w:val="auto"/>
              </w:rPr>
            </w:pPr>
          </w:p>
        </w:tc>
        <w:tc>
          <w:tcPr>
            <w:tcW w:w="500" w:type="dxa"/>
            <w:vAlign w:val="bottom"/>
          </w:tcPr>
          <w:p>
            <w:pPr>
              <w:jc w:val="right"/>
              <w:ind w:right="70"/>
              <w:spacing w:after="0"/>
              <w:rPr>
                <w:sz w:val="20"/>
                <w:szCs w:val="20"/>
                <w:color w:val="auto"/>
              </w:rPr>
            </w:pPr>
            <w:r>
              <w:rPr>
                <w:rFonts w:ascii="Arial" w:cs="Arial" w:eastAsia="Arial" w:hAnsi="Arial"/>
                <w:sz w:val="18"/>
                <w:szCs w:val="18"/>
                <w:color w:val="auto"/>
              </w:rPr>
              <w:t>$</w:t>
            </w:r>
          </w:p>
        </w:tc>
        <w:tc>
          <w:tcPr>
            <w:tcW w:w="1080" w:type="dxa"/>
            <w:vAlign w:val="bottom"/>
          </w:tcPr>
          <w:p>
            <w:pPr>
              <w:jc w:val="right"/>
              <w:ind w:right="10"/>
              <w:spacing w:after="0"/>
              <w:rPr>
                <w:sz w:val="20"/>
                <w:szCs w:val="20"/>
                <w:color w:val="auto"/>
              </w:rPr>
            </w:pPr>
            <w:r>
              <w:rPr>
                <w:rFonts w:ascii="Arial" w:cs="Arial" w:eastAsia="Arial" w:hAnsi="Arial"/>
                <w:sz w:val="18"/>
                <w:szCs w:val="18"/>
                <w:color w:val="auto"/>
              </w:rPr>
              <w:t>216,510</w:t>
            </w:r>
          </w:p>
        </w:tc>
        <w:tc>
          <w:tcPr>
            <w:tcW w:w="220" w:type="dxa"/>
            <w:vAlign w:val="bottom"/>
          </w:tcPr>
          <w:p>
            <w:pPr>
              <w:spacing w:after="0"/>
              <w:rPr>
                <w:sz w:val="21"/>
                <w:szCs w:val="21"/>
                <w:color w:val="auto"/>
              </w:rPr>
            </w:pPr>
          </w:p>
        </w:tc>
        <w:tc>
          <w:tcPr>
            <w:tcW w:w="280" w:type="dxa"/>
            <w:vAlign w:val="bottom"/>
          </w:tcPr>
          <w:p>
            <w:pPr>
              <w:jc w:val="right"/>
              <w:ind w:right="70"/>
              <w:spacing w:after="0"/>
              <w:rPr>
                <w:sz w:val="20"/>
                <w:szCs w:val="20"/>
                <w:color w:val="auto"/>
              </w:rPr>
            </w:pPr>
            <w:r>
              <w:rPr>
                <w:rFonts w:ascii="Arial" w:cs="Arial" w:eastAsia="Arial" w:hAnsi="Arial"/>
                <w:sz w:val="18"/>
                <w:szCs w:val="18"/>
                <w:color w:val="auto"/>
                <w:w w:val="99"/>
              </w:rPr>
              <w:t>$</w:t>
            </w:r>
          </w:p>
        </w:tc>
        <w:tc>
          <w:tcPr>
            <w:tcW w:w="1300" w:type="dxa"/>
            <w:vAlign w:val="bottom"/>
          </w:tcPr>
          <w:p>
            <w:pPr>
              <w:jc w:val="right"/>
              <w:ind w:right="230"/>
              <w:spacing w:after="0"/>
              <w:rPr>
                <w:sz w:val="20"/>
                <w:szCs w:val="20"/>
                <w:color w:val="auto"/>
              </w:rPr>
            </w:pPr>
            <w:r>
              <w:rPr>
                <w:rFonts w:ascii="Arial" w:cs="Arial" w:eastAsia="Arial" w:hAnsi="Arial"/>
                <w:sz w:val="18"/>
                <w:szCs w:val="18"/>
                <w:color w:val="auto"/>
              </w:rPr>
              <w:t>930,591</w:t>
            </w:r>
          </w:p>
        </w:tc>
        <w:tc>
          <w:tcPr>
            <w:tcW w:w="0" w:type="dxa"/>
            <w:vAlign w:val="bottom"/>
          </w:tcPr>
          <w:p>
            <w:pPr>
              <w:spacing w:after="0"/>
              <w:rPr>
                <w:sz w:val="1"/>
                <w:szCs w:val="1"/>
                <w:color w:val="auto"/>
              </w:rPr>
            </w:pPr>
          </w:p>
        </w:tc>
      </w:tr>
    </w:tbl>
    <w:p>
      <w:pPr>
        <w:spacing w:after="0" w:line="229" w:lineRule="exact"/>
        <w:rPr>
          <w:sz w:val="20"/>
          <w:szCs w:val="20"/>
          <w:color w:val="auto"/>
        </w:rPr>
      </w:pPr>
    </w:p>
    <w:p>
      <w:pPr>
        <w:jc w:val="both"/>
        <w:ind w:right="240" w:firstLine="432"/>
        <w:spacing w:after="0" w:line="308" w:lineRule="auto"/>
        <w:rPr>
          <w:sz w:val="20"/>
          <w:szCs w:val="20"/>
          <w:color w:val="auto"/>
        </w:rPr>
      </w:pPr>
      <w:r>
        <w:rPr>
          <w:rFonts w:ascii="Arial" w:cs="Arial" w:eastAsia="Arial" w:hAnsi="Arial"/>
          <w:sz w:val="17"/>
          <w:szCs w:val="17"/>
          <w:color w:val="auto"/>
        </w:rPr>
        <w:t>Products and licensing depreciation includes amounts from discontinued operations of $0.4 million for the six months ended June 30, 2017. Products and licensing amortization includes amounts from discontinued operations of $0.7 million for the six months ended June 30, 2017.</w:t>
      </w:r>
    </w:p>
    <w:p>
      <w:pPr>
        <w:spacing w:after="0" w:line="17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20</w:t>
      </w:r>
    </w:p>
    <w:p>
      <w:pPr>
        <w:sectPr>
          <w:pgSz w:w="11900" w:h="16838" w:orient="portrait"/>
          <w:cols w:equalWidth="0" w:num="1">
            <w:col w:w="11420"/>
          </w:cols>
          <w:pgMar w:left="240" w:top="118" w:right="239" w:bottom="1440" w:gutter="0" w:footer="0" w:header="0"/>
          <w:type w:val="continuous"/>
        </w:sectPr>
      </w:pPr>
    </w:p>
    <w:bookmarkStart w:id="20" w:name="page21"/>
    <w:bookmarkEnd w:id="20"/>
    <w:p>
      <w:pPr>
        <w:spacing w:after="0"/>
        <w:rPr>
          <w:rFonts w:ascii="Arial" w:cs="Arial" w:eastAsia="Arial" w:hAnsi="Arial"/>
          <w:sz w:val="14"/>
          <w:szCs w:val="14"/>
          <w:b w:val="1"/>
          <w:bCs w:val="1"/>
          <w:u w:val="single" w:color="auto"/>
          <w:color w:val="0000EE"/>
        </w:rPr>
      </w:pPr>
      <w:hyperlink w:anchor="page2">
        <w:r>
          <w:rPr>
            <w:rFonts w:ascii="Arial" w:cs="Arial" w:eastAsia="Arial" w:hAnsi="Arial"/>
            <w:sz w:val="14"/>
            <w:szCs w:val="14"/>
            <w:b w:val="1"/>
            <w:bCs w:val="1"/>
            <w:u w:val="single" w:color="auto"/>
            <w:color w:val="0000EE"/>
          </w:rPr>
          <w:t>Table of Contents</w:t>
        </w:r>
      </w:hyperlink>
    </w:p>
    <w:p>
      <w:pPr>
        <w:spacing w:after="0" w:line="200" w:lineRule="exact"/>
        <w:rPr>
          <w:sz w:val="20"/>
          <w:szCs w:val="20"/>
          <w:color w:val="auto"/>
        </w:rPr>
      </w:pPr>
    </w:p>
    <w:p>
      <w:pPr>
        <w:spacing w:after="0" w:line="268" w:lineRule="exact"/>
        <w:rPr>
          <w:sz w:val="20"/>
          <w:szCs w:val="20"/>
          <w:color w:val="auto"/>
        </w:rPr>
      </w:pPr>
    </w:p>
    <w:p>
      <w:pPr>
        <w:ind w:left="440"/>
        <w:spacing w:after="0"/>
        <w:rPr>
          <w:sz w:val="20"/>
          <w:szCs w:val="20"/>
          <w:color w:val="auto"/>
        </w:rPr>
      </w:pPr>
      <w:r>
        <w:rPr>
          <w:rFonts w:ascii="Arial" w:cs="Arial" w:eastAsia="Arial" w:hAnsi="Arial"/>
          <w:sz w:val="18"/>
          <w:szCs w:val="18"/>
          <w:color w:val="auto"/>
        </w:rPr>
        <w:t>The table below presents assets for reportable segments:</w:t>
      </w:r>
    </w:p>
    <w:p>
      <w:pPr>
        <w:spacing w:after="0" w:line="200" w:lineRule="exact"/>
        <w:rPr>
          <w:sz w:val="20"/>
          <w:szCs w:val="20"/>
          <w:color w:val="auto"/>
        </w:rPr>
      </w:pPr>
    </w:p>
    <w:p>
      <w:pPr>
        <w:spacing w:after="0" w:line="207"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858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400" w:type="dxa"/>
            <w:vAlign w:val="bottom"/>
            <w:gridSpan w:val="2"/>
          </w:tcPr>
          <w:p>
            <w:pPr>
              <w:jc w:val="center"/>
              <w:ind w:right="440"/>
              <w:spacing w:after="0"/>
              <w:rPr>
                <w:sz w:val="20"/>
                <w:szCs w:val="20"/>
                <w:color w:val="auto"/>
              </w:rPr>
            </w:pPr>
            <w:r>
              <w:rPr>
                <w:rFonts w:ascii="Arial" w:cs="Arial" w:eastAsia="Arial" w:hAnsi="Arial"/>
                <w:sz w:val="14"/>
                <w:szCs w:val="14"/>
                <w:b w:val="1"/>
                <w:bCs w:val="1"/>
                <w:color w:val="auto"/>
                <w:w w:val="92"/>
              </w:rPr>
              <w:t>June 30,</w:t>
            </w:r>
          </w:p>
        </w:tc>
        <w:tc>
          <w:tcPr>
            <w:tcW w:w="160" w:type="dxa"/>
            <w:vAlign w:val="bottom"/>
          </w:tcPr>
          <w:p>
            <w:pPr>
              <w:spacing w:after="0"/>
              <w:rPr>
                <w:sz w:val="14"/>
                <w:szCs w:val="14"/>
                <w:color w:val="auto"/>
              </w:rPr>
            </w:pPr>
          </w:p>
        </w:tc>
        <w:tc>
          <w:tcPr>
            <w:tcW w:w="1100" w:type="dxa"/>
            <w:vAlign w:val="bottom"/>
          </w:tcPr>
          <w:p>
            <w:pPr>
              <w:jc w:val="right"/>
              <w:ind w:right="135"/>
              <w:spacing w:after="0"/>
              <w:rPr>
                <w:sz w:val="20"/>
                <w:szCs w:val="20"/>
                <w:color w:val="auto"/>
              </w:rPr>
            </w:pPr>
            <w:r>
              <w:rPr>
                <w:rFonts w:ascii="Arial" w:cs="Arial" w:eastAsia="Arial" w:hAnsi="Arial"/>
                <w:sz w:val="14"/>
                <w:szCs w:val="14"/>
                <w:b w:val="1"/>
                <w:bCs w:val="1"/>
                <w:color w:val="auto"/>
                <w:w w:val="94"/>
              </w:rPr>
              <w:t>December 31,</w:t>
            </w:r>
          </w:p>
        </w:tc>
        <w:tc>
          <w:tcPr>
            <w:tcW w:w="0" w:type="dxa"/>
            <w:vAlign w:val="bottom"/>
          </w:tcPr>
          <w:p>
            <w:pPr>
              <w:spacing w:after="0"/>
              <w:rPr>
                <w:sz w:val="1"/>
                <w:szCs w:val="1"/>
                <w:color w:val="auto"/>
              </w:rPr>
            </w:pPr>
          </w:p>
        </w:tc>
      </w:tr>
      <w:tr>
        <w:trPr>
          <w:trHeight w:val="192"/>
        </w:trPr>
        <w:tc>
          <w:tcPr>
            <w:tcW w:w="8580" w:type="dxa"/>
            <w:vAlign w:val="bottom"/>
            <w:tcBorders>
              <w:bottom w:val="single" w:sz="8" w:color="CCEEFF"/>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1180" w:type="dxa"/>
            <w:vAlign w:val="bottom"/>
            <w:tcBorders>
              <w:bottom w:val="single" w:sz="8" w:color="auto"/>
            </w:tcBorders>
          </w:tcPr>
          <w:p>
            <w:pPr>
              <w:jc w:val="center"/>
              <w:ind w:right="94"/>
              <w:spacing w:after="0"/>
              <w:rPr>
                <w:sz w:val="20"/>
                <w:szCs w:val="20"/>
                <w:color w:val="auto"/>
              </w:rPr>
            </w:pPr>
            <w:r>
              <w:rPr>
                <w:rFonts w:ascii="Arial" w:cs="Arial" w:eastAsia="Arial" w:hAnsi="Arial"/>
                <w:sz w:val="14"/>
                <w:szCs w:val="14"/>
                <w:b w:val="1"/>
                <w:bCs w:val="1"/>
                <w:color w:val="auto"/>
                <w:w w:val="89"/>
              </w:rPr>
              <w:t>2018</w:t>
            </w:r>
          </w:p>
        </w:tc>
        <w:tc>
          <w:tcPr>
            <w:tcW w:w="220" w:type="dxa"/>
            <w:vAlign w:val="bottom"/>
            <w:tcBorders>
              <w:bottom w:val="single" w:sz="8" w:color="CCEEFF"/>
            </w:tcBorders>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1100" w:type="dxa"/>
            <w:vAlign w:val="bottom"/>
            <w:tcBorders>
              <w:bottom w:val="single" w:sz="8" w:color="auto"/>
            </w:tcBorders>
          </w:tcPr>
          <w:p>
            <w:pPr>
              <w:jc w:val="right"/>
              <w:ind w:right="395"/>
              <w:spacing w:after="0"/>
              <w:rPr>
                <w:sz w:val="20"/>
                <w:szCs w:val="20"/>
                <w:color w:val="auto"/>
              </w:rPr>
            </w:pPr>
            <w:r>
              <w:rPr>
                <w:rFonts w:ascii="Arial" w:cs="Arial" w:eastAsia="Arial" w:hAnsi="Arial"/>
                <w:sz w:val="14"/>
                <w:szCs w:val="14"/>
                <w:b w:val="1"/>
                <w:bCs w:val="1"/>
                <w:color w:val="auto"/>
              </w:rPr>
              <w:t>2017</w:t>
            </w:r>
          </w:p>
        </w:tc>
        <w:tc>
          <w:tcPr>
            <w:tcW w:w="0" w:type="dxa"/>
            <w:vAlign w:val="bottom"/>
          </w:tcPr>
          <w:p>
            <w:pPr>
              <w:spacing w:after="0"/>
              <w:rPr>
                <w:sz w:val="1"/>
                <w:szCs w:val="1"/>
                <w:color w:val="auto"/>
              </w:rPr>
            </w:pPr>
          </w:p>
        </w:tc>
      </w:tr>
      <w:tr>
        <w:trPr>
          <w:trHeight w:val="250"/>
        </w:trPr>
        <w:tc>
          <w:tcPr>
            <w:tcW w:w="858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400" w:type="dxa"/>
            <w:vAlign w:val="bottom"/>
            <w:tcBorders>
              <w:bottom w:val="single" w:sz="8" w:color="CCEEFF"/>
            </w:tcBorders>
            <w:gridSpan w:val="2"/>
            <w:shd w:val="clear" w:color="auto" w:fill="CCEEFF"/>
          </w:tcPr>
          <w:p>
            <w:pPr>
              <w:jc w:val="center"/>
              <w:ind w:right="400"/>
              <w:spacing w:after="0"/>
              <w:rPr>
                <w:sz w:val="20"/>
                <w:szCs w:val="20"/>
                <w:color w:val="auto"/>
              </w:rPr>
            </w:pPr>
            <w:r>
              <w:rPr>
                <w:rFonts w:ascii="Arial" w:cs="Arial" w:eastAsia="Arial" w:hAnsi="Arial"/>
                <w:sz w:val="18"/>
                <w:szCs w:val="18"/>
                <w:color w:val="auto"/>
                <w:w w:val="92"/>
              </w:rPr>
              <w:t>(unaudited)</w:t>
            </w:r>
          </w:p>
        </w:tc>
        <w:tc>
          <w:tcPr>
            <w:tcW w:w="16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8580" w:type="dxa"/>
            <w:vAlign w:val="bottom"/>
          </w:tcPr>
          <w:p>
            <w:pPr>
              <w:ind w:left="40"/>
              <w:spacing w:after="0"/>
              <w:rPr>
                <w:sz w:val="20"/>
                <w:szCs w:val="20"/>
                <w:color w:val="auto"/>
              </w:rPr>
            </w:pPr>
            <w:r>
              <w:rPr>
                <w:rFonts w:ascii="Arial" w:cs="Arial" w:eastAsia="Arial" w:hAnsi="Arial"/>
                <w:sz w:val="18"/>
                <w:szCs w:val="18"/>
                <w:color w:val="auto"/>
              </w:rPr>
              <w:t>Total segment assets:</w:t>
            </w:r>
          </w:p>
        </w:tc>
        <w:tc>
          <w:tcPr>
            <w:tcW w:w="180" w:type="dxa"/>
            <w:vAlign w:val="bottom"/>
          </w:tcPr>
          <w:p>
            <w:pPr>
              <w:spacing w:after="0"/>
              <w:rPr>
                <w:sz w:val="21"/>
                <w:szCs w:val="21"/>
                <w:color w:val="auto"/>
              </w:rPr>
            </w:pPr>
          </w:p>
        </w:tc>
        <w:tc>
          <w:tcPr>
            <w:tcW w:w="118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1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8580" w:type="dxa"/>
            <w:vAlign w:val="bottom"/>
          </w:tcPr>
          <w:p>
            <w:pPr>
              <w:spacing w:after="0"/>
              <w:rPr>
                <w:sz w:val="2"/>
                <w:szCs w:val="2"/>
                <w:color w:val="auto"/>
              </w:rPr>
            </w:pPr>
          </w:p>
        </w:tc>
        <w:tc>
          <w:tcPr>
            <w:tcW w:w="180" w:type="dxa"/>
            <w:vAlign w:val="bottom"/>
          </w:tcPr>
          <w:p>
            <w:pPr>
              <w:spacing w:after="0"/>
              <w:rPr>
                <w:sz w:val="2"/>
                <w:szCs w:val="2"/>
                <w:color w:val="auto"/>
              </w:rPr>
            </w:pPr>
          </w:p>
        </w:tc>
        <w:tc>
          <w:tcPr>
            <w:tcW w:w="1180" w:type="dxa"/>
            <w:vAlign w:val="bottom"/>
          </w:tcPr>
          <w:p>
            <w:pPr>
              <w:spacing w:after="0"/>
              <w:rPr>
                <w:sz w:val="2"/>
                <w:szCs w:val="2"/>
                <w:color w:val="auto"/>
              </w:rPr>
            </w:pPr>
          </w:p>
        </w:tc>
        <w:tc>
          <w:tcPr>
            <w:tcW w:w="2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858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Technology development</w:t>
            </w: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18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30,704,165</w:t>
            </w:r>
          </w:p>
        </w:tc>
        <w:tc>
          <w:tcPr>
            <w:tcW w:w="2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100" w:type="dxa"/>
            <w:vAlign w:val="bottom"/>
            <w:tcBorders>
              <w:bottom w:val="single" w:sz="8" w:color="CCEEFF"/>
            </w:tcBorders>
            <w:shd w:val="clear" w:color="auto" w:fill="CCEEFF"/>
          </w:tcPr>
          <w:p>
            <w:pPr>
              <w:jc w:val="right"/>
              <w:ind w:right="15"/>
              <w:spacing w:after="0"/>
              <w:rPr>
                <w:sz w:val="20"/>
                <w:szCs w:val="20"/>
                <w:color w:val="auto"/>
              </w:rPr>
            </w:pPr>
            <w:r>
              <w:rPr>
                <w:rFonts w:ascii="Arial" w:cs="Arial" w:eastAsia="Arial" w:hAnsi="Arial"/>
                <w:sz w:val="18"/>
                <w:szCs w:val="18"/>
                <w:color w:val="auto"/>
              </w:rPr>
              <w:t>32,011,084</w:t>
            </w:r>
          </w:p>
        </w:tc>
        <w:tc>
          <w:tcPr>
            <w:tcW w:w="0" w:type="dxa"/>
            <w:vAlign w:val="bottom"/>
          </w:tcPr>
          <w:p>
            <w:pPr>
              <w:spacing w:after="0"/>
              <w:rPr>
                <w:sz w:val="1"/>
                <w:szCs w:val="1"/>
                <w:color w:val="auto"/>
              </w:rPr>
            </w:pPr>
          </w:p>
        </w:tc>
      </w:tr>
      <w:tr>
        <w:trPr>
          <w:trHeight w:val="243"/>
        </w:trPr>
        <w:tc>
          <w:tcPr>
            <w:tcW w:w="8580" w:type="dxa"/>
            <w:vAlign w:val="bottom"/>
          </w:tcPr>
          <w:p>
            <w:pPr>
              <w:ind w:left="380"/>
              <w:spacing w:after="0"/>
              <w:rPr>
                <w:sz w:val="20"/>
                <w:szCs w:val="20"/>
                <w:color w:val="auto"/>
              </w:rPr>
            </w:pPr>
            <w:r>
              <w:rPr>
                <w:rFonts w:ascii="Arial" w:cs="Arial" w:eastAsia="Arial" w:hAnsi="Arial"/>
                <w:sz w:val="18"/>
                <w:szCs w:val="18"/>
                <w:color w:val="auto"/>
              </w:rPr>
              <w:t>Products and licensing</w:t>
            </w:r>
          </w:p>
        </w:tc>
        <w:tc>
          <w:tcPr>
            <w:tcW w:w="180" w:type="dxa"/>
            <w:vAlign w:val="bottom"/>
          </w:tcPr>
          <w:p>
            <w:pPr>
              <w:spacing w:after="0"/>
              <w:rPr>
                <w:sz w:val="21"/>
                <w:szCs w:val="21"/>
                <w:color w:val="auto"/>
              </w:rPr>
            </w:pPr>
          </w:p>
        </w:tc>
        <w:tc>
          <w:tcPr>
            <w:tcW w:w="1180" w:type="dxa"/>
            <w:vAlign w:val="bottom"/>
          </w:tcPr>
          <w:p>
            <w:pPr>
              <w:jc w:val="right"/>
              <w:ind w:right="14"/>
              <w:spacing w:after="0"/>
              <w:rPr>
                <w:sz w:val="20"/>
                <w:szCs w:val="20"/>
                <w:color w:val="auto"/>
              </w:rPr>
            </w:pPr>
            <w:r>
              <w:rPr>
                <w:rFonts w:ascii="Arial" w:cs="Arial" w:eastAsia="Arial" w:hAnsi="Arial"/>
                <w:sz w:val="18"/>
                <w:szCs w:val="18"/>
                <w:color w:val="auto"/>
              </w:rPr>
              <w:t>34,458,941</w:t>
            </w:r>
          </w:p>
        </w:tc>
        <w:tc>
          <w:tcPr>
            <w:tcW w:w="2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100" w:type="dxa"/>
            <w:vAlign w:val="bottom"/>
          </w:tcPr>
          <w:p>
            <w:pPr>
              <w:jc w:val="right"/>
              <w:ind w:right="15"/>
              <w:spacing w:after="0"/>
              <w:rPr>
                <w:sz w:val="20"/>
                <w:szCs w:val="20"/>
                <w:color w:val="auto"/>
              </w:rPr>
            </w:pPr>
            <w:r>
              <w:rPr>
                <w:rFonts w:ascii="Arial" w:cs="Arial" w:eastAsia="Arial" w:hAnsi="Arial"/>
                <w:sz w:val="18"/>
                <w:szCs w:val="18"/>
                <w:color w:val="auto"/>
              </w:rPr>
              <w:t>34,211,552</w:t>
            </w:r>
          </w:p>
        </w:tc>
        <w:tc>
          <w:tcPr>
            <w:tcW w:w="0" w:type="dxa"/>
            <w:vAlign w:val="bottom"/>
          </w:tcPr>
          <w:p>
            <w:pPr>
              <w:spacing w:after="0"/>
              <w:rPr>
                <w:sz w:val="1"/>
                <w:szCs w:val="1"/>
                <w:color w:val="auto"/>
              </w:rPr>
            </w:pPr>
          </w:p>
        </w:tc>
      </w:tr>
      <w:tr>
        <w:trPr>
          <w:trHeight w:val="27"/>
        </w:trPr>
        <w:tc>
          <w:tcPr>
            <w:tcW w:w="858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22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9"/>
        </w:trPr>
        <w:tc>
          <w:tcPr>
            <w:tcW w:w="8580" w:type="dxa"/>
            <w:vAlign w:val="bottom"/>
            <w:tcBorders>
              <w:bottom w:val="single" w:sz="8" w:color="CCEEFF"/>
            </w:tcBorders>
            <w:shd w:val="clear" w:color="auto" w:fill="CCEEFF"/>
          </w:tcPr>
          <w:p>
            <w:pPr>
              <w:ind w:left="720"/>
              <w:spacing w:after="0"/>
              <w:rPr>
                <w:sz w:val="20"/>
                <w:szCs w:val="20"/>
                <w:color w:val="auto"/>
              </w:rPr>
            </w:pPr>
            <w:r>
              <w:rPr>
                <w:rFonts w:ascii="Arial" w:cs="Arial" w:eastAsia="Arial" w:hAnsi="Arial"/>
                <w:sz w:val="18"/>
                <w:szCs w:val="18"/>
                <w:color w:val="auto"/>
              </w:rPr>
              <w:t>Total assets</w:t>
            </w: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18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65,163,106</w:t>
            </w:r>
          </w:p>
        </w:tc>
        <w:tc>
          <w:tcPr>
            <w:tcW w:w="220" w:type="dxa"/>
            <w:vAlign w:val="bottom"/>
            <w:tcBorders>
              <w:bottom w:val="single" w:sz="8" w:color="CCEEFF"/>
            </w:tcBorders>
            <w:shd w:val="clear" w:color="auto" w:fill="CCEEFF"/>
          </w:tcPr>
          <w:p>
            <w:pPr>
              <w:spacing w:after="0"/>
              <w:rPr>
                <w:sz w:val="22"/>
                <w:szCs w:val="22"/>
                <w:color w:val="auto"/>
              </w:rPr>
            </w:pP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100" w:type="dxa"/>
            <w:vAlign w:val="bottom"/>
            <w:tcBorders>
              <w:bottom w:val="single" w:sz="8" w:color="CCEEFF"/>
            </w:tcBorders>
            <w:shd w:val="clear" w:color="auto" w:fill="CCEEFF"/>
          </w:tcPr>
          <w:p>
            <w:pPr>
              <w:jc w:val="right"/>
              <w:ind w:right="15"/>
              <w:spacing w:after="0"/>
              <w:rPr>
                <w:sz w:val="20"/>
                <w:szCs w:val="20"/>
                <w:color w:val="auto"/>
              </w:rPr>
            </w:pPr>
            <w:r>
              <w:rPr>
                <w:rFonts w:ascii="Arial" w:cs="Arial" w:eastAsia="Arial" w:hAnsi="Arial"/>
                <w:sz w:val="18"/>
                <w:szCs w:val="18"/>
                <w:color w:val="auto"/>
              </w:rPr>
              <w:t>66,222,636</w:t>
            </w:r>
          </w:p>
        </w:tc>
        <w:tc>
          <w:tcPr>
            <w:tcW w:w="0" w:type="dxa"/>
            <w:vAlign w:val="bottom"/>
          </w:tcPr>
          <w:p>
            <w:pPr>
              <w:spacing w:after="0"/>
              <w:rPr>
                <w:sz w:val="1"/>
                <w:szCs w:val="1"/>
                <w:color w:val="auto"/>
              </w:rPr>
            </w:pPr>
          </w:p>
        </w:tc>
      </w:tr>
      <w:tr>
        <w:trPr>
          <w:trHeight w:val="20"/>
        </w:trPr>
        <w:tc>
          <w:tcPr>
            <w:tcW w:w="8580" w:type="dxa"/>
            <w:vAlign w:val="bottom"/>
            <w:tcBorders>
              <w:top w:val="single" w:sz="8" w:color="CCEEFF"/>
              <w:bottom w:val="single" w:sz="8" w:color="CCEEFF"/>
            </w:tcBorders>
            <w:vMerge w:val="restart"/>
          </w:tcPr>
          <w:p>
            <w:pPr>
              <w:ind w:left="40"/>
              <w:spacing w:after="0"/>
              <w:rPr>
                <w:sz w:val="20"/>
                <w:szCs w:val="20"/>
                <w:color w:val="auto"/>
              </w:rPr>
            </w:pPr>
            <w:r>
              <w:rPr>
                <w:rFonts w:ascii="Arial" w:cs="Arial" w:eastAsia="Arial" w:hAnsi="Arial"/>
                <w:sz w:val="18"/>
                <w:szCs w:val="18"/>
                <w:color w:val="auto"/>
              </w:rPr>
              <w:t>Property plant and equipment, and intangible assets, technology development</w:t>
            </w:r>
          </w:p>
        </w:tc>
        <w:tc>
          <w:tcPr>
            <w:tcW w:w="180" w:type="dxa"/>
            <w:vAlign w:val="bottom"/>
            <w:tcBorders>
              <w:top w:val="single" w:sz="8" w:color="auto"/>
              <w:bottom w:val="single" w:sz="8" w:color="auto"/>
            </w:tcBorders>
          </w:tcPr>
          <w:p>
            <w:pPr>
              <w:spacing w:after="0" w:line="20" w:lineRule="exact"/>
              <w:rPr>
                <w:sz w:val="1"/>
                <w:szCs w:val="1"/>
                <w:color w:val="auto"/>
              </w:rPr>
            </w:pPr>
          </w:p>
        </w:tc>
        <w:tc>
          <w:tcPr>
            <w:tcW w:w="118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110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4"/>
        </w:trPr>
        <w:tc>
          <w:tcPr>
            <w:tcW w:w="8580" w:type="dxa"/>
            <w:vAlign w:val="bottom"/>
            <w:vMerge w:val="continue"/>
          </w:tcPr>
          <w:p>
            <w:pPr>
              <w:spacing w:after="0"/>
              <w:rPr>
                <w:sz w:val="19"/>
                <w:szCs w:val="19"/>
                <w:color w:val="auto"/>
              </w:rPr>
            </w:pPr>
          </w:p>
        </w:tc>
        <w:tc>
          <w:tcPr>
            <w:tcW w:w="18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180" w:type="dxa"/>
            <w:vAlign w:val="bottom"/>
          </w:tcPr>
          <w:p>
            <w:pPr>
              <w:jc w:val="right"/>
              <w:ind w:right="14"/>
              <w:spacing w:after="0"/>
              <w:rPr>
                <w:sz w:val="20"/>
                <w:szCs w:val="20"/>
                <w:color w:val="auto"/>
              </w:rPr>
            </w:pPr>
            <w:r>
              <w:rPr>
                <w:rFonts w:ascii="Arial" w:cs="Arial" w:eastAsia="Arial" w:hAnsi="Arial"/>
                <w:sz w:val="18"/>
                <w:szCs w:val="18"/>
                <w:color w:val="auto"/>
              </w:rPr>
              <w:t>2,204,428</w:t>
            </w:r>
          </w:p>
        </w:tc>
        <w:tc>
          <w:tcPr>
            <w:tcW w:w="220" w:type="dxa"/>
            <w:vAlign w:val="bottom"/>
          </w:tcPr>
          <w:p>
            <w:pPr>
              <w:spacing w:after="0"/>
              <w:rPr>
                <w:sz w:val="19"/>
                <w:szCs w:val="19"/>
                <w:color w:val="auto"/>
              </w:rPr>
            </w:pPr>
          </w:p>
        </w:tc>
        <w:tc>
          <w:tcPr>
            <w:tcW w:w="16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100" w:type="dxa"/>
            <w:vAlign w:val="bottom"/>
          </w:tcPr>
          <w:p>
            <w:pPr>
              <w:jc w:val="right"/>
              <w:ind w:right="15"/>
              <w:spacing w:after="0"/>
              <w:rPr>
                <w:sz w:val="20"/>
                <w:szCs w:val="20"/>
                <w:color w:val="auto"/>
              </w:rPr>
            </w:pPr>
            <w:r>
              <w:rPr>
                <w:rFonts w:ascii="Arial" w:cs="Arial" w:eastAsia="Arial" w:hAnsi="Arial"/>
                <w:sz w:val="18"/>
                <w:szCs w:val="18"/>
                <w:color w:val="auto"/>
              </w:rPr>
              <w:t>2,361,663</w:t>
            </w:r>
          </w:p>
        </w:tc>
        <w:tc>
          <w:tcPr>
            <w:tcW w:w="0" w:type="dxa"/>
            <w:vAlign w:val="bottom"/>
          </w:tcPr>
          <w:p>
            <w:pPr>
              <w:spacing w:after="0"/>
              <w:rPr>
                <w:sz w:val="1"/>
                <w:szCs w:val="1"/>
                <w:color w:val="auto"/>
              </w:rPr>
            </w:pPr>
          </w:p>
        </w:tc>
      </w:tr>
      <w:tr>
        <w:trPr>
          <w:trHeight w:val="27"/>
        </w:trPr>
        <w:tc>
          <w:tcPr>
            <w:tcW w:w="8580" w:type="dxa"/>
            <w:vAlign w:val="bottom"/>
          </w:tcPr>
          <w:p>
            <w:pPr>
              <w:spacing w:after="0"/>
              <w:rPr>
                <w:sz w:val="2"/>
                <w:szCs w:val="2"/>
                <w:color w:val="auto"/>
              </w:rPr>
            </w:pPr>
          </w:p>
        </w:tc>
        <w:tc>
          <w:tcPr>
            <w:tcW w:w="180" w:type="dxa"/>
            <w:vAlign w:val="bottom"/>
          </w:tcPr>
          <w:p>
            <w:pPr>
              <w:spacing w:after="0"/>
              <w:rPr>
                <w:sz w:val="2"/>
                <w:szCs w:val="2"/>
                <w:color w:val="auto"/>
              </w:rPr>
            </w:pPr>
          </w:p>
        </w:tc>
        <w:tc>
          <w:tcPr>
            <w:tcW w:w="1180" w:type="dxa"/>
            <w:vAlign w:val="bottom"/>
          </w:tcPr>
          <w:p>
            <w:pPr>
              <w:spacing w:after="0"/>
              <w:rPr>
                <w:sz w:val="2"/>
                <w:szCs w:val="2"/>
                <w:color w:val="auto"/>
              </w:rPr>
            </w:pPr>
          </w:p>
        </w:tc>
        <w:tc>
          <w:tcPr>
            <w:tcW w:w="2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43"/>
        </w:trPr>
        <w:tc>
          <w:tcPr>
            <w:tcW w:w="8580" w:type="dxa"/>
            <w:vAlign w:val="bottom"/>
            <w:shd w:val="clear" w:color="auto" w:fill="CCEEFF"/>
          </w:tcPr>
          <w:p>
            <w:pPr>
              <w:ind w:left="40"/>
              <w:spacing w:after="0"/>
              <w:rPr>
                <w:sz w:val="20"/>
                <w:szCs w:val="20"/>
                <w:color w:val="auto"/>
              </w:rPr>
            </w:pPr>
            <w:r>
              <w:rPr>
                <w:rFonts w:ascii="Arial" w:cs="Arial" w:eastAsia="Arial" w:hAnsi="Arial"/>
                <w:sz w:val="18"/>
                <w:szCs w:val="18"/>
                <w:color w:val="auto"/>
              </w:rPr>
              <w:t>Property plant and equipment, and intangible assets, products and licensing</w:t>
            </w:r>
          </w:p>
        </w:tc>
        <w:tc>
          <w:tcPr>
            <w:tcW w:w="1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180" w:type="dxa"/>
            <w:vAlign w:val="bottom"/>
            <w:shd w:val="clear" w:color="auto" w:fill="CCEEFF"/>
          </w:tcPr>
          <w:p>
            <w:pPr>
              <w:jc w:val="right"/>
              <w:ind w:right="14"/>
              <w:spacing w:after="0"/>
              <w:rPr>
                <w:sz w:val="20"/>
                <w:szCs w:val="20"/>
                <w:color w:val="auto"/>
              </w:rPr>
            </w:pPr>
            <w:r>
              <w:rPr>
                <w:rFonts w:ascii="Arial" w:cs="Arial" w:eastAsia="Arial" w:hAnsi="Arial"/>
                <w:sz w:val="18"/>
                <w:szCs w:val="18"/>
                <w:color w:val="auto"/>
              </w:rPr>
              <w:t>4,758,404</w:t>
            </w:r>
          </w:p>
        </w:tc>
        <w:tc>
          <w:tcPr>
            <w:tcW w:w="220" w:type="dxa"/>
            <w:vAlign w:val="bottom"/>
            <w:shd w:val="clear" w:color="auto" w:fill="CCEEFF"/>
          </w:tcPr>
          <w:p>
            <w:pPr>
              <w:spacing w:after="0"/>
              <w:rPr>
                <w:sz w:val="21"/>
                <w:szCs w:val="21"/>
                <w:color w:val="auto"/>
              </w:rPr>
            </w:pPr>
          </w:p>
        </w:tc>
        <w:tc>
          <w:tcPr>
            <w:tcW w:w="1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100" w:type="dxa"/>
            <w:vAlign w:val="bottom"/>
            <w:shd w:val="clear" w:color="auto" w:fill="CCEEFF"/>
          </w:tcPr>
          <w:p>
            <w:pPr>
              <w:jc w:val="right"/>
              <w:ind w:right="15"/>
              <w:spacing w:after="0"/>
              <w:rPr>
                <w:sz w:val="20"/>
                <w:szCs w:val="20"/>
                <w:color w:val="auto"/>
              </w:rPr>
            </w:pPr>
            <w:r>
              <w:rPr>
                <w:rFonts w:ascii="Arial" w:cs="Arial" w:eastAsia="Arial" w:hAnsi="Arial"/>
                <w:sz w:val="18"/>
                <w:szCs w:val="18"/>
                <w:color w:val="auto"/>
              </w:rPr>
              <w:t>4,831,671</w:t>
            </w:r>
          </w:p>
        </w:tc>
        <w:tc>
          <w:tcPr>
            <w:tcW w:w="0" w:type="dxa"/>
            <w:vAlign w:val="bottom"/>
          </w:tcPr>
          <w:p>
            <w:pPr>
              <w:spacing w:after="0"/>
              <w:rPr>
                <w:sz w:val="1"/>
                <w:szCs w:val="1"/>
                <w:color w:val="auto"/>
              </w:rPr>
            </w:pPr>
          </w:p>
        </w:tc>
      </w:tr>
      <w:tr>
        <w:trPr>
          <w:trHeight w:val="27"/>
        </w:trPr>
        <w:tc>
          <w:tcPr>
            <w:tcW w:w="8580" w:type="dxa"/>
            <w:vAlign w:val="bottom"/>
            <w:shd w:val="clear" w:color="auto" w:fill="CCEEFF"/>
          </w:tcPr>
          <w:p>
            <w:pPr>
              <w:spacing w:after="0"/>
              <w:rPr>
                <w:sz w:val="2"/>
                <w:szCs w:val="2"/>
                <w:color w:val="auto"/>
              </w:rPr>
            </w:pPr>
          </w:p>
        </w:tc>
        <w:tc>
          <w:tcPr>
            <w:tcW w:w="180" w:type="dxa"/>
            <w:vAlign w:val="bottom"/>
            <w:shd w:val="clear" w:color="auto" w:fill="CCEEFF"/>
          </w:tcPr>
          <w:p>
            <w:pPr>
              <w:spacing w:after="0"/>
              <w:rPr>
                <w:sz w:val="2"/>
                <w:szCs w:val="2"/>
                <w:color w:val="auto"/>
              </w:rPr>
            </w:pPr>
          </w:p>
        </w:tc>
        <w:tc>
          <w:tcPr>
            <w:tcW w:w="1180" w:type="dxa"/>
            <w:vAlign w:val="bottom"/>
            <w:shd w:val="clear" w:color="auto" w:fill="CCEEFF"/>
          </w:tcPr>
          <w:p>
            <w:pPr>
              <w:spacing w:after="0"/>
              <w:rPr>
                <w:sz w:val="2"/>
                <w:szCs w:val="2"/>
                <w:color w:val="auto"/>
              </w:rPr>
            </w:pPr>
          </w:p>
        </w:tc>
        <w:tc>
          <w:tcPr>
            <w:tcW w:w="220" w:type="dxa"/>
            <w:vAlign w:val="bottom"/>
            <w:shd w:val="clear" w:color="auto" w:fill="CCEEFF"/>
          </w:tcPr>
          <w:p>
            <w:pPr>
              <w:spacing w:after="0"/>
              <w:rPr>
                <w:sz w:val="2"/>
                <w:szCs w:val="2"/>
                <w:color w:val="auto"/>
              </w:rPr>
            </w:pPr>
          </w:p>
        </w:tc>
        <w:tc>
          <w:tcPr>
            <w:tcW w:w="160" w:type="dxa"/>
            <w:vAlign w:val="bottom"/>
            <w:shd w:val="clear" w:color="auto" w:fill="CCEEFF"/>
          </w:tcPr>
          <w:p>
            <w:pPr>
              <w:spacing w:after="0"/>
              <w:rPr>
                <w:sz w:val="2"/>
                <w:szCs w:val="2"/>
                <w:color w:val="auto"/>
              </w:rPr>
            </w:pPr>
          </w:p>
        </w:tc>
        <w:tc>
          <w:tcPr>
            <w:tcW w:w="1100" w:type="dxa"/>
            <w:vAlign w:val="bottom"/>
            <w:shd w:val="clear" w:color="auto" w:fill="CCEEFF"/>
          </w:tcPr>
          <w:p>
            <w:pPr>
              <w:spacing w:after="0"/>
              <w:rPr>
                <w:sz w:val="2"/>
                <w:szCs w:val="2"/>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34" w:lineRule="exact"/>
        <w:rPr>
          <w:sz w:val="20"/>
          <w:szCs w:val="20"/>
          <w:color w:val="auto"/>
        </w:rPr>
      </w:pPr>
    </w:p>
    <w:p>
      <w:pPr>
        <w:ind w:right="140" w:firstLine="432"/>
        <w:spacing w:after="0" w:line="277" w:lineRule="auto"/>
        <w:rPr>
          <w:sz w:val="20"/>
          <w:szCs w:val="20"/>
          <w:color w:val="auto"/>
        </w:rPr>
      </w:pPr>
      <w:r>
        <w:rPr>
          <w:rFonts w:ascii="Arial" w:cs="Arial" w:eastAsia="Arial" w:hAnsi="Arial"/>
          <w:sz w:val="18"/>
          <w:szCs w:val="18"/>
          <w:color w:val="auto"/>
        </w:rPr>
        <w:t>The U.S. government accounted for 46% and 45% of total consolidated revenues for the three months ended June 30, 2018 and 2017, respectively and for 44% and 45% of total consolidated revenues for the six months ended June 30, 2018 and 2017, respectively.</w:t>
      </w:r>
    </w:p>
    <w:p>
      <w:pPr>
        <w:spacing w:after="0" w:line="170" w:lineRule="exact"/>
        <w:rPr>
          <w:sz w:val="20"/>
          <w:szCs w:val="20"/>
          <w:color w:val="auto"/>
        </w:rPr>
      </w:pPr>
    </w:p>
    <w:p>
      <w:pPr>
        <w:ind w:right="40" w:firstLine="432"/>
        <w:spacing w:after="0" w:line="312" w:lineRule="auto"/>
        <w:rPr>
          <w:sz w:val="20"/>
          <w:szCs w:val="20"/>
          <w:color w:val="auto"/>
        </w:rPr>
      </w:pPr>
      <w:r>
        <w:rPr>
          <w:rFonts w:ascii="Arial" w:cs="Arial" w:eastAsia="Arial" w:hAnsi="Arial"/>
          <w:sz w:val="16"/>
          <w:szCs w:val="16"/>
          <w:color w:val="auto"/>
        </w:rPr>
        <w:t>International revenues (customers outside the United States) accounted for 24% and 23% of total consolidated revenues for the three months ended June 30, 2018 and 2017, respectively, and 23% and 21% of the total consolidated revenues for the six months ended June 30, 2018 and 2017, respectively. No single country, outside of the United States, represented more than 10% of total revenues in the three and six months ended June 30, 2018 and 2017.</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7" w:lineRule="exact"/>
        <w:rPr>
          <w:sz w:val="20"/>
          <w:szCs w:val="20"/>
          <w:color w:val="auto"/>
        </w:rPr>
      </w:pPr>
    </w:p>
    <w:p>
      <w:pPr>
        <w:ind w:left="500" w:hanging="492"/>
        <w:spacing w:after="0"/>
        <w:tabs>
          <w:tab w:leader="none" w:pos="500" w:val="left"/>
        </w:tabs>
        <w:numPr>
          <w:ilvl w:val="0"/>
          <w:numId w:val="15"/>
        </w:numPr>
        <w:rPr>
          <w:rFonts w:ascii="Arial" w:cs="Arial" w:eastAsia="Arial" w:hAnsi="Arial"/>
          <w:sz w:val="18"/>
          <w:szCs w:val="18"/>
          <w:b w:val="1"/>
          <w:bCs w:val="1"/>
          <w:color w:val="auto"/>
        </w:rPr>
      </w:pPr>
      <w:r>
        <w:rPr>
          <w:rFonts w:ascii="Arial" w:cs="Arial" w:eastAsia="Arial" w:hAnsi="Arial"/>
          <w:sz w:val="18"/>
          <w:szCs w:val="18"/>
          <w:b w:val="1"/>
          <w:bCs w:val="1"/>
          <w:color w:val="auto"/>
        </w:rPr>
        <w:t>Subsequent Event - Sale of Luna Optoelectronics</w:t>
      </w:r>
    </w:p>
    <w:p>
      <w:pPr>
        <w:spacing w:after="0" w:line="200" w:lineRule="exact"/>
        <w:rPr>
          <w:sz w:val="20"/>
          <w:szCs w:val="20"/>
          <w:color w:val="auto"/>
        </w:rPr>
      </w:pPr>
    </w:p>
    <w:p>
      <w:pPr>
        <w:spacing w:after="0" w:line="200" w:lineRule="exact"/>
        <w:rPr>
          <w:sz w:val="20"/>
          <w:szCs w:val="20"/>
          <w:color w:val="auto"/>
        </w:rPr>
      </w:pPr>
    </w:p>
    <w:p>
      <w:pPr>
        <w:spacing w:after="0" w:line="261" w:lineRule="exact"/>
        <w:rPr>
          <w:sz w:val="20"/>
          <w:szCs w:val="20"/>
          <w:color w:val="auto"/>
        </w:rPr>
      </w:pPr>
    </w:p>
    <w:p>
      <w:pPr>
        <w:ind w:right="20"/>
        <w:spacing w:after="0" w:line="255" w:lineRule="auto"/>
        <w:rPr>
          <w:sz w:val="20"/>
          <w:szCs w:val="20"/>
          <w:color w:val="auto"/>
        </w:rPr>
      </w:pPr>
      <w:r>
        <w:rPr>
          <w:rFonts w:ascii="Arial" w:cs="Arial" w:eastAsia="Arial" w:hAnsi="Arial"/>
          <w:sz w:val="18"/>
          <w:szCs w:val="18"/>
          <w:color w:val="auto"/>
        </w:rPr>
        <w:t>On July 31, 2018 , we sold the assets and operations related to our optoelectronic components and subassemblies ("Opto") business, which was part of our Products and Licensing segment, to an unaffiliated third party for an initial purchase price of $18.5 million, of which $17.5 million was received at closing and up to $1.0 million is contingent upon the attainment of specified revenue targets during the eighteen months following the closing of the sale. The purchase price is subject to adjustment in the future based upon a determination of final working capital, as defined in the asset purchase agreement. The Opto business was a component of the operations of Advanced Photonix, Inc., which we acquired in May 2015, and represented all of our operations in our Camarillo, California and Montreal, Quebec facilities.</w:t>
      </w:r>
    </w:p>
    <w:p>
      <w:pPr>
        <w:spacing w:after="0" w:line="193" w:lineRule="exact"/>
        <w:rPr>
          <w:sz w:val="20"/>
          <w:szCs w:val="20"/>
          <w:color w:val="auto"/>
        </w:rPr>
      </w:pPr>
    </w:p>
    <w:p>
      <w:pPr>
        <w:ind w:right="160"/>
        <w:spacing w:after="0" w:line="286" w:lineRule="auto"/>
        <w:rPr>
          <w:sz w:val="20"/>
          <w:szCs w:val="20"/>
          <w:color w:val="auto"/>
        </w:rPr>
      </w:pPr>
      <w:r>
        <w:rPr>
          <w:rFonts w:ascii="Arial" w:cs="Arial" w:eastAsia="Arial" w:hAnsi="Arial"/>
          <w:sz w:val="17"/>
          <w:szCs w:val="17"/>
          <w:color w:val="auto"/>
        </w:rPr>
        <w:t>As the Opto assets did not meet the criteria for classification as held for sale in accordance with ASC 360-10-45 as of June 30, 2018, such assets were included within the assets held and used in our consolidated balance sheets as of June 30, 2018 or December 31, 2017. The following schedule sets forth the carrying amounts of major classes of assets and liabilities associated with the transaction as of June 30, 2018 and December 31, 2017.</w:t>
      </w:r>
    </w:p>
    <w:p>
      <w:pPr>
        <w:spacing w:after="0" w:line="200" w:lineRule="exact"/>
        <w:rPr>
          <w:sz w:val="20"/>
          <w:szCs w:val="20"/>
          <w:color w:val="auto"/>
        </w:rPr>
      </w:pPr>
    </w:p>
    <w:p>
      <w:pPr>
        <w:spacing w:after="0" w:line="20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21</w:t>
      </w:r>
    </w:p>
    <w:p>
      <w:pPr>
        <w:sectPr>
          <w:pgSz w:w="11900" w:h="16838" w:orient="portrait"/>
          <w:cols w:equalWidth="0" w:num="1">
            <w:col w:w="11420"/>
          </w:cols>
          <w:pgMar w:left="240" w:top="118" w:right="239" w:bottom="1440" w:gutter="0" w:footer="0" w:header="0"/>
        </w:sectPr>
      </w:pPr>
    </w:p>
    <w:bookmarkStart w:id="21" w:name="page22"/>
    <w:bookmarkEnd w:id="21"/>
    <w:p>
      <w:pPr>
        <w:spacing w:after="0"/>
        <w:rPr>
          <w:rFonts w:ascii="Arial" w:cs="Arial" w:eastAsia="Arial" w:hAnsi="Arial"/>
          <w:sz w:val="14"/>
          <w:szCs w:val="14"/>
          <w:b w:val="1"/>
          <w:bCs w:val="1"/>
          <w:u w:val="single" w:color="auto"/>
          <w:color w:val="0000EE"/>
        </w:rPr>
      </w:pPr>
      <w:hyperlink w:anchor="page2">
        <w:r>
          <w:rPr>
            <w:rFonts w:ascii="Arial" w:cs="Arial" w:eastAsia="Arial" w:hAnsi="Arial"/>
            <w:sz w:val="14"/>
            <w:szCs w:val="14"/>
            <w:b w:val="1"/>
            <w:bCs w:val="1"/>
            <w:u w:val="single" w:color="auto"/>
            <w:color w:val="0000EE"/>
          </w:rPr>
          <w:t>Table of Contents</w:t>
        </w:r>
      </w:hyperlink>
    </w:p>
    <w:p>
      <w:pPr>
        <w:spacing w:after="0" w:line="200" w:lineRule="exact"/>
        <w:rPr>
          <w:sz w:val="20"/>
          <w:szCs w:val="20"/>
          <w:color w:val="auto"/>
        </w:rPr>
      </w:pPr>
    </w:p>
    <w:p>
      <w:pPr>
        <w:spacing w:after="0" w:line="201" w:lineRule="exact"/>
        <w:rPr>
          <w:sz w:val="20"/>
          <w:szCs w:val="20"/>
          <w:color w:val="auto"/>
        </w:rPr>
      </w:pPr>
    </w:p>
    <w:tbl>
      <w:tblPr>
        <w:tblLayout w:type="fixed"/>
        <w:tblInd w:w="0" w:type="dxa"/>
        <w:tblCellMar>
          <w:top w:w="0" w:type="dxa"/>
          <w:left w:w="0" w:type="dxa"/>
          <w:bottom w:w="0" w:type="dxa"/>
          <w:right w:w="0" w:type="dxa"/>
        </w:tblCellMar>
      </w:tblPr>
      <w:tr>
        <w:trPr>
          <w:trHeight w:val="270"/>
        </w:trPr>
        <w:tc>
          <w:tcPr>
            <w:tcW w:w="7680" w:type="dxa"/>
            <w:vAlign w:val="bottom"/>
            <w:tcBorders>
              <w:bottom w:val="single" w:sz="8" w:color="CCEEFF"/>
            </w:tcBorders>
            <w:shd w:val="clear" w:color="auto" w:fill="CCEEFF"/>
          </w:tcPr>
          <w:p>
            <w:pPr>
              <w:spacing w:after="0"/>
              <w:rPr>
                <w:sz w:val="23"/>
                <w:szCs w:val="23"/>
                <w:color w:val="auto"/>
              </w:rPr>
            </w:pPr>
          </w:p>
        </w:tc>
        <w:tc>
          <w:tcPr>
            <w:tcW w:w="260" w:type="dxa"/>
            <w:vAlign w:val="bottom"/>
            <w:tcBorders>
              <w:bottom w:val="single" w:sz="8" w:color="CCEEFF"/>
            </w:tcBorders>
            <w:shd w:val="clear" w:color="auto" w:fill="CCEEFF"/>
          </w:tcPr>
          <w:p>
            <w:pPr>
              <w:spacing w:after="0"/>
              <w:rPr>
                <w:sz w:val="23"/>
                <w:szCs w:val="23"/>
                <w:color w:val="auto"/>
              </w:rPr>
            </w:pPr>
          </w:p>
        </w:tc>
        <w:tc>
          <w:tcPr>
            <w:tcW w:w="1780" w:type="dxa"/>
            <w:vAlign w:val="bottom"/>
            <w:tcBorders>
              <w:bottom w:val="single" w:sz="8" w:color="CCEEFF"/>
            </w:tcBorders>
            <w:gridSpan w:val="2"/>
            <w:shd w:val="clear" w:color="auto" w:fill="CCEEFF"/>
          </w:tcPr>
          <w:p>
            <w:pPr>
              <w:ind w:left="140"/>
              <w:spacing w:after="0"/>
              <w:rPr>
                <w:sz w:val="20"/>
                <w:szCs w:val="20"/>
                <w:color w:val="auto"/>
              </w:rPr>
            </w:pPr>
            <w:r>
              <w:rPr>
                <w:rFonts w:ascii="Arial" w:cs="Arial" w:eastAsia="Arial" w:hAnsi="Arial"/>
                <w:sz w:val="16"/>
                <w:szCs w:val="16"/>
                <w:color w:val="auto"/>
              </w:rPr>
              <w:t>June 30, 2018</w:t>
            </w:r>
          </w:p>
        </w:tc>
        <w:tc>
          <w:tcPr>
            <w:tcW w:w="160" w:type="dxa"/>
            <w:vAlign w:val="bottom"/>
            <w:tcBorders>
              <w:bottom w:val="single" w:sz="8" w:color="CCEEFF"/>
            </w:tcBorders>
            <w:shd w:val="clear" w:color="auto" w:fill="CCEEFF"/>
          </w:tcPr>
          <w:p>
            <w:pPr>
              <w:spacing w:after="0"/>
              <w:rPr>
                <w:sz w:val="23"/>
                <w:szCs w:val="23"/>
                <w:color w:val="auto"/>
              </w:rPr>
            </w:pPr>
          </w:p>
        </w:tc>
        <w:tc>
          <w:tcPr>
            <w:tcW w:w="1540" w:type="dxa"/>
            <w:vAlign w:val="bottom"/>
            <w:tcBorders>
              <w:bottom w:val="single" w:sz="8" w:color="CCEEFF"/>
            </w:tcBorders>
            <w:shd w:val="clear" w:color="auto" w:fill="CCEEFF"/>
          </w:tcPr>
          <w:p>
            <w:pPr>
              <w:jc w:val="right"/>
              <w:ind w:right="130"/>
              <w:spacing w:after="0"/>
              <w:rPr>
                <w:sz w:val="20"/>
                <w:szCs w:val="20"/>
                <w:color w:val="auto"/>
              </w:rPr>
            </w:pPr>
            <w:r>
              <w:rPr>
                <w:rFonts w:ascii="Arial" w:cs="Arial" w:eastAsia="Arial" w:hAnsi="Arial"/>
                <w:sz w:val="16"/>
                <w:szCs w:val="16"/>
                <w:color w:val="auto"/>
                <w:w w:val="92"/>
              </w:rPr>
              <w:t>December 31, 2017</w:t>
            </w:r>
          </w:p>
        </w:tc>
      </w:tr>
      <w:tr>
        <w:trPr>
          <w:trHeight w:val="237"/>
        </w:trPr>
        <w:tc>
          <w:tcPr>
            <w:tcW w:w="7680" w:type="dxa"/>
            <w:vAlign w:val="bottom"/>
          </w:tcPr>
          <w:p>
            <w:pPr>
              <w:ind w:left="40"/>
              <w:spacing w:after="0"/>
              <w:rPr>
                <w:sz w:val="20"/>
                <w:szCs w:val="20"/>
                <w:color w:val="auto"/>
              </w:rPr>
            </w:pPr>
            <w:r>
              <w:rPr>
                <w:rFonts w:ascii="Arial" w:cs="Arial" w:eastAsia="Arial" w:hAnsi="Arial"/>
                <w:sz w:val="18"/>
                <w:szCs w:val="18"/>
                <w:color w:val="auto"/>
              </w:rPr>
              <w:t>Current assets</w:t>
            </w:r>
          </w:p>
        </w:tc>
        <w:tc>
          <w:tcPr>
            <w:tcW w:w="260" w:type="dxa"/>
            <w:vAlign w:val="bottom"/>
            <w:tcBorders>
              <w:top w:val="single" w:sz="8" w:color="auto"/>
            </w:tcBorders>
          </w:tcPr>
          <w:p>
            <w:pPr>
              <w:spacing w:after="0"/>
              <w:rPr>
                <w:sz w:val="20"/>
                <w:szCs w:val="20"/>
                <w:color w:val="auto"/>
              </w:rPr>
            </w:pPr>
          </w:p>
        </w:tc>
        <w:tc>
          <w:tcPr>
            <w:tcW w:w="3480" w:type="dxa"/>
            <w:vAlign w:val="bottom"/>
            <w:tcBorders>
              <w:top w:val="single" w:sz="8" w:color="auto"/>
            </w:tcBorders>
            <w:gridSpan w:val="4"/>
          </w:tcPr>
          <w:p>
            <w:pPr>
              <w:jc w:val="right"/>
              <w:ind w:right="1350"/>
              <w:spacing w:after="0"/>
              <w:rPr>
                <w:sz w:val="20"/>
                <w:szCs w:val="20"/>
                <w:color w:val="auto"/>
              </w:rPr>
            </w:pPr>
            <w:r>
              <w:rPr>
                <w:rFonts w:ascii="Arial" w:cs="Arial" w:eastAsia="Arial" w:hAnsi="Arial"/>
                <w:sz w:val="18"/>
                <w:szCs w:val="18"/>
                <w:color w:val="auto"/>
              </w:rPr>
              <w:t>(unaudited)</w:t>
            </w:r>
          </w:p>
        </w:tc>
      </w:tr>
      <w:tr>
        <w:trPr>
          <w:trHeight w:val="27"/>
        </w:trPr>
        <w:tc>
          <w:tcPr>
            <w:tcW w:w="7680" w:type="dxa"/>
            <w:vAlign w:val="bottom"/>
          </w:tcPr>
          <w:p>
            <w:pPr>
              <w:spacing w:after="0"/>
              <w:rPr>
                <w:sz w:val="2"/>
                <w:szCs w:val="2"/>
                <w:color w:val="auto"/>
              </w:rPr>
            </w:pPr>
          </w:p>
        </w:tc>
        <w:tc>
          <w:tcPr>
            <w:tcW w:w="260" w:type="dxa"/>
            <w:vAlign w:val="bottom"/>
          </w:tcPr>
          <w:p>
            <w:pPr>
              <w:spacing w:after="0"/>
              <w:rPr>
                <w:sz w:val="2"/>
                <w:szCs w:val="2"/>
                <w:color w:val="auto"/>
              </w:rPr>
            </w:pPr>
          </w:p>
        </w:tc>
        <w:tc>
          <w:tcPr>
            <w:tcW w:w="1440" w:type="dxa"/>
            <w:vAlign w:val="bottom"/>
          </w:tcPr>
          <w:p>
            <w:pPr>
              <w:spacing w:after="0"/>
              <w:rPr>
                <w:sz w:val="2"/>
                <w:szCs w:val="2"/>
                <w:color w:val="auto"/>
              </w:rPr>
            </w:pPr>
          </w:p>
        </w:tc>
        <w:tc>
          <w:tcPr>
            <w:tcW w:w="340" w:type="dxa"/>
            <w:vAlign w:val="bottom"/>
          </w:tcPr>
          <w:p>
            <w:pPr>
              <w:spacing w:after="0"/>
              <w:rPr>
                <w:sz w:val="2"/>
                <w:szCs w:val="2"/>
                <w:color w:val="auto"/>
              </w:rPr>
            </w:pPr>
          </w:p>
        </w:tc>
        <w:tc>
          <w:tcPr>
            <w:tcW w:w="160" w:type="dxa"/>
            <w:vAlign w:val="bottom"/>
          </w:tcPr>
          <w:p>
            <w:pPr>
              <w:spacing w:after="0"/>
              <w:rPr>
                <w:sz w:val="2"/>
                <w:szCs w:val="2"/>
                <w:color w:val="auto"/>
              </w:rPr>
            </w:pPr>
          </w:p>
        </w:tc>
        <w:tc>
          <w:tcPr>
            <w:tcW w:w="1540" w:type="dxa"/>
            <w:vAlign w:val="bottom"/>
          </w:tcPr>
          <w:p>
            <w:pPr>
              <w:spacing w:after="0"/>
              <w:rPr>
                <w:sz w:val="2"/>
                <w:szCs w:val="2"/>
                <w:color w:val="auto"/>
              </w:rPr>
            </w:pPr>
          </w:p>
        </w:tc>
      </w:tr>
      <w:tr>
        <w:trPr>
          <w:trHeight w:val="250"/>
        </w:trPr>
        <w:tc>
          <w:tcPr>
            <w:tcW w:w="768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Accounts receivable</w:t>
            </w:r>
          </w:p>
        </w:tc>
        <w:tc>
          <w:tcPr>
            <w:tcW w:w="260" w:type="dxa"/>
            <w:vAlign w:val="bottom"/>
            <w:tcBorders>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color w:val="auto"/>
                <w:w w:val="99"/>
              </w:rPr>
              <w:t>$</w:t>
            </w:r>
          </w:p>
        </w:tc>
        <w:tc>
          <w:tcPr>
            <w:tcW w:w="14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2,159,843</w:t>
            </w:r>
          </w:p>
        </w:tc>
        <w:tc>
          <w:tcPr>
            <w:tcW w:w="34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5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1,940,126</w:t>
            </w:r>
          </w:p>
        </w:tc>
      </w:tr>
      <w:tr>
        <w:trPr>
          <w:trHeight w:val="243"/>
        </w:trPr>
        <w:tc>
          <w:tcPr>
            <w:tcW w:w="7680" w:type="dxa"/>
            <w:vAlign w:val="bottom"/>
          </w:tcPr>
          <w:p>
            <w:pPr>
              <w:ind w:left="380"/>
              <w:spacing w:after="0"/>
              <w:rPr>
                <w:sz w:val="20"/>
                <w:szCs w:val="20"/>
                <w:color w:val="auto"/>
              </w:rPr>
            </w:pPr>
            <w:r>
              <w:rPr>
                <w:rFonts w:ascii="Arial" w:cs="Arial" w:eastAsia="Arial" w:hAnsi="Arial"/>
                <w:sz w:val="18"/>
                <w:szCs w:val="18"/>
                <w:color w:val="auto"/>
              </w:rPr>
              <w:t>Contract assets</w:t>
            </w:r>
          </w:p>
        </w:tc>
        <w:tc>
          <w:tcPr>
            <w:tcW w:w="260" w:type="dxa"/>
            <w:vAlign w:val="bottom"/>
          </w:tcPr>
          <w:p>
            <w:pPr>
              <w:spacing w:after="0"/>
              <w:rPr>
                <w:sz w:val="21"/>
                <w:szCs w:val="21"/>
                <w:color w:val="auto"/>
              </w:rPr>
            </w:pPr>
          </w:p>
        </w:tc>
        <w:tc>
          <w:tcPr>
            <w:tcW w:w="1440" w:type="dxa"/>
            <w:vAlign w:val="bottom"/>
          </w:tcPr>
          <w:p>
            <w:pPr>
              <w:jc w:val="right"/>
              <w:ind w:right="10"/>
              <w:spacing w:after="0"/>
              <w:rPr>
                <w:sz w:val="20"/>
                <w:szCs w:val="20"/>
                <w:color w:val="auto"/>
              </w:rPr>
            </w:pPr>
            <w:r>
              <w:rPr>
                <w:rFonts w:ascii="Arial" w:cs="Arial" w:eastAsia="Arial" w:hAnsi="Arial"/>
                <w:sz w:val="18"/>
                <w:szCs w:val="18"/>
                <w:color w:val="auto"/>
              </w:rPr>
              <w:t>1,249,551</w:t>
            </w:r>
          </w:p>
        </w:tc>
        <w:tc>
          <w:tcPr>
            <w:tcW w:w="34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540" w:type="dxa"/>
            <w:vAlign w:val="bottom"/>
          </w:tcPr>
          <w:p>
            <w:pPr>
              <w:jc w:val="right"/>
              <w:ind w:right="10"/>
              <w:spacing w:after="0"/>
              <w:rPr>
                <w:sz w:val="20"/>
                <w:szCs w:val="20"/>
                <w:color w:val="auto"/>
              </w:rPr>
            </w:pPr>
            <w:r>
              <w:rPr>
                <w:rFonts w:ascii="Arial" w:cs="Arial" w:eastAsia="Arial" w:hAnsi="Arial"/>
                <w:sz w:val="18"/>
                <w:szCs w:val="18"/>
                <w:color w:val="auto"/>
              </w:rPr>
              <w:t>—</w:t>
            </w:r>
          </w:p>
        </w:tc>
      </w:tr>
      <w:tr>
        <w:trPr>
          <w:trHeight w:val="27"/>
        </w:trPr>
        <w:tc>
          <w:tcPr>
            <w:tcW w:w="7680" w:type="dxa"/>
            <w:vAlign w:val="bottom"/>
          </w:tcPr>
          <w:p>
            <w:pPr>
              <w:spacing w:after="0"/>
              <w:rPr>
                <w:sz w:val="2"/>
                <w:szCs w:val="2"/>
                <w:color w:val="auto"/>
              </w:rPr>
            </w:pPr>
          </w:p>
        </w:tc>
        <w:tc>
          <w:tcPr>
            <w:tcW w:w="260" w:type="dxa"/>
            <w:vAlign w:val="bottom"/>
          </w:tcPr>
          <w:p>
            <w:pPr>
              <w:spacing w:after="0"/>
              <w:rPr>
                <w:sz w:val="2"/>
                <w:szCs w:val="2"/>
                <w:color w:val="auto"/>
              </w:rPr>
            </w:pPr>
          </w:p>
        </w:tc>
        <w:tc>
          <w:tcPr>
            <w:tcW w:w="1440" w:type="dxa"/>
            <w:vAlign w:val="bottom"/>
          </w:tcPr>
          <w:p>
            <w:pPr>
              <w:spacing w:after="0"/>
              <w:rPr>
                <w:sz w:val="2"/>
                <w:szCs w:val="2"/>
                <w:color w:val="auto"/>
              </w:rPr>
            </w:pPr>
          </w:p>
        </w:tc>
        <w:tc>
          <w:tcPr>
            <w:tcW w:w="340" w:type="dxa"/>
            <w:vAlign w:val="bottom"/>
          </w:tcPr>
          <w:p>
            <w:pPr>
              <w:spacing w:after="0"/>
              <w:rPr>
                <w:sz w:val="2"/>
                <w:szCs w:val="2"/>
                <w:color w:val="auto"/>
              </w:rPr>
            </w:pPr>
          </w:p>
        </w:tc>
        <w:tc>
          <w:tcPr>
            <w:tcW w:w="160" w:type="dxa"/>
            <w:vAlign w:val="bottom"/>
          </w:tcPr>
          <w:p>
            <w:pPr>
              <w:spacing w:after="0"/>
              <w:rPr>
                <w:sz w:val="2"/>
                <w:szCs w:val="2"/>
                <w:color w:val="auto"/>
              </w:rPr>
            </w:pPr>
          </w:p>
        </w:tc>
        <w:tc>
          <w:tcPr>
            <w:tcW w:w="1540" w:type="dxa"/>
            <w:vAlign w:val="bottom"/>
          </w:tcPr>
          <w:p>
            <w:pPr>
              <w:spacing w:after="0"/>
              <w:rPr>
                <w:sz w:val="2"/>
                <w:szCs w:val="2"/>
                <w:color w:val="auto"/>
              </w:rPr>
            </w:pPr>
          </w:p>
        </w:tc>
      </w:tr>
      <w:tr>
        <w:trPr>
          <w:trHeight w:val="250"/>
        </w:trPr>
        <w:tc>
          <w:tcPr>
            <w:tcW w:w="768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Inventory</w:t>
            </w:r>
          </w:p>
        </w:tc>
        <w:tc>
          <w:tcPr>
            <w:tcW w:w="260" w:type="dxa"/>
            <w:vAlign w:val="bottom"/>
            <w:tcBorders>
              <w:bottom w:val="single" w:sz="8" w:color="CCEEFF"/>
            </w:tcBorders>
            <w:shd w:val="clear" w:color="auto" w:fill="CCEEFF"/>
          </w:tcPr>
          <w:p>
            <w:pPr>
              <w:spacing w:after="0"/>
              <w:rPr>
                <w:sz w:val="21"/>
                <w:szCs w:val="21"/>
                <w:color w:val="auto"/>
              </w:rPr>
            </w:pPr>
          </w:p>
        </w:tc>
        <w:tc>
          <w:tcPr>
            <w:tcW w:w="14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1,736,107</w:t>
            </w:r>
          </w:p>
        </w:tc>
        <w:tc>
          <w:tcPr>
            <w:tcW w:w="34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5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2,316,329</w:t>
            </w:r>
          </w:p>
        </w:tc>
      </w:tr>
      <w:tr>
        <w:trPr>
          <w:trHeight w:val="243"/>
        </w:trPr>
        <w:tc>
          <w:tcPr>
            <w:tcW w:w="7680" w:type="dxa"/>
            <w:vAlign w:val="bottom"/>
          </w:tcPr>
          <w:p>
            <w:pPr>
              <w:ind w:left="380"/>
              <w:spacing w:after="0"/>
              <w:rPr>
                <w:sz w:val="20"/>
                <w:szCs w:val="20"/>
                <w:color w:val="auto"/>
              </w:rPr>
            </w:pPr>
            <w:r>
              <w:rPr>
                <w:rFonts w:ascii="Arial" w:cs="Arial" w:eastAsia="Arial" w:hAnsi="Arial"/>
                <w:sz w:val="18"/>
                <w:szCs w:val="18"/>
                <w:color w:val="auto"/>
              </w:rPr>
              <w:t>Prepaid expenses and other current assets</w:t>
            </w:r>
          </w:p>
        </w:tc>
        <w:tc>
          <w:tcPr>
            <w:tcW w:w="260" w:type="dxa"/>
            <w:vAlign w:val="bottom"/>
          </w:tcPr>
          <w:p>
            <w:pPr>
              <w:spacing w:after="0"/>
              <w:rPr>
                <w:sz w:val="21"/>
                <w:szCs w:val="21"/>
                <w:color w:val="auto"/>
              </w:rPr>
            </w:pPr>
          </w:p>
        </w:tc>
        <w:tc>
          <w:tcPr>
            <w:tcW w:w="1440" w:type="dxa"/>
            <w:vAlign w:val="bottom"/>
          </w:tcPr>
          <w:p>
            <w:pPr>
              <w:jc w:val="right"/>
              <w:ind w:right="10"/>
              <w:spacing w:after="0"/>
              <w:rPr>
                <w:sz w:val="20"/>
                <w:szCs w:val="20"/>
                <w:color w:val="auto"/>
              </w:rPr>
            </w:pPr>
            <w:r>
              <w:rPr>
                <w:rFonts w:ascii="Arial" w:cs="Arial" w:eastAsia="Arial" w:hAnsi="Arial"/>
                <w:sz w:val="18"/>
                <w:szCs w:val="18"/>
                <w:color w:val="auto"/>
              </w:rPr>
              <w:t>89,592</w:t>
            </w:r>
          </w:p>
        </w:tc>
        <w:tc>
          <w:tcPr>
            <w:tcW w:w="34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540" w:type="dxa"/>
            <w:vAlign w:val="bottom"/>
          </w:tcPr>
          <w:p>
            <w:pPr>
              <w:jc w:val="right"/>
              <w:ind w:right="10"/>
              <w:spacing w:after="0"/>
              <w:rPr>
                <w:sz w:val="20"/>
                <w:szCs w:val="20"/>
                <w:color w:val="auto"/>
              </w:rPr>
            </w:pPr>
            <w:r>
              <w:rPr>
                <w:rFonts w:ascii="Arial" w:cs="Arial" w:eastAsia="Arial" w:hAnsi="Arial"/>
                <w:sz w:val="18"/>
                <w:szCs w:val="18"/>
                <w:color w:val="auto"/>
              </w:rPr>
              <w:t>125,821</w:t>
            </w:r>
          </w:p>
        </w:tc>
      </w:tr>
      <w:tr>
        <w:trPr>
          <w:trHeight w:val="27"/>
        </w:trPr>
        <w:tc>
          <w:tcPr>
            <w:tcW w:w="768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440" w:type="dxa"/>
            <w:vAlign w:val="bottom"/>
            <w:tcBorders>
              <w:bottom w:val="single" w:sz="8" w:color="auto"/>
            </w:tcBorders>
          </w:tcPr>
          <w:p>
            <w:pPr>
              <w:spacing w:after="0"/>
              <w:rPr>
                <w:sz w:val="2"/>
                <w:szCs w:val="2"/>
                <w:color w:val="auto"/>
              </w:rPr>
            </w:pPr>
          </w:p>
        </w:tc>
        <w:tc>
          <w:tcPr>
            <w:tcW w:w="34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540" w:type="dxa"/>
            <w:vAlign w:val="bottom"/>
            <w:tcBorders>
              <w:bottom w:val="single" w:sz="8" w:color="auto"/>
            </w:tcBorders>
          </w:tcPr>
          <w:p>
            <w:pPr>
              <w:spacing w:after="0"/>
              <w:rPr>
                <w:sz w:val="2"/>
                <w:szCs w:val="2"/>
                <w:color w:val="auto"/>
              </w:rPr>
            </w:pPr>
          </w:p>
        </w:tc>
      </w:tr>
      <w:tr>
        <w:trPr>
          <w:trHeight w:val="244"/>
        </w:trPr>
        <w:tc>
          <w:tcPr>
            <w:tcW w:w="7680" w:type="dxa"/>
            <w:vAlign w:val="bottom"/>
            <w:tcBorders>
              <w:bottom w:val="single" w:sz="8" w:color="CCEEFF"/>
            </w:tcBorders>
            <w:shd w:val="clear" w:color="auto" w:fill="CCEEFF"/>
          </w:tcPr>
          <w:p>
            <w:pPr>
              <w:ind w:left="740"/>
              <w:spacing w:after="0"/>
              <w:rPr>
                <w:sz w:val="20"/>
                <w:szCs w:val="20"/>
                <w:color w:val="auto"/>
              </w:rPr>
            </w:pPr>
            <w:r>
              <w:rPr>
                <w:rFonts w:ascii="Arial" w:cs="Arial" w:eastAsia="Arial" w:hAnsi="Arial"/>
                <w:sz w:val="18"/>
                <w:szCs w:val="18"/>
                <w:color w:val="auto"/>
              </w:rPr>
              <w:t>Total current assets</w:t>
            </w:r>
          </w:p>
        </w:tc>
        <w:tc>
          <w:tcPr>
            <w:tcW w:w="260" w:type="dxa"/>
            <w:vAlign w:val="bottom"/>
            <w:tcBorders>
              <w:bottom w:val="single" w:sz="8" w:color="CCEEFF"/>
            </w:tcBorders>
            <w:shd w:val="clear" w:color="auto" w:fill="CCEEFF"/>
          </w:tcPr>
          <w:p>
            <w:pPr>
              <w:spacing w:after="0"/>
              <w:rPr>
                <w:sz w:val="21"/>
                <w:szCs w:val="21"/>
                <w:color w:val="auto"/>
              </w:rPr>
            </w:pPr>
          </w:p>
        </w:tc>
        <w:tc>
          <w:tcPr>
            <w:tcW w:w="14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5,235,093</w:t>
            </w:r>
          </w:p>
        </w:tc>
        <w:tc>
          <w:tcPr>
            <w:tcW w:w="34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5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4,382,276</w:t>
            </w:r>
          </w:p>
        </w:tc>
      </w:tr>
      <w:tr>
        <w:trPr>
          <w:trHeight w:val="243"/>
        </w:trPr>
        <w:tc>
          <w:tcPr>
            <w:tcW w:w="7680" w:type="dxa"/>
            <w:vAlign w:val="bottom"/>
          </w:tcPr>
          <w:p>
            <w:pPr>
              <w:ind w:left="40"/>
              <w:spacing w:after="0"/>
              <w:rPr>
                <w:sz w:val="20"/>
                <w:szCs w:val="20"/>
                <w:color w:val="auto"/>
              </w:rPr>
            </w:pPr>
            <w:r>
              <w:rPr>
                <w:rFonts w:ascii="Arial" w:cs="Arial" w:eastAsia="Arial" w:hAnsi="Arial"/>
                <w:sz w:val="18"/>
                <w:szCs w:val="18"/>
                <w:color w:val="auto"/>
              </w:rPr>
              <w:t>Property and equipment, net</w:t>
            </w:r>
          </w:p>
        </w:tc>
        <w:tc>
          <w:tcPr>
            <w:tcW w:w="260" w:type="dxa"/>
            <w:vAlign w:val="bottom"/>
          </w:tcPr>
          <w:p>
            <w:pPr>
              <w:spacing w:after="0"/>
              <w:rPr>
                <w:sz w:val="21"/>
                <w:szCs w:val="21"/>
                <w:color w:val="auto"/>
              </w:rPr>
            </w:pPr>
          </w:p>
        </w:tc>
        <w:tc>
          <w:tcPr>
            <w:tcW w:w="1440" w:type="dxa"/>
            <w:vAlign w:val="bottom"/>
          </w:tcPr>
          <w:p>
            <w:pPr>
              <w:jc w:val="right"/>
              <w:ind w:right="10"/>
              <w:spacing w:after="0"/>
              <w:rPr>
                <w:sz w:val="20"/>
                <w:szCs w:val="20"/>
                <w:color w:val="auto"/>
              </w:rPr>
            </w:pPr>
            <w:r>
              <w:rPr>
                <w:rFonts w:ascii="Arial" w:cs="Arial" w:eastAsia="Arial" w:hAnsi="Arial"/>
                <w:sz w:val="18"/>
                <w:szCs w:val="18"/>
                <w:color w:val="auto"/>
              </w:rPr>
              <w:t>607,468</w:t>
            </w:r>
          </w:p>
        </w:tc>
        <w:tc>
          <w:tcPr>
            <w:tcW w:w="34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540" w:type="dxa"/>
            <w:vAlign w:val="bottom"/>
          </w:tcPr>
          <w:p>
            <w:pPr>
              <w:jc w:val="right"/>
              <w:ind w:right="10"/>
              <w:spacing w:after="0"/>
              <w:rPr>
                <w:sz w:val="20"/>
                <w:szCs w:val="20"/>
                <w:color w:val="auto"/>
              </w:rPr>
            </w:pPr>
            <w:r>
              <w:rPr>
                <w:rFonts w:ascii="Arial" w:cs="Arial" w:eastAsia="Arial" w:hAnsi="Arial"/>
                <w:sz w:val="18"/>
                <w:szCs w:val="18"/>
                <w:color w:val="auto"/>
              </w:rPr>
              <w:t>599,102</w:t>
            </w:r>
          </w:p>
        </w:tc>
      </w:tr>
      <w:tr>
        <w:trPr>
          <w:trHeight w:val="27"/>
        </w:trPr>
        <w:tc>
          <w:tcPr>
            <w:tcW w:w="7680" w:type="dxa"/>
            <w:vAlign w:val="bottom"/>
          </w:tcPr>
          <w:p>
            <w:pPr>
              <w:spacing w:after="0"/>
              <w:rPr>
                <w:sz w:val="2"/>
                <w:szCs w:val="2"/>
                <w:color w:val="auto"/>
              </w:rPr>
            </w:pPr>
          </w:p>
        </w:tc>
        <w:tc>
          <w:tcPr>
            <w:tcW w:w="260" w:type="dxa"/>
            <w:vAlign w:val="bottom"/>
          </w:tcPr>
          <w:p>
            <w:pPr>
              <w:spacing w:after="0"/>
              <w:rPr>
                <w:sz w:val="2"/>
                <w:szCs w:val="2"/>
                <w:color w:val="auto"/>
              </w:rPr>
            </w:pPr>
          </w:p>
        </w:tc>
        <w:tc>
          <w:tcPr>
            <w:tcW w:w="1440" w:type="dxa"/>
            <w:vAlign w:val="bottom"/>
          </w:tcPr>
          <w:p>
            <w:pPr>
              <w:spacing w:after="0"/>
              <w:rPr>
                <w:sz w:val="2"/>
                <w:szCs w:val="2"/>
                <w:color w:val="auto"/>
              </w:rPr>
            </w:pPr>
          </w:p>
        </w:tc>
        <w:tc>
          <w:tcPr>
            <w:tcW w:w="340" w:type="dxa"/>
            <w:vAlign w:val="bottom"/>
          </w:tcPr>
          <w:p>
            <w:pPr>
              <w:spacing w:after="0"/>
              <w:rPr>
                <w:sz w:val="2"/>
                <w:szCs w:val="2"/>
                <w:color w:val="auto"/>
              </w:rPr>
            </w:pPr>
          </w:p>
        </w:tc>
        <w:tc>
          <w:tcPr>
            <w:tcW w:w="160" w:type="dxa"/>
            <w:vAlign w:val="bottom"/>
          </w:tcPr>
          <w:p>
            <w:pPr>
              <w:spacing w:after="0"/>
              <w:rPr>
                <w:sz w:val="2"/>
                <w:szCs w:val="2"/>
                <w:color w:val="auto"/>
              </w:rPr>
            </w:pPr>
          </w:p>
        </w:tc>
        <w:tc>
          <w:tcPr>
            <w:tcW w:w="1540" w:type="dxa"/>
            <w:vAlign w:val="bottom"/>
          </w:tcPr>
          <w:p>
            <w:pPr>
              <w:spacing w:after="0"/>
              <w:rPr>
                <w:sz w:val="2"/>
                <w:szCs w:val="2"/>
                <w:color w:val="auto"/>
              </w:rPr>
            </w:pPr>
          </w:p>
        </w:tc>
      </w:tr>
      <w:tr>
        <w:trPr>
          <w:trHeight w:val="250"/>
        </w:trPr>
        <w:tc>
          <w:tcPr>
            <w:tcW w:w="76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Intangible assets, net</w:t>
            </w:r>
          </w:p>
        </w:tc>
        <w:tc>
          <w:tcPr>
            <w:tcW w:w="260" w:type="dxa"/>
            <w:vAlign w:val="bottom"/>
            <w:tcBorders>
              <w:bottom w:val="single" w:sz="8" w:color="CCEEFF"/>
            </w:tcBorders>
            <w:shd w:val="clear" w:color="auto" w:fill="CCEEFF"/>
          </w:tcPr>
          <w:p>
            <w:pPr>
              <w:spacing w:after="0"/>
              <w:rPr>
                <w:sz w:val="21"/>
                <w:szCs w:val="21"/>
                <w:color w:val="auto"/>
              </w:rPr>
            </w:pPr>
          </w:p>
        </w:tc>
        <w:tc>
          <w:tcPr>
            <w:tcW w:w="14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1,423,546</w:t>
            </w:r>
          </w:p>
        </w:tc>
        <w:tc>
          <w:tcPr>
            <w:tcW w:w="34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5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1,510,203</w:t>
            </w:r>
          </w:p>
        </w:tc>
      </w:tr>
      <w:tr>
        <w:trPr>
          <w:trHeight w:val="243"/>
        </w:trPr>
        <w:tc>
          <w:tcPr>
            <w:tcW w:w="7680" w:type="dxa"/>
            <w:vAlign w:val="bottom"/>
          </w:tcPr>
          <w:p>
            <w:pPr>
              <w:ind w:left="40"/>
              <w:spacing w:after="0"/>
              <w:rPr>
                <w:sz w:val="20"/>
                <w:szCs w:val="20"/>
                <w:color w:val="auto"/>
              </w:rPr>
            </w:pPr>
            <w:r>
              <w:rPr>
                <w:rFonts w:ascii="Arial" w:cs="Arial" w:eastAsia="Arial" w:hAnsi="Arial"/>
                <w:sz w:val="18"/>
                <w:szCs w:val="18"/>
                <w:color w:val="auto"/>
              </w:rPr>
              <w:t>Goodwill</w:t>
            </w:r>
          </w:p>
        </w:tc>
        <w:tc>
          <w:tcPr>
            <w:tcW w:w="260" w:type="dxa"/>
            <w:vAlign w:val="bottom"/>
          </w:tcPr>
          <w:p>
            <w:pPr>
              <w:spacing w:after="0"/>
              <w:rPr>
                <w:sz w:val="21"/>
                <w:szCs w:val="21"/>
                <w:color w:val="auto"/>
              </w:rPr>
            </w:pPr>
          </w:p>
        </w:tc>
        <w:tc>
          <w:tcPr>
            <w:tcW w:w="1440" w:type="dxa"/>
            <w:vAlign w:val="bottom"/>
          </w:tcPr>
          <w:p>
            <w:pPr>
              <w:jc w:val="right"/>
              <w:ind w:right="10"/>
              <w:spacing w:after="0"/>
              <w:rPr>
                <w:sz w:val="20"/>
                <w:szCs w:val="20"/>
                <w:color w:val="auto"/>
              </w:rPr>
            </w:pPr>
            <w:r>
              <w:rPr>
                <w:rFonts w:ascii="Arial" w:cs="Arial" w:eastAsia="Arial" w:hAnsi="Arial"/>
                <w:sz w:val="18"/>
                <w:szCs w:val="18"/>
                <w:color w:val="auto"/>
              </w:rPr>
              <w:t>502,000</w:t>
            </w:r>
          </w:p>
        </w:tc>
        <w:tc>
          <w:tcPr>
            <w:tcW w:w="34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540" w:type="dxa"/>
            <w:vAlign w:val="bottom"/>
          </w:tcPr>
          <w:p>
            <w:pPr>
              <w:jc w:val="right"/>
              <w:ind w:right="10"/>
              <w:spacing w:after="0"/>
              <w:rPr>
                <w:sz w:val="20"/>
                <w:szCs w:val="20"/>
                <w:color w:val="auto"/>
              </w:rPr>
            </w:pPr>
            <w:r>
              <w:rPr>
                <w:rFonts w:ascii="Arial" w:cs="Arial" w:eastAsia="Arial" w:hAnsi="Arial"/>
                <w:sz w:val="18"/>
                <w:szCs w:val="18"/>
                <w:color w:val="auto"/>
              </w:rPr>
              <w:t>502,000</w:t>
            </w:r>
          </w:p>
        </w:tc>
      </w:tr>
      <w:tr>
        <w:trPr>
          <w:trHeight w:val="27"/>
        </w:trPr>
        <w:tc>
          <w:tcPr>
            <w:tcW w:w="7680" w:type="dxa"/>
            <w:vAlign w:val="bottom"/>
          </w:tcPr>
          <w:p>
            <w:pPr>
              <w:spacing w:after="0"/>
              <w:rPr>
                <w:sz w:val="2"/>
                <w:szCs w:val="2"/>
                <w:color w:val="auto"/>
              </w:rPr>
            </w:pPr>
          </w:p>
        </w:tc>
        <w:tc>
          <w:tcPr>
            <w:tcW w:w="260" w:type="dxa"/>
            <w:vAlign w:val="bottom"/>
          </w:tcPr>
          <w:p>
            <w:pPr>
              <w:spacing w:after="0"/>
              <w:rPr>
                <w:sz w:val="2"/>
                <w:szCs w:val="2"/>
                <w:color w:val="auto"/>
              </w:rPr>
            </w:pPr>
          </w:p>
        </w:tc>
        <w:tc>
          <w:tcPr>
            <w:tcW w:w="1440" w:type="dxa"/>
            <w:vAlign w:val="bottom"/>
          </w:tcPr>
          <w:p>
            <w:pPr>
              <w:spacing w:after="0"/>
              <w:rPr>
                <w:sz w:val="2"/>
                <w:szCs w:val="2"/>
                <w:color w:val="auto"/>
              </w:rPr>
            </w:pPr>
          </w:p>
        </w:tc>
        <w:tc>
          <w:tcPr>
            <w:tcW w:w="340" w:type="dxa"/>
            <w:vAlign w:val="bottom"/>
          </w:tcPr>
          <w:p>
            <w:pPr>
              <w:spacing w:after="0"/>
              <w:rPr>
                <w:sz w:val="2"/>
                <w:szCs w:val="2"/>
                <w:color w:val="auto"/>
              </w:rPr>
            </w:pPr>
          </w:p>
        </w:tc>
        <w:tc>
          <w:tcPr>
            <w:tcW w:w="160" w:type="dxa"/>
            <w:vAlign w:val="bottom"/>
          </w:tcPr>
          <w:p>
            <w:pPr>
              <w:spacing w:after="0"/>
              <w:rPr>
                <w:sz w:val="2"/>
                <w:szCs w:val="2"/>
                <w:color w:val="auto"/>
              </w:rPr>
            </w:pPr>
          </w:p>
        </w:tc>
        <w:tc>
          <w:tcPr>
            <w:tcW w:w="1540" w:type="dxa"/>
            <w:vAlign w:val="bottom"/>
          </w:tcPr>
          <w:p>
            <w:pPr>
              <w:spacing w:after="0"/>
              <w:rPr>
                <w:sz w:val="2"/>
                <w:szCs w:val="2"/>
                <w:color w:val="auto"/>
              </w:rPr>
            </w:pPr>
          </w:p>
        </w:tc>
      </w:tr>
      <w:tr>
        <w:trPr>
          <w:trHeight w:val="270"/>
        </w:trPr>
        <w:tc>
          <w:tcPr>
            <w:tcW w:w="76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Other assets</w:t>
            </w:r>
          </w:p>
        </w:tc>
        <w:tc>
          <w:tcPr>
            <w:tcW w:w="260" w:type="dxa"/>
            <w:vAlign w:val="bottom"/>
            <w:tcBorders>
              <w:bottom w:val="single" w:sz="8" w:color="CCEEFF"/>
            </w:tcBorders>
            <w:shd w:val="clear" w:color="auto" w:fill="CCEEFF"/>
          </w:tcPr>
          <w:p>
            <w:pPr>
              <w:spacing w:after="0"/>
              <w:rPr>
                <w:sz w:val="23"/>
                <w:szCs w:val="23"/>
                <w:color w:val="auto"/>
              </w:rPr>
            </w:pPr>
          </w:p>
        </w:tc>
        <w:tc>
          <w:tcPr>
            <w:tcW w:w="14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16,029</w:t>
            </w:r>
          </w:p>
        </w:tc>
        <w:tc>
          <w:tcPr>
            <w:tcW w:w="340" w:type="dxa"/>
            <w:vAlign w:val="bottom"/>
            <w:tcBorders>
              <w:bottom w:val="single" w:sz="8" w:color="CCEEFF"/>
            </w:tcBorders>
            <w:shd w:val="clear" w:color="auto" w:fill="CCEEFF"/>
          </w:tcPr>
          <w:p>
            <w:pPr>
              <w:spacing w:after="0"/>
              <w:rPr>
                <w:sz w:val="23"/>
                <w:szCs w:val="23"/>
                <w:color w:val="auto"/>
              </w:rPr>
            </w:pPr>
          </w:p>
        </w:tc>
        <w:tc>
          <w:tcPr>
            <w:tcW w:w="160" w:type="dxa"/>
            <w:vAlign w:val="bottom"/>
            <w:tcBorders>
              <w:bottom w:val="single" w:sz="8" w:color="CCEEFF"/>
            </w:tcBorders>
            <w:shd w:val="clear" w:color="auto" w:fill="CCEEFF"/>
          </w:tcPr>
          <w:p>
            <w:pPr>
              <w:spacing w:after="0"/>
              <w:rPr>
                <w:sz w:val="23"/>
                <w:szCs w:val="23"/>
                <w:color w:val="auto"/>
              </w:rPr>
            </w:pPr>
          </w:p>
        </w:tc>
        <w:tc>
          <w:tcPr>
            <w:tcW w:w="15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16,029</w:t>
            </w:r>
          </w:p>
        </w:tc>
      </w:tr>
      <w:tr>
        <w:trPr>
          <w:trHeight w:val="297"/>
        </w:trPr>
        <w:tc>
          <w:tcPr>
            <w:tcW w:w="7680" w:type="dxa"/>
            <w:vAlign w:val="bottom"/>
            <w:tcBorders>
              <w:bottom w:val="single" w:sz="8" w:color="CCEEFF"/>
            </w:tcBorders>
          </w:tcPr>
          <w:p>
            <w:pPr>
              <w:ind w:left="40"/>
              <w:spacing w:after="0"/>
              <w:rPr>
                <w:sz w:val="20"/>
                <w:szCs w:val="20"/>
                <w:color w:val="auto"/>
              </w:rPr>
            </w:pPr>
            <w:r>
              <w:rPr>
                <w:rFonts w:ascii="Arial" w:cs="Arial" w:eastAsia="Arial" w:hAnsi="Arial"/>
                <w:sz w:val="18"/>
                <w:szCs w:val="18"/>
                <w:color w:val="auto"/>
              </w:rPr>
              <w:t>Total assets of the disposal group</w:t>
            </w:r>
          </w:p>
        </w:tc>
        <w:tc>
          <w:tcPr>
            <w:tcW w:w="260" w:type="dxa"/>
            <w:vAlign w:val="bottom"/>
            <w:tcBorders>
              <w:top w:val="single" w:sz="8" w:color="auto"/>
              <w:bottom w:val="single" w:sz="8" w:color="auto"/>
            </w:tcBorders>
          </w:tcPr>
          <w:p>
            <w:pPr>
              <w:jc w:val="right"/>
              <w:ind w:right="50"/>
              <w:spacing w:after="0"/>
              <w:rPr>
                <w:sz w:val="20"/>
                <w:szCs w:val="20"/>
                <w:color w:val="auto"/>
              </w:rPr>
            </w:pPr>
            <w:r>
              <w:rPr>
                <w:rFonts w:ascii="Arial" w:cs="Arial" w:eastAsia="Arial" w:hAnsi="Arial"/>
                <w:sz w:val="18"/>
                <w:szCs w:val="18"/>
                <w:color w:val="auto"/>
                <w:w w:val="99"/>
              </w:rPr>
              <w:t>$</w:t>
            </w:r>
          </w:p>
        </w:tc>
        <w:tc>
          <w:tcPr>
            <w:tcW w:w="144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18"/>
                <w:szCs w:val="18"/>
                <w:color w:val="auto"/>
              </w:rPr>
              <w:t>7,784,136</w:t>
            </w:r>
          </w:p>
        </w:tc>
        <w:tc>
          <w:tcPr>
            <w:tcW w:w="340" w:type="dxa"/>
            <w:vAlign w:val="bottom"/>
            <w:tcBorders>
              <w:bottom w:val="single" w:sz="8" w:color="CCEEFF"/>
            </w:tcBorders>
          </w:tcPr>
          <w:p>
            <w:pPr>
              <w:spacing w:after="0"/>
              <w:rPr>
                <w:sz w:val="24"/>
                <w:szCs w:val="24"/>
                <w:color w:val="auto"/>
              </w:rPr>
            </w:pPr>
          </w:p>
        </w:tc>
        <w:tc>
          <w:tcPr>
            <w:tcW w:w="1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54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18"/>
                <w:szCs w:val="18"/>
                <w:color w:val="auto"/>
              </w:rPr>
              <w:t>7,009,610</w:t>
            </w:r>
          </w:p>
        </w:tc>
      </w:tr>
      <w:tr>
        <w:trPr>
          <w:trHeight w:val="311"/>
        </w:trPr>
        <w:tc>
          <w:tcPr>
            <w:tcW w:w="7680" w:type="dxa"/>
            <w:vAlign w:val="bottom"/>
            <w:shd w:val="clear" w:color="auto" w:fill="CCEEFF"/>
          </w:tcPr>
          <w:p>
            <w:pPr>
              <w:spacing w:after="0"/>
              <w:rPr>
                <w:sz w:val="24"/>
                <w:szCs w:val="24"/>
                <w:color w:val="auto"/>
              </w:rPr>
            </w:pPr>
          </w:p>
        </w:tc>
        <w:tc>
          <w:tcPr>
            <w:tcW w:w="260" w:type="dxa"/>
            <w:vAlign w:val="bottom"/>
            <w:shd w:val="clear" w:color="auto" w:fill="CCEEFF"/>
          </w:tcPr>
          <w:p>
            <w:pPr>
              <w:spacing w:after="0"/>
              <w:rPr>
                <w:sz w:val="24"/>
                <w:szCs w:val="24"/>
                <w:color w:val="auto"/>
              </w:rPr>
            </w:pPr>
          </w:p>
        </w:tc>
        <w:tc>
          <w:tcPr>
            <w:tcW w:w="1440" w:type="dxa"/>
            <w:vAlign w:val="bottom"/>
            <w:shd w:val="clear" w:color="auto" w:fill="CCEEFF"/>
          </w:tcPr>
          <w:p>
            <w:pPr>
              <w:spacing w:after="0"/>
              <w:rPr>
                <w:sz w:val="24"/>
                <w:szCs w:val="24"/>
                <w:color w:val="auto"/>
              </w:rPr>
            </w:pPr>
          </w:p>
        </w:tc>
        <w:tc>
          <w:tcPr>
            <w:tcW w:w="34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1540" w:type="dxa"/>
            <w:vAlign w:val="bottom"/>
            <w:shd w:val="clear" w:color="auto" w:fill="CCEEFF"/>
          </w:tcPr>
          <w:p>
            <w:pPr>
              <w:spacing w:after="0"/>
              <w:rPr>
                <w:sz w:val="24"/>
                <w:szCs w:val="24"/>
                <w:color w:val="auto"/>
              </w:rPr>
            </w:pPr>
          </w:p>
        </w:tc>
      </w:tr>
      <w:tr>
        <w:trPr>
          <w:trHeight w:val="243"/>
        </w:trPr>
        <w:tc>
          <w:tcPr>
            <w:tcW w:w="7680" w:type="dxa"/>
            <w:vAlign w:val="bottom"/>
          </w:tcPr>
          <w:p>
            <w:pPr>
              <w:ind w:left="40"/>
              <w:spacing w:after="0"/>
              <w:rPr>
                <w:sz w:val="20"/>
                <w:szCs w:val="20"/>
                <w:color w:val="auto"/>
              </w:rPr>
            </w:pPr>
            <w:r>
              <w:rPr>
                <w:rFonts w:ascii="Arial" w:cs="Arial" w:eastAsia="Arial" w:hAnsi="Arial"/>
                <w:sz w:val="18"/>
                <w:szCs w:val="18"/>
                <w:color w:val="auto"/>
              </w:rPr>
              <w:t>Current liabilities</w:t>
            </w:r>
          </w:p>
        </w:tc>
        <w:tc>
          <w:tcPr>
            <w:tcW w:w="260" w:type="dxa"/>
            <w:vAlign w:val="bottom"/>
          </w:tcPr>
          <w:p>
            <w:pPr>
              <w:spacing w:after="0"/>
              <w:rPr>
                <w:sz w:val="21"/>
                <w:szCs w:val="21"/>
                <w:color w:val="auto"/>
              </w:rPr>
            </w:pPr>
          </w:p>
        </w:tc>
        <w:tc>
          <w:tcPr>
            <w:tcW w:w="144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540" w:type="dxa"/>
            <w:vAlign w:val="bottom"/>
          </w:tcPr>
          <w:p>
            <w:pPr>
              <w:spacing w:after="0"/>
              <w:rPr>
                <w:sz w:val="21"/>
                <w:szCs w:val="21"/>
                <w:color w:val="auto"/>
              </w:rPr>
            </w:pPr>
          </w:p>
        </w:tc>
      </w:tr>
      <w:tr>
        <w:trPr>
          <w:trHeight w:val="27"/>
        </w:trPr>
        <w:tc>
          <w:tcPr>
            <w:tcW w:w="7680" w:type="dxa"/>
            <w:vAlign w:val="bottom"/>
          </w:tcPr>
          <w:p>
            <w:pPr>
              <w:spacing w:after="0"/>
              <w:rPr>
                <w:sz w:val="2"/>
                <w:szCs w:val="2"/>
                <w:color w:val="auto"/>
              </w:rPr>
            </w:pPr>
          </w:p>
        </w:tc>
        <w:tc>
          <w:tcPr>
            <w:tcW w:w="260" w:type="dxa"/>
            <w:vAlign w:val="bottom"/>
          </w:tcPr>
          <w:p>
            <w:pPr>
              <w:spacing w:after="0"/>
              <w:rPr>
                <w:sz w:val="2"/>
                <w:szCs w:val="2"/>
                <w:color w:val="auto"/>
              </w:rPr>
            </w:pPr>
          </w:p>
        </w:tc>
        <w:tc>
          <w:tcPr>
            <w:tcW w:w="1440" w:type="dxa"/>
            <w:vAlign w:val="bottom"/>
          </w:tcPr>
          <w:p>
            <w:pPr>
              <w:spacing w:after="0"/>
              <w:rPr>
                <w:sz w:val="2"/>
                <w:szCs w:val="2"/>
                <w:color w:val="auto"/>
              </w:rPr>
            </w:pPr>
          </w:p>
        </w:tc>
        <w:tc>
          <w:tcPr>
            <w:tcW w:w="340" w:type="dxa"/>
            <w:vAlign w:val="bottom"/>
          </w:tcPr>
          <w:p>
            <w:pPr>
              <w:spacing w:after="0"/>
              <w:rPr>
                <w:sz w:val="2"/>
                <w:szCs w:val="2"/>
                <w:color w:val="auto"/>
              </w:rPr>
            </w:pPr>
          </w:p>
        </w:tc>
        <w:tc>
          <w:tcPr>
            <w:tcW w:w="160" w:type="dxa"/>
            <w:vAlign w:val="bottom"/>
          </w:tcPr>
          <w:p>
            <w:pPr>
              <w:spacing w:after="0"/>
              <w:rPr>
                <w:sz w:val="2"/>
                <w:szCs w:val="2"/>
                <w:color w:val="auto"/>
              </w:rPr>
            </w:pPr>
          </w:p>
        </w:tc>
        <w:tc>
          <w:tcPr>
            <w:tcW w:w="1540" w:type="dxa"/>
            <w:vAlign w:val="bottom"/>
          </w:tcPr>
          <w:p>
            <w:pPr>
              <w:spacing w:after="0"/>
              <w:rPr>
                <w:sz w:val="2"/>
                <w:szCs w:val="2"/>
                <w:color w:val="auto"/>
              </w:rPr>
            </w:pPr>
          </w:p>
        </w:tc>
      </w:tr>
      <w:tr>
        <w:trPr>
          <w:trHeight w:val="250"/>
        </w:trPr>
        <w:tc>
          <w:tcPr>
            <w:tcW w:w="768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Accounts payable</w:t>
            </w:r>
          </w:p>
        </w:tc>
        <w:tc>
          <w:tcPr>
            <w:tcW w:w="260" w:type="dxa"/>
            <w:vAlign w:val="bottom"/>
            <w:tcBorders>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color w:val="auto"/>
                <w:w w:val="99"/>
              </w:rPr>
              <w:t>$</w:t>
            </w:r>
          </w:p>
        </w:tc>
        <w:tc>
          <w:tcPr>
            <w:tcW w:w="14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1,018,950</w:t>
            </w:r>
          </w:p>
        </w:tc>
        <w:tc>
          <w:tcPr>
            <w:tcW w:w="34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5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960,116</w:t>
            </w:r>
          </w:p>
        </w:tc>
      </w:tr>
      <w:tr>
        <w:trPr>
          <w:trHeight w:val="243"/>
        </w:trPr>
        <w:tc>
          <w:tcPr>
            <w:tcW w:w="7680" w:type="dxa"/>
            <w:vAlign w:val="bottom"/>
          </w:tcPr>
          <w:p>
            <w:pPr>
              <w:ind w:left="380"/>
              <w:spacing w:after="0"/>
              <w:rPr>
                <w:sz w:val="20"/>
                <w:szCs w:val="20"/>
                <w:color w:val="auto"/>
              </w:rPr>
            </w:pPr>
            <w:r>
              <w:rPr>
                <w:rFonts w:ascii="Arial" w:cs="Arial" w:eastAsia="Arial" w:hAnsi="Arial"/>
                <w:sz w:val="18"/>
                <w:szCs w:val="18"/>
                <w:color w:val="auto"/>
              </w:rPr>
              <w:t>Accrued compensation</w:t>
            </w:r>
          </w:p>
        </w:tc>
        <w:tc>
          <w:tcPr>
            <w:tcW w:w="260" w:type="dxa"/>
            <w:vAlign w:val="bottom"/>
          </w:tcPr>
          <w:p>
            <w:pPr>
              <w:spacing w:after="0"/>
              <w:rPr>
                <w:sz w:val="21"/>
                <w:szCs w:val="21"/>
                <w:color w:val="auto"/>
              </w:rPr>
            </w:pPr>
          </w:p>
        </w:tc>
        <w:tc>
          <w:tcPr>
            <w:tcW w:w="1440" w:type="dxa"/>
            <w:vAlign w:val="bottom"/>
          </w:tcPr>
          <w:p>
            <w:pPr>
              <w:jc w:val="right"/>
              <w:ind w:right="10"/>
              <w:spacing w:after="0"/>
              <w:rPr>
                <w:sz w:val="20"/>
                <w:szCs w:val="20"/>
                <w:color w:val="auto"/>
              </w:rPr>
            </w:pPr>
            <w:r>
              <w:rPr>
                <w:rFonts w:ascii="Arial" w:cs="Arial" w:eastAsia="Arial" w:hAnsi="Arial"/>
                <w:sz w:val="18"/>
                <w:szCs w:val="18"/>
                <w:color w:val="auto"/>
              </w:rPr>
              <w:t>444,860</w:t>
            </w:r>
          </w:p>
        </w:tc>
        <w:tc>
          <w:tcPr>
            <w:tcW w:w="34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540" w:type="dxa"/>
            <w:vAlign w:val="bottom"/>
          </w:tcPr>
          <w:p>
            <w:pPr>
              <w:jc w:val="right"/>
              <w:ind w:right="10"/>
              <w:spacing w:after="0"/>
              <w:rPr>
                <w:sz w:val="20"/>
                <w:szCs w:val="20"/>
                <w:color w:val="auto"/>
              </w:rPr>
            </w:pPr>
            <w:r>
              <w:rPr>
                <w:rFonts w:ascii="Arial" w:cs="Arial" w:eastAsia="Arial" w:hAnsi="Arial"/>
                <w:sz w:val="18"/>
                <w:szCs w:val="18"/>
                <w:color w:val="auto"/>
              </w:rPr>
              <w:t>458,342</w:t>
            </w:r>
          </w:p>
        </w:tc>
      </w:tr>
      <w:tr>
        <w:trPr>
          <w:trHeight w:val="27"/>
        </w:trPr>
        <w:tc>
          <w:tcPr>
            <w:tcW w:w="7680" w:type="dxa"/>
            <w:vAlign w:val="bottom"/>
          </w:tcPr>
          <w:p>
            <w:pPr>
              <w:spacing w:after="0"/>
              <w:rPr>
                <w:sz w:val="2"/>
                <w:szCs w:val="2"/>
                <w:color w:val="auto"/>
              </w:rPr>
            </w:pPr>
          </w:p>
        </w:tc>
        <w:tc>
          <w:tcPr>
            <w:tcW w:w="260" w:type="dxa"/>
            <w:vAlign w:val="bottom"/>
          </w:tcPr>
          <w:p>
            <w:pPr>
              <w:spacing w:after="0"/>
              <w:rPr>
                <w:sz w:val="2"/>
                <w:szCs w:val="2"/>
                <w:color w:val="auto"/>
              </w:rPr>
            </w:pPr>
          </w:p>
        </w:tc>
        <w:tc>
          <w:tcPr>
            <w:tcW w:w="1440" w:type="dxa"/>
            <w:vAlign w:val="bottom"/>
          </w:tcPr>
          <w:p>
            <w:pPr>
              <w:spacing w:after="0"/>
              <w:rPr>
                <w:sz w:val="2"/>
                <w:szCs w:val="2"/>
                <w:color w:val="auto"/>
              </w:rPr>
            </w:pPr>
          </w:p>
        </w:tc>
        <w:tc>
          <w:tcPr>
            <w:tcW w:w="340" w:type="dxa"/>
            <w:vAlign w:val="bottom"/>
          </w:tcPr>
          <w:p>
            <w:pPr>
              <w:spacing w:after="0"/>
              <w:rPr>
                <w:sz w:val="2"/>
                <w:szCs w:val="2"/>
                <w:color w:val="auto"/>
              </w:rPr>
            </w:pPr>
          </w:p>
        </w:tc>
        <w:tc>
          <w:tcPr>
            <w:tcW w:w="160" w:type="dxa"/>
            <w:vAlign w:val="bottom"/>
          </w:tcPr>
          <w:p>
            <w:pPr>
              <w:spacing w:after="0"/>
              <w:rPr>
                <w:sz w:val="2"/>
                <w:szCs w:val="2"/>
                <w:color w:val="auto"/>
              </w:rPr>
            </w:pPr>
          </w:p>
        </w:tc>
        <w:tc>
          <w:tcPr>
            <w:tcW w:w="1540" w:type="dxa"/>
            <w:vAlign w:val="bottom"/>
          </w:tcPr>
          <w:p>
            <w:pPr>
              <w:spacing w:after="0"/>
              <w:rPr>
                <w:sz w:val="2"/>
                <w:szCs w:val="2"/>
                <w:color w:val="auto"/>
              </w:rPr>
            </w:pPr>
          </w:p>
        </w:tc>
      </w:tr>
      <w:tr>
        <w:trPr>
          <w:trHeight w:val="250"/>
        </w:trPr>
        <w:tc>
          <w:tcPr>
            <w:tcW w:w="768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Contract Liabilities</w:t>
            </w:r>
          </w:p>
        </w:tc>
        <w:tc>
          <w:tcPr>
            <w:tcW w:w="260" w:type="dxa"/>
            <w:vAlign w:val="bottom"/>
            <w:tcBorders>
              <w:bottom w:val="single" w:sz="8" w:color="CCEEFF"/>
            </w:tcBorders>
            <w:shd w:val="clear" w:color="auto" w:fill="CCEEFF"/>
          </w:tcPr>
          <w:p>
            <w:pPr>
              <w:spacing w:after="0"/>
              <w:rPr>
                <w:sz w:val="21"/>
                <w:szCs w:val="21"/>
                <w:color w:val="auto"/>
              </w:rPr>
            </w:pPr>
          </w:p>
        </w:tc>
        <w:tc>
          <w:tcPr>
            <w:tcW w:w="14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158,758</w:t>
            </w:r>
          </w:p>
        </w:tc>
        <w:tc>
          <w:tcPr>
            <w:tcW w:w="34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5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w:t>
            </w:r>
          </w:p>
        </w:tc>
      </w:tr>
      <w:tr>
        <w:trPr>
          <w:trHeight w:val="243"/>
        </w:trPr>
        <w:tc>
          <w:tcPr>
            <w:tcW w:w="7680" w:type="dxa"/>
            <w:vAlign w:val="bottom"/>
          </w:tcPr>
          <w:p>
            <w:pPr>
              <w:ind w:left="380"/>
              <w:spacing w:after="0"/>
              <w:rPr>
                <w:sz w:val="20"/>
                <w:szCs w:val="20"/>
                <w:color w:val="auto"/>
              </w:rPr>
            </w:pPr>
            <w:r>
              <w:rPr>
                <w:rFonts w:ascii="Arial" w:cs="Arial" w:eastAsia="Arial" w:hAnsi="Arial"/>
                <w:sz w:val="18"/>
                <w:szCs w:val="18"/>
                <w:color w:val="auto"/>
              </w:rPr>
              <w:t>Other accrued liabilities</w:t>
            </w:r>
          </w:p>
        </w:tc>
        <w:tc>
          <w:tcPr>
            <w:tcW w:w="260" w:type="dxa"/>
            <w:vAlign w:val="bottom"/>
          </w:tcPr>
          <w:p>
            <w:pPr>
              <w:spacing w:after="0"/>
              <w:rPr>
                <w:sz w:val="21"/>
                <w:szCs w:val="21"/>
                <w:color w:val="auto"/>
              </w:rPr>
            </w:pPr>
          </w:p>
        </w:tc>
        <w:tc>
          <w:tcPr>
            <w:tcW w:w="1780" w:type="dxa"/>
            <w:vAlign w:val="bottom"/>
            <w:gridSpan w:val="2"/>
          </w:tcPr>
          <w:p>
            <w:pPr>
              <w:jc w:val="right"/>
              <w:ind w:right="44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21"/>
                <w:szCs w:val="21"/>
                <w:color w:val="auto"/>
              </w:rPr>
            </w:pPr>
          </w:p>
        </w:tc>
        <w:tc>
          <w:tcPr>
            <w:tcW w:w="1540" w:type="dxa"/>
            <w:vAlign w:val="bottom"/>
          </w:tcPr>
          <w:p>
            <w:pPr>
              <w:jc w:val="right"/>
              <w:ind w:right="10"/>
              <w:spacing w:after="0"/>
              <w:rPr>
                <w:sz w:val="20"/>
                <w:szCs w:val="20"/>
                <w:color w:val="auto"/>
              </w:rPr>
            </w:pPr>
            <w:r>
              <w:rPr>
                <w:rFonts w:ascii="Arial" w:cs="Arial" w:eastAsia="Arial" w:hAnsi="Arial"/>
                <w:sz w:val="18"/>
                <w:szCs w:val="18"/>
                <w:color w:val="auto"/>
              </w:rPr>
              <w:t>17,920</w:t>
            </w:r>
          </w:p>
        </w:tc>
      </w:tr>
      <w:tr>
        <w:trPr>
          <w:trHeight w:val="27"/>
        </w:trPr>
        <w:tc>
          <w:tcPr>
            <w:tcW w:w="768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440" w:type="dxa"/>
            <w:vAlign w:val="bottom"/>
            <w:tcBorders>
              <w:bottom w:val="single" w:sz="8" w:color="auto"/>
            </w:tcBorders>
          </w:tcPr>
          <w:p>
            <w:pPr>
              <w:spacing w:after="0"/>
              <w:rPr>
                <w:sz w:val="2"/>
                <w:szCs w:val="2"/>
                <w:color w:val="auto"/>
              </w:rPr>
            </w:pPr>
          </w:p>
        </w:tc>
        <w:tc>
          <w:tcPr>
            <w:tcW w:w="34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540" w:type="dxa"/>
            <w:vAlign w:val="bottom"/>
            <w:tcBorders>
              <w:bottom w:val="single" w:sz="8" w:color="auto"/>
            </w:tcBorders>
          </w:tcPr>
          <w:p>
            <w:pPr>
              <w:spacing w:after="0"/>
              <w:rPr>
                <w:sz w:val="2"/>
                <w:szCs w:val="2"/>
                <w:color w:val="auto"/>
              </w:rPr>
            </w:pPr>
          </w:p>
        </w:tc>
      </w:tr>
      <w:tr>
        <w:trPr>
          <w:trHeight w:val="244"/>
        </w:trPr>
        <w:tc>
          <w:tcPr>
            <w:tcW w:w="768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Total current liabilities</w:t>
            </w:r>
          </w:p>
        </w:tc>
        <w:tc>
          <w:tcPr>
            <w:tcW w:w="260" w:type="dxa"/>
            <w:vAlign w:val="bottom"/>
            <w:tcBorders>
              <w:bottom w:val="single" w:sz="8" w:color="CCEEFF"/>
            </w:tcBorders>
            <w:shd w:val="clear" w:color="auto" w:fill="CCEEFF"/>
          </w:tcPr>
          <w:p>
            <w:pPr>
              <w:spacing w:after="0"/>
              <w:rPr>
                <w:sz w:val="21"/>
                <w:szCs w:val="21"/>
                <w:color w:val="auto"/>
              </w:rPr>
            </w:pPr>
          </w:p>
        </w:tc>
        <w:tc>
          <w:tcPr>
            <w:tcW w:w="14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1,622,568</w:t>
            </w:r>
          </w:p>
        </w:tc>
        <w:tc>
          <w:tcPr>
            <w:tcW w:w="34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5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1,436,378</w:t>
            </w:r>
          </w:p>
        </w:tc>
      </w:tr>
      <w:tr>
        <w:trPr>
          <w:trHeight w:val="243"/>
        </w:trPr>
        <w:tc>
          <w:tcPr>
            <w:tcW w:w="7680" w:type="dxa"/>
            <w:vAlign w:val="bottom"/>
          </w:tcPr>
          <w:p>
            <w:pPr>
              <w:ind w:left="40"/>
              <w:spacing w:after="0"/>
              <w:rPr>
                <w:sz w:val="20"/>
                <w:szCs w:val="20"/>
                <w:color w:val="auto"/>
              </w:rPr>
            </w:pPr>
            <w:r>
              <w:rPr>
                <w:rFonts w:ascii="Arial" w:cs="Arial" w:eastAsia="Arial" w:hAnsi="Arial"/>
                <w:sz w:val="18"/>
                <w:szCs w:val="18"/>
                <w:color w:val="auto"/>
              </w:rPr>
              <w:t>Deferred rent</w:t>
            </w:r>
          </w:p>
        </w:tc>
        <w:tc>
          <w:tcPr>
            <w:tcW w:w="260" w:type="dxa"/>
            <w:vAlign w:val="bottom"/>
          </w:tcPr>
          <w:p>
            <w:pPr>
              <w:spacing w:after="0"/>
              <w:rPr>
                <w:sz w:val="21"/>
                <w:szCs w:val="21"/>
                <w:color w:val="auto"/>
              </w:rPr>
            </w:pPr>
          </w:p>
        </w:tc>
        <w:tc>
          <w:tcPr>
            <w:tcW w:w="1780" w:type="dxa"/>
            <w:vAlign w:val="bottom"/>
            <w:gridSpan w:val="2"/>
          </w:tcPr>
          <w:p>
            <w:pPr>
              <w:jc w:val="right"/>
              <w:ind w:right="44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21"/>
                <w:szCs w:val="21"/>
                <w:color w:val="auto"/>
              </w:rPr>
            </w:pPr>
          </w:p>
        </w:tc>
        <w:tc>
          <w:tcPr>
            <w:tcW w:w="1540" w:type="dxa"/>
            <w:vAlign w:val="bottom"/>
          </w:tcPr>
          <w:p>
            <w:pPr>
              <w:jc w:val="right"/>
              <w:ind w:right="10"/>
              <w:spacing w:after="0"/>
              <w:rPr>
                <w:sz w:val="20"/>
                <w:szCs w:val="20"/>
                <w:color w:val="auto"/>
              </w:rPr>
            </w:pPr>
            <w:r>
              <w:rPr>
                <w:rFonts w:ascii="Arial" w:cs="Arial" w:eastAsia="Arial" w:hAnsi="Arial"/>
                <w:sz w:val="18"/>
                <w:szCs w:val="18"/>
                <w:color w:val="auto"/>
              </w:rPr>
              <w:t>2,271</w:t>
            </w:r>
          </w:p>
        </w:tc>
      </w:tr>
      <w:tr>
        <w:trPr>
          <w:trHeight w:val="27"/>
        </w:trPr>
        <w:tc>
          <w:tcPr>
            <w:tcW w:w="768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440" w:type="dxa"/>
            <w:vAlign w:val="bottom"/>
            <w:tcBorders>
              <w:bottom w:val="single" w:sz="8" w:color="auto"/>
            </w:tcBorders>
          </w:tcPr>
          <w:p>
            <w:pPr>
              <w:spacing w:after="0"/>
              <w:rPr>
                <w:sz w:val="2"/>
                <w:szCs w:val="2"/>
                <w:color w:val="auto"/>
              </w:rPr>
            </w:pPr>
          </w:p>
        </w:tc>
        <w:tc>
          <w:tcPr>
            <w:tcW w:w="34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540" w:type="dxa"/>
            <w:vAlign w:val="bottom"/>
            <w:tcBorders>
              <w:bottom w:val="single" w:sz="8" w:color="auto"/>
            </w:tcBorders>
          </w:tcPr>
          <w:p>
            <w:pPr>
              <w:spacing w:after="0"/>
              <w:rPr>
                <w:sz w:val="2"/>
                <w:szCs w:val="2"/>
                <w:color w:val="auto"/>
              </w:rPr>
            </w:pPr>
          </w:p>
        </w:tc>
      </w:tr>
      <w:tr>
        <w:trPr>
          <w:trHeight w:val="257"/>
        </w:trPr>
        <w:tc>
          <w:tcPr>
            <w:tcW w:w="76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Total liabilities of the disposal group</w:t>
            </w:r>
          </w:p>
        </w:tc>
        <w:tc>
          <w:tcPr>
            <w:tcW w:w="260" w:type="dxa"/>
            <w:vAlign w:val="bottom"/>
            <w:tcBorders>
              <w:bottom w:val="single" w:sz="8" w:color="auto"/>
            </w:tcBorders>
            <w:shd w:val="clear" w:color="auto" w:fill="CCEEFF"/>
          </w:tcPr>
          <w:p>
            <w:pPr>
              <w:jc w:val="right"/>
              <w:ind w:right="50"/>
              <w:spacing w:after="0"/>
              <w:rPr>
                <w:sz w:val="20"/>
                <w:szCs w:val="20"/>
                <w:color w:val="auto"/>
              </w:rPr>
            </w:pPr>
            <w:r>
              <w:rPr>
                <w:rFonts w:ascii="Arial" w:cs="Arial" w:eastAsia="Arial" w:hAnsi="Arial"/>
                <w:sz w:val="18"/>
                <w:szCs w:val="18"/>
                <w:color w:val="auto"/>
                <w:w w:val="99"/>
              </w:rPr>
              <w:t>$</w:t>
            </w:r>
          </w:p>
        </w:tc>
        <w:tc>
          <w:tcPr>
            <w:tcW w:w="144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1,622,568</w:t>
            </w:r>
          </w:p>
        </w:tc>
        <w:tc>
          <w:tcPr>
            <w:tcW w:w="340" w:type="dxa"/>
            <w:vAlign w:val="bottom"/>
            <w:tcBorders>
              <w:bottom w:val="single" w:sz="8" w:color="CCEEFF"/>
            </w:tcBorders>
            <w:shd w:val="clear" w:color="auto" w:fill="CCEEFF"/>
          </w:tcPr>
          <w:p>
            <w:pPr>
              <w:spacing w:after="0"/>
              <w:rPr>
                <w:sz w:val="22"/>
                <w:szCs w:val="22"/>
                <w:color w:val="auto"/>
              </w:rPr>
            </w:pPr>
          </w:p>
        </w:tc>
        <w:tc>
          <w:tcPr>
            <w:tcW w:w="1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54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1,438,649</w:t>
            </w:r>
          </w:p>
        </w:tc>
      </w:tr>
      <w:tr>
        <w:trPr>
          <w:trHeight w:val="20"/>
        </w:trPr>
        <w:tc>
          <w:tcPr>
            <w:tcW w:w="768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440" w:type="dxa"/>
            <w:vAlign w:val="bottom"/>
            <w:tcBorders>
              <w:bottom w:val="single" w:sz="8" w:color="auto"/>
            </w:tcBorders>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540" w:type="dxa"/>
            <w:vAlign w:val="bottom"/>
            <w:tcBorders>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342" w:lineRule="exact"/>
        <w:rPr>
          <w:sz w:val="20"/>
          <w:szCs w:val="20"/>
          <w:color w:val="auto"/>
        </w:rPr>
      </w:pPr>
    </w:p>
    <w:p>
      <w:pPr>
        <w:ind w:right="400"/>
        <w:spacing w:after="0" w:line="277" w:lineRule="auto"/>
        <w:rPr>
          <w:sz w:val="20"/>
          <w:szCs w:val="20"/>
          <w:color w:val="auto"/>
        </w:rPr>
      </w:pPr>
      <w:r>
        <w:rPr>
          <w:rFonts w:ascii="Arial" w:cs="Arial" w:eastAsia="Arial" w:hAnsi="Arial"/>
          <w:sz w:val="18"/>
          <w:szCs w:val="18"/>
          <w:color w:val="auto"/>
        </w:rPr>
        <w:t>The following schedule sets forth the revenues and expenses associated with the Opto operations as well as the employees and other costs expected to be assumed by the buyer for the three and six months ended June 30, 2018 and 2017.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66040</wp:posOffset>
            </wp:positionV>
            <wp:extent cx="7246620" cy="17145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7246620" cy="171450"/>
                    </a:xfrm>
                    <a:prstGeom prst="rect">
                      <a:avLst/>
                    </a:prstGeom>
                    <a:noFill/>
                  </pic:spPr>
                </pic:pic>
              </a:graphicData>
            </a:graphic>
          </wp:anchor>
        </w:drawing>
      </w:r>
    </w:p>
    <w:p>
      <w:pPr>
        <w:sectPr>
          <w:pgSz w:w="11900" w:h="16838" w:orient="portrait"/>
          <w:cols w:equalWidth="0" w:num="1">
            <w:col w:w="11420"/>
          </w:cols>
          <w:pgMar w:left="240" w:top="118" w:right="239" w:bottom="1440" w:gutter="0" w:footer="0" w:header="0"/>
        </w:sectPr>
      </w:pPr>
    </w:p>
    <w:p>
      <w:pPr>
        <w:spacing w:after="0" w:line="176" w:lineRule="exact"/>
        <w:rPr>
          <w:sz w:val="20"/>
          <w:szCs w:val="20"/>
          <w:color w:val="auto"/>
        </w:rPr>
      </w:pPr>
    </w:p>
    <w:p>
      <w:pPr>
        <w:ind w:left="5520"/>
        <w:spacing w:after="0"/>
        <w:rPr>
          <w:sz w:val="20"/>
          <w:szCs w:val="20"/>
          <w:color w:val="auto"/>
        </w:rPr>
      </w:pPr>
      <w:r>
        <w:rPr>
          <w:rFonts w:ascii="Arial" w:cs="Arial" w:eastAsia="Arial" w:hAnsi="Arial"/>
          <w:sz w:val="13"/>
          <w:szCs w:val="13"/>
          <w:b w:val="1"/>
          <w:bCs w:val="1"/>
          <w:color w:val="auto"/>
        </w:rPr>
        <w:t>Three Months Ended June 30,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3058160</wp:posOffset>
            </wp:positionH>
            <wp:positionV relativeFrom="paragraph">
              <wp:posOffset>31115</wp:posOffset>
            </wp:positionV>
            <wp:extent cx="2049780" cy="889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2049780" cy="8890"/>
                    </a:xfrm>
                    <a:prstGeom prst="rect">
                      <a:avLst/>
                    </a:prstGeom>
                    <a:noFill/>
                  </pic:spPr>
                </pic:pic>
              </a:graphicData>
            </a:graphic>
          </wp:anchor>
        </w:drawing>
      </w:r>
    </w:p>
    <w:p>
      <w:pPr>
        <w:spacing w:after="0" w:line="114" w:lineRule="exact"/>
        <w:rPr>
          <w:sz w:val="20"/>
          <w:szCs w:val="20"/>
          <w:color w:val="auto"/>
        </w:rPr>
      </w:pPr>
    </w:p>
    <w:p>
      <w:pPr>
        <w:ind w:left="5420"/>
        <w:spacing w:after="0"/>
        <w:tabs>
          <w:tab w:leader="none" w:pos="7140" w:val="left"/>
        </w:tabs>
        <w:rPr>
          <w:sz w:val="20"/>
          <w:szCs w:val="20"/>
          <w:color w:val="auto"/>
        </w:rPr>
      </w:pPr>
      <w:r>
        <w:rPr>
          <w:rFonts w:ascii="Arial" w:cs="Arial" w:eastAsia="Arial" w:hAnsi="Arial"/>
          <w:sz w:val="12"/>
          <w:szCs w:val="12"/>
          <w:b w:val="1"/>
          <w:bCs w:val="1"/>
          <w:color w:val="auto"/>
        </w:rPr>
        <w:t>2018</w:t>
      </w:r>
      <w:r>
        <w:rPr>
          <w:sz w:val="20"/>
          <w:szCs w:val="20"/>
          <w:color w:val="auto"/>
        </w:rPr>
        <w:tab/>
      </w:r>
      <w:r>
        <w:rPr>
          <w:rFonts w:ascii="Arial" w:cs="Arial" w:eastAsia="Arial" w:hAnsi="Arial"/>
          <w:sz w:val="12"/>
          <w:szCs w:val="12"/>
          <w:b w:val="1"/>
          <w:bCs w:val="1"/>
          <w:color w:val="auto"/>
        </w:rPr>
        <w:t>2017</w:t>
      </w:r>
    </w:p>
    <w:p>
      <w:pPr>
        <w:spacing w:after="0" w:line="20" w:lineRule="exact"/>
        <w:rPr>
          <w:sz w:val="20"/>
          <w:szCs w:val="20"/>
          <w:color w:val="auto"/>
        </w:rPr>
      </w:pPr>
      <w:r>
        <w:rPr>
          <w:sz w:val="20"/>
          <w:szCs w:val="20"/>
          <w:color w:val="auto"/>
        </w:rPr>
        <w:br w:type="column"/>
      </w:r>
    </w:p>
    <w:p>
      <w:pPr>
        <w:spacing w:after="0" w:line="156" w:lineRule="exact"/>
        <w:rPr>
          <w:sz w:val="20"/>
          <w:szCs w:val="20"/>
          <w:color w:val="auto"/>
        </w:rPr>
      </w:pPr>
    </w:p>
    <w:p>
      <w:pPr>
        <w:ind w:left="160"/>
        <w:spacing w:after="0"/>
        <w:rPr>
          <w:sz w:val="20"/>
          <w:szCs w:val="20"/>
          <w:color w:val="auto"/>
        </w:rPr>
      </w:pPr>
      <w:r>
        <w:rPr>
          <w:rFonts w:ascii="Arial" w:cs="Arial" w:eastAsia="Arial" w:hAnsi="Arial"/>
          <w:sz w:val="13"/>
          <w:szCs w:val="13"/>
          <w:b w:val="1"/>
          <w:bCs w:val="1"/>
          <w:color w:val="auto"/>
        </w:rPr>
        <w:t>Six Months Ended June 30,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-380365</wp:posOffset>
            </wp:positionH>
            <wp:positionV relativeFrom="paragraph">
              <wp:posOffset>31115</wp:posOffset>
            </wp:positionV>
            <wp:extent cx="2006600" cy="889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2006600" cy="8890"/>
                    </a:xfrm>
                    <a:prstGeom prst="rect">
                      <a:avLst/>
                    </a:prstGeom>
                    <a:noFill/>
                  </pic:spPr>
                </pic:pic>
              </a:graphicData>
            </a:graphic>
          </wp:anchor>
        </w:drawing>
      </w:r>
    </w:p>
    <w:p>
      <w:pPr>
        <w:spacing w:after="0" w:line="114" w:lineRule="exact"/>
        <w:rPr>
          <w:sz w:val="20"/>
          <w:szCs w:val="20"/>
          <w:color w:val="auto"/>
        </w:rPr>
      </w:pPr>
    </w:p>
    <w:p>
      <w:pPr>
        <w:spacing w:after="0"/>
        <w:tabs>
          <w:tab w:leader="none" w:pos="1660" w:val="left"/>
        </w:tabs>
        <w:rPr>
          <w:sz w:val="20"/>
          <w:szCs w:val="20"/>
          <w:color w:val="auto"/>
        </w:rPr>
      </w:pPr>
      <w:r>
        <w:rPr>
          <w:rFonts w:ascii="Arial" w:cs="Arial" w:eastAsia="Arial" w:hAnsi="Arial"/>
          <w:sz w:val="12"/>
          <w:szCs w:val="12"/>
          <w:b w:val="1"/>
          <w:bCs w:val="1"/>
          <w:color w:val="auto"/>
        </w:rPr>
        <w:t>2018</w:t>
      </w:r>
      <w:r>
        <w:rPr>
          <w:sz w:val="20"/>
          <w:szCs w:val="20"/>
          <w:color w:val="auto"/>
        </w:rPr>
        <w:tab/>
      </w:r>
      <w:r>
        <w:rPr>
          <w:rFonts w:ascii="Arial" w:cs="Arial" w:eastAsia="Arial" w:hAnsi="Arial"/>
          <w:sz w:val="12"/>
          <w:szCs w:val="12"/>
          <w:b w:val="1"/>
          <w:bCs w:val="1"/>
          <w:color w:val="auto"/>
        </w:rPr>
        <w:t>2017</w:t>
      </w:r>
    </w:p>
    <w:p>
      <w:pPr>
        <w:spacing w:after="0" w:line="48" w:lineRule="exact"/>
        <w:rPr>
          <w:sz w:val="20"/>
          <w:szCs w:val="20"/>
          <w:color w:val="auto"/>
        </w:rPr>
      </w:pPr>
    </w:p>
    <w:p>
      <w:pPr>
        <w:sectPr>
          <w:pgSz w:w="11900" w:h="16838" w:orient="portrait"/>
          <w:cols w:equalWidth="0" w:num="2">
            <w:col w:w="8140" w:space="720"/>
            <w:col w:w="2560"/>
          </w:cols>
          <w:pgMar w:left="240" w:top="118" w:right="239" w:bottom="1440" w:gutter="0" w:footer="0" w:header="0"/>
          <w:type w:val="continuous"/>
        </w:sectPr>
      </w:pPr>
    </w:p>
    <w:tbl>
      <w:tblPr>
        <w:tblLayout w:type="fixed"/>
        <w:tblInd w:w="0" w:type="dxa"/>
        <w:tblCellMar>
          <w:top w:w="0" w:type="dxa"/>
          <w:left w:w="0" w:type="dxa"/>
          <w:bottom w:w="0" w:type="dxa"/>
          <w:right w:w="0" w:type="dxa"/>
        </w:tblCellMar>
      </w:tblPr>
      <w:tr>
        <w:trPr>
          <w:trHeight w:val="256"/>
        </w:trPr>
        <w:tc>
          <w:tcPr>
            <w:tcW w:w="4820" w:type="dxa"/>
            <w:vAlign w:val="bottom"/>
            <w:tcBorders>
              <w:top w:val="single" w:sz="8" w:color="CCEEFF"/>
              <w:bottom w:val="single" w:sz="8" w:color="CCEEFF"/>
            </w:tcBorders>
            <w:shd w:val="clear" w:color="auto" w:fill="CCEEFF"/>
          </w:tcPr>
          <w:p>
            <w:pPr>
              <w:spacing w:after="0"/>
              <w:rPr>
                <w:sz w:val="22"/>
                <w:szCs w:val="22"/>
                <w:color w:val="auto"/>
              </w:rPr>
            </w:pPr>
          </w:p>
        </w:tc>
        <w:tc>
          <w:tcPr>
            <w:tcW w:w="400" w:type="dxa"/>
            <w:vAlign w:val="bottom"/>
            <w:tcBorders>
              <w:top w:val="single" w:sz="8" w:color="auto"/>
              <w:bottom w:val="single" w:sz="8" w:color="CCEEFF"/>
            </w:tcBorders>
            <w:shd w:val="clear" w:color="auto" w:fill="CCEEFF"/>
          </w:tcPr>
          <w:p>
            <w:pPr>
              <w:spacing w:after="0"/>
              <w:rPr>
                <w:sz w:val="22"/>
                <w:szCs w:val="22"/>
                <w:color w:val="auto"/>
              </w:rPr>
            </w:pPr>
          </w:p>
        </w:tc>
        <w:tc>
          <w:tcPr>
            <w:tcW w:w="1820" w:type="dxa"/>
            <w:vAlign w:val="bottom"/>
            <w:tcBorders>
              <w:top w:val="single" w:sz="8" w:color="auto"/>
              <w:bottom w:val="single" w:sz="8" w:color="CCEEFF"/>
            </w:tcBorders>
            <w:gridSpan w:val="3"/>
            <w:shd w:val="clear" w:color="auto" w:fill="CCEEFF"/>
          </w:tcPr>
          <w:p>
            <w:pPr>
              <w:jc w:val="right"/>
              <w:ind w:right="90"/>
              <w:spacing w:after="0"/>
              <w:rPr>
                <w:sz w:val="20"/>
                <w:szCs w:val="20"/>
                <w:color w:val="auto"/>
              </w:rPr>
            </w:pPr>
            <w:r>
              <w:rPr>
                <w:rFonts w:ascii="Arial" w:cs="Arial" w:eastAsia="Arial" w:hAnsi="Arial"/>
                <w:sz w:val="18"/>
                <w:szCs w:val="18"/>
                <w:color w:val="auto"/>
              </w:rPr>
              <w:t>(unaudited)</w:t>
            </w:r>
          </w:p>
        </w:tc>
        <w:tc>
          <w:tcPr>
            <w:tcW w:w="1000" w:type="dxa"/>
            <w:vAlign w:val="bottom"/>
            <w:tcBorders>
              <w:top w:val="single" w:sz="8" w:color="auto"/>
              <w:bottom w:val="single" w:sz="8" w:color="CCEEFF"/>
            </w:tcBorders>
            <w:shd w:val="clear" w:color="auto" w:fill="CCEEFF"/>
          </w:tcPr>
          <w:p>
            <w:pPr>
              <w:spacing w:after="0"/>
              <w:rPr>
                <w:sz w:val="22"/>
                <w:szCs w:val="22"/>
                <w:color w:val="auto"/>
              </w:rPr>
            </w:pPr>
          </w:p>
        </w:tc>
        <w:tc>
          <w:tcPr>
            <w:tcW w:w="220" w:type="dxa"/>
            <w:vAlign w:val="bottom"/>
            <w:tcBorders>
              <w:top w:val="single" w:sz="8" w:color="CCEEFF"/>
              <w:bottom w:val="single" w:sz="8" w:color="CCEEFF"/>
            </w:tcBorders>
            <w:shd w:val="clear" w:color="auto" w:fill="CCEEFF"/>
          </w:tcPr>
          <w:p>
            <w:pPr>
              <w:spacing w:after="0"/>
              <w:rPr>
                <w:sz w:val="22"/>
                <w:szCs w:val="22"/>
                <w:color w:val="auto"/>
              </w:rPr>
            </w:pPr>
          </w:p>
        </w:tc>
        <w:tc>
          <w:tcPr>
            <w:tcW w:w="380" w:type="dxa"/>
            <w:vAlign w:val="bottom"/>
            <w:tcBorders>
              <w:top w:val="single" w:sz="8" w:color="auto"/>
              <w:bottom w:val="single" w:sz="8" w:color="CCEEFF"/>
            </w:tcBorders>
            <w:shd w:val="clear" w:color="auto" w:fill="CCEEFF"/>
          </w:tcPr>
          <w:p>
            <w:pPr>
              <w:spacing w:after="0"/>
              <w:rPr>
                <w:sz w:val="22"/>
                <w:szCs w:val="22"/>
                <w:color w:val="auto"/>
              </w:rPr>
            </w:pPr>
          </w:p>
        </w:tc>
        <w:tc>
          <w:tcPr>
            <w:tcW w:w="1800" w:type="dxa"/>
            <w:vAlign w:val="bottom"/>
            <w:tcBorders>
              <w:top w:val="single" w:sz="8" w:color="auto"/>
              <w:bottom w:val="single" w:sz="8" w:color="CCEEFF"/>
            </w:tcBorders>
            <w:gridSpan w:val="3"/>
            <w:shd w:val="clear" w:color="auto" w:fill="CCEEFF"/>
          </w:tcPr>
          <w:p>
            <w:pPr>
              <w:jc w:val="right"/>
              <w:ind w:right="90"/>
              <w:spacing w:after="0"/>
              <w:rPr>
                <w:sz w:val="20"/>
                <w:szCs w:val="20"/>
                <w:color w:val="auto"/>
              </w:rPr>
            </w:pPr>
            <w:r>
              <w:rPr>
                <w:rFonts w:ascii="Arial" w:cs="Arial" w:eastAsia="Arial" w:hAnsi="Arial"/>
                <w:sz w:val="18"/>
                <w:szCs w:val="18"/>
                <w:color w:val="auto"/>
              </w:rPr>
              <w:t>(unaudited)</w:t>
            </w:r>
          </w:p>
        </w:tc>
        <w:tc>
          <w:tcPr>
            <w:tcW w:w="980" w:type="dxa"/>
            <w:vAlign w:val="bottom"/>
            <w:tcBorders>
              <w:top w:val="single" w:sz="8" w:color="auto"/>
              <w:bottom w:val="single" w:sz="8" w:color="CCEEFF"/>
            </w:tcBorders>
            <w:shd w:val="clear" w:color="auto" w:fill="CCEEFF"/>
          </w:tcPr>
          <w:p>
            <w:pPr>
              <w:spacing w:after="0"/>
              <w:rPr>
                <w:sz w:val="22"/>
                <w:szCs w:val="22"/>
                <w:color w:val="auto"/>
              </w:rPr>
            </w:pPr>
          </w:p>
        </w:tc>
      </w:tr>
      <w:tr>
        <w:trPr>
          <w:trHeight w:val="243"/>
        </w:trPr>
        <w:tc>
          <w:tcPr>
            <w:tcW w:w="4820" w:type="dxa"/>
            <w:vAlign w:val="bottom"/>
          </w:tcPr>
          <w:p>
            <w:pPr>
              <w:ind w:left="40"/>
              <w:spacing w:after="0"/>
              <w:rPr>
                <w:sz w:val="20"/>
                <w:szCs w:val="20"/>
                <w:color w:val="auto"/>
              </w:rPr>
            </w:pPr>
            <w:r>
              <w:rPr>
                <w:rFonts w:ascii="Arial" w:cs="Arial" w:eastAsia="Arial" w:hAnsi="Arial"/>
                <w:sz w:val="18"/>
                <w:szCs w:val="18"/>
                <w:color w:val="auto"/>
              </w:rPr>
              <w:t>Revenues</w:t>
            </w:r>
          </w:p>
        </w:tc>
        <w:tc>
          <w:tcPr>
            <w:tcW w:w="400" w:type="dxa"/>
            <w:vAlign w:val="bottom"/>
          </w:tcPr>
          <w:p>
            <w:pPr>
              <w:jc w:val="right"/>
              <w:ind w:right="190"/>
              <w:spacing w:after="0"/>
              <w:rPr>
                <w:sz w:val="20"/>
                <w:szCs w:val="20"/>
                <w:color w:val="auto"/>
              </w:rPr>
            </w:pPr>
            <w:r>
              <w:rPr>
                <w:rFonts w:ascii="Arial" w:cs="Arial" w:eastAsia="Arial" w:hAnsi="Arial"/>
                <w:sz w:val="18"/>
                <w:szCs w:val="18"/>
                <w:color w:val="auto"/>
                <w:w w:val="99"/>
              </w:rPr>
              <w:t>$</w:t>
            </w:r>
          </w:p>
        </w:tc>
        <w:tc>
          <w:tcPr>
            <w:tcW w:w="1100" w:type="dxa"/>
            <w:vAlign w:val="bottom"/>
          </w:tcPr>
          <w:p>
            <w:pPr>
              <w:jc w:val="right"/>
              <w:ind w:right="30"/>
              <w:spacing w:after="0"/>
              <w:rPr>
                <w:sz w:val="20"/>
                <w:szCs w:val="20"/>
                <w:color w:val="auto"/>
              </w:rPr>
            </w:pPr>
            <w:r>
              <w:rPr>
                <w:rFonts w:ascii="Arial" w:cs="Arial" w:eastAsia="Arial" w:hAnsi="Arial"/>
                <w:sz w:val="18"/>
                <w:szCs w:val="18"/>
                <w:color w:val="auto"/>
              </w:rPr>
              <w:t>3,849,283</w:t>
            </w:r>
          </w:p>
        </w:tc>
        <w:tc>
          <w:tcPr>
            <w:tcW w:w="240" w:type="dxa"/>
            <w:vAlign w:val="bottom"/>
          </w:tcPr>
          <w:p>
            <w:pPr>
              <w:spacing w:after="0"/>
              <w:rPr>
                <w:sz w:val="21"/>
                <w:szCs w:val="21"/>
                <w:color w:val="auto"/>
              </w:rPr>
            </w:pPr>
          </w:p>
        </w:tc>
        <w:tc>
          <w:tcPr>
            <w:tcW w:w="480" w:type="dxa"/>
            <w:vAlign w:val="bottom"/>
          </w:tcPr>
          <w:p>
            <w:pPr>
              <w:jc w:val="right"/>
              <w:ind w:right="270"/>
              <w:spacing w:after="0"/>
              <w:rPr>
                <w:sz w:val="20"/>
                <w:szCs w:val="20"/>
                <w:color w:val="auto"/>
              </w:rPr>
            </w:pPr>
            <w:r>
              <w:rPr>
                <w:rFonts w:ascii="Arial" w:cs="Arial" w:eastAsia="Arial" w:hAnsi="Arial"/>
                <w:sz w:val="18"/>
                <w:szCs w:val="18"/>
                <w:color w:val="auto"/>
                <w:w w:val="99"/>
              </w:rPr>
              <w:t>$</w:t>
            </w:r>
          </w:p>
        </w:tc>
        <w:tc>
          <w:tcPr>
            <w:tcW w:w="1000" w:type="dxa"/>
            <w:vAlign w:val="bottom"/>
          </w:tcPr>
          <w:p>
            <w:pPr>
              <w:jc w:val="right"/>
              <w:ind w:right="10"/>
              <w:spacing w:after="0"/>
              <w:rPr>
                <w:sz w:val="20"/>
                <w:szCs w:val="20"/>
                <w:color w:val="auto"/>
              </w:rPr>
            </w:pPr>
            <w:r>
              <w:rPr>
                <w:rFonts w:ascii="Arial" w:cs="Arial" w:eastAsia="Arial" w:hAnsi="Arial"/>
                <w:sz w:val="18"/>
                <w:szCs w:val="18"/>
                <w:color w:val="auto"/>
              </w:rPr>
              <w:t>3,010,465</w:t>
            </w:r>
          </w:p>
        </w:tc>
        <w:tc>
          <w:tcPr>
            <w:tcW w:w="220" w:type="dxa"/>
            <w:vAlign w:val="bottom"/>
          </w:tcPr>
          <w:p>
            <w:pPr>
              <w:spacing w:after="0"/>
              <w:rPr>
                <w:sz w:val="21"/>
                <w:szCs w:val="21"/>
                <w:color w:val="auto"/>
              </w:rPr>
            </w:pPr>
          </w:p>
        </w:tc>
        <w:tc>
          <w:tcPr>
            <w:tcW w:w="380" w:type="dxa"/>
            <w:vAlign w:val="bottom"/>
          </w:tcPr>
          <w:p>
            <w:pPr>
              <w:jc w:val="right"/>
              <w:ind w:right="170"/>
              <w:spacing w:after="0"/>
              <w:rPr>
                <w:sz w:val="20"/>
                <w:szCs w:val="20"/>
                <w:color w:val="auto"/>
              </w:rPr>
            </w:pPr>
            <w:r>
              <w:rPr>
                <w:rFonts w:ascii="Arial" w:cs="Arial" w:eastAsia="Arial" w:hAnsi="Arial"/>
                <w:sz w:val="18"/>
                <w:szCs w:val="18"/>
                <w:color w:val="auto"/>
                <w:w w:val="99"/>
              </w:rPr>
              <w:t>$</w:t>
            </w:r>
          </w:p>
        </w:tc>
        <w:tc>
          <w:tcPr>
            <w:tcW w:w="1100" w:type="dxa"/>
            <w:vAlign w:val="bottom"/>
          </w:tcPr>
          <w:p>
            <w:pPr>
              <w:jc w:val="right"/>
              <w:ind w:right="30"/>
              <w:spacing w:after="0"/>
              <w:rPr>
                <w:sz w:val="20"/>
                <w:szCs w:val="20"/>
                <w:color w:val="auto"/>
              </w:rPr>
            </w:pPr>
            <w:r>
              <w:rPr>
                <w:rFonts w:ascii="Arial" w:cs="Arial" w:eastAsia="Arial" w:hAnsi="Arial"/>
                <w:sz w:val="18"/>
                <w:szCs w:val="18"/>
                <w:color w:val="auto"/>
              </w:rPr>
              <w:t>7,273,925</w:t>
            </w:r>
          </w:p>
        </w:tc>
        <w:tc>
          <w:tcPr>
            <w:tcW w:w="200" w:type="dxa"/>
            <w:vAlign w:val="bottom"/>
          </w:tcPr>
          <w:p>
            <w:pPr>
              <w:spacing w:after="0"/>
              <w:rPr>
                <w:sz w:val="21"/>
                <w:szCs w:val="21"/>
                <w:color w:val="auto"/>
              </w:rPr>
            </w:pPr>
          </w:p>
        </w:tc>
        <w:tc>
          <w:tcPr>
            <w:tcW w:w="500" w:type="dxa"/>
            <w:vAlign w:val="bottom"/>
          </w:tcPr>
          <w:p>
            <w:pPr>
              <w:jc w:val="right"/>
              <w:ind w:right="290"/>
              <w:spacing w:after="0"/>
              <w:rPr>
                <w:sz w:val="20"/>
                <w:szCs w:val="20"/>
                <w:color w:val="auto"/>
              </w:rPr>
            </w:pPr>
            <w:r>
              <w:rPr>
                <w:rFonts w:ascii="Arial" w:cs="Arial" w:eastAsia="Arial" w:hAnsi="Arial"/>
                <w:sz w:val="18"/>
                <w:szCs w:val="18"/>
                <w:color w:val="auto"/>
                <w:w w:val="99"/>
              </w:rPr>
              <w:t>$</w:t>
            </w:r>
          </w:p>
        </w:tc>
        <w:tc>
          <w:tcPr>
            <w:tcW w:w="980" w:type="dxa"/>
            <w:vAlign w:val="bottom"/>
          </w:tcPr>
          <w:p>
            <w:pPr>
              <w:jc w:val="right"/>
              <w:ind w:right="10"/>
              <w:spacing w:after="0"/>
              <w:rPr>
                <w:sz w:val="20"/>
                <w:szCs w:val="20"/>
                <w:color w:val="auto"/>
              </w:rPr>
            </w:pPr>
            <w:r>
              <w:rPr>
                <w:rFonts w:ascii="Arial" w:cs="Arial" w:eastAsia="Arial" w:hAnsi="Arial"/>
                <w:sz w:val="18"/>
                <w:szCs w:val="18"/>
                <w:color w:val="auto"/>
              </w:rPr>
              <w:t>6,462,998</w:t>
            </w:r>
          </w:p>
        </w:tc>
      </w:tr>
      <w:tr>
        <w:trPr>
          <w:trHeight w:val="27"/>
        </w:trPr>
        <w:tc>
          <w:tcPr>
            <w:tcW w:w="4820" w:type="dxa"/>
            <w:vAlign w:val="bottom"/>
          </w:tcPr>
          <w:p>
            <w:pPr>
              <w:spacing w:after="0"/>
              <w:rPr>
                <w:sz w:val="2"/>
                <w:szCs w:val="2"/>
                <w:color w:val="auto"/>
              </w:rPr>
            </w:pPr>
          </w:p>
        </w:tc>
        <w:tc>
          <w:tcPr>
            <w:tcW w:w="400" w:type="dxa"/>
            <w:vAlign w:val="bottom"/>
          </w:tcPr>
          <w:p>
            <w:pPr>
              <w:spacing w:after="0"/>
              <w:rPr>
                <w:sz w:val="2"/>
                <w:szCs w:val="2"/>
                <w:color w:val="auto"/>
              </w:rPr>
            </w:pPr>
          </w:p>
        </w:tc>
        <w:tc>
          <w:tcPr>
            <w:tcW w:w="1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480" w:type="dxa"/>
            <w:vAlign w:val="bottom"/>
          </w:tcPr>
          <w:p>
            <w:pPr>
              <w:spacing w:after="0"/>
              <w:rPr>
                <w:sz w:val="2"/>
                <w:szCs w:val="2"/>
                <w:color w:val="auto"/>
              </w:rPr>
            </w:pPr>
          </w:p>
        </w:tc>
        <w:tc>
          <w:tcPr>
            <w:tcW w:w="1000" w:type="dxa"/>
            <w:vAlign w:val="bottom"/>
          </w:tcPr>
          <w:p>
            <w:pPr>
              <w:spacing w:after="0"/>
              <w:rPr>
                <w:sz w:val="2"/>
                <w:szCs w:val="2"/>
                <w:color w:val="auto"/>
              </w:rPr>
            </w:pPr>
          </w:p>
        </w:tc>
        <w:tc>
          <w:tcPr>
            <w:tcW w:w="220" w:type="dxa"/>
            <w:vAlign w:val="bottom"/>
          </w:tcPr>
          <w:p>
            <w:pPr>
              <w:spacing w:after="0"/>
              <w:rPr>
                <w:sz w:val="2"/>
                <w:szCs w:val="2"/>
                <w:color w:val="auto"/>
              </w:rPr>
            </w:pPr>
          </w:p>
        </w:tc>
        <w:tc>
          <w:tcPr>
            <w:tcW w:w="380" w:type="dxa"/>
            <w:vAlign w:val="bottom"/>
          </w:tcPr>
          <w:p>
            <w:pPr>
              <w:spacing w:after="0"/>
              <w:rPr>
                <w:sz w:val="2"/>
                <w:szCs w:val="2"/>
                <w:color w:val="auto"/>
              </w:rPr>
            </w:pPr>
          </w:p>
        </w:tc>
        <w:tc>
          <w:tcPr>
            <w:tcW w:w="1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500" w:type="dxa"/>
            <w:vAlign w:val="bottom"/>
          </w:tcPr>
          <w:p>
            <w:pPr>
              <w:spacing w:after="0"/>
              <w:rPr>
                <w:sz w:val="2"/>
                <w:szCs w:val="2"/>
                <w:color w:val="auto"/>
              </w:rPr>
            </w:pPr>
          </w:p>
        </w:tc>
        <w:tc>
          <w:tcPr>
            <w:tcW w:w="980" w:type="dxa"/>
            <w:vAlign w:val="bottom"/>
          </w:tcPr>
          <w:p>
            <w:pPr>
              <w:spacing w:after="0"/>
              <w:rPr>
                <w:sz w:val="2"/>
                <w:szCs w:val="2"/>
                <w:color w:val="auto"/>
              </w:rPr>
            </w:pPr>
          </w:p>
        </w:tc>
      </w:tr>
      <w:tr>
        <w:trPr>
          <w:trHeight w:val="270"/>
        </w:trPr>
        <w:tc>
          <w:tcPr>
            <w:tcW w:w="48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Cost of revenues</w:t>
            </w:r>
          </w:p>
        </w:tc>
        <w:tc>
          <w:tcPr>
            <w:tcW w:w="400" w:type="dxa"/>
            <w:vAlign w:val="bottom"/>
            <w:tcBorders>
              <w:bottom w:val="single" w:sz="8" w:color="CCEEFF"/>
            </w:tcBorders>
            <w:shd w:val="clear" w:color="auto" w:fill="CCEEFF"/>
          </w:tcPr>
          <w:p>
            <w:pPr>
              <w:spacing w:after="0"/>
              <w:rPr>
                <w:sz w:val="23"/>
                <w:szCs w:val="23"/>
                <w:color w:val="auto"/>
              </w:rPr>
            </w:pPr>
          </w:p>
        </w:tc>
        <w:tc>
          <w:tcPr>
            <w:tcW w:w="110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2,407,467</w:t>
            </w:r>
          </w:p>
        </w:tc>
        <w:tc>
          <w:tcPr>
            <w:tcW w:w="240" w:type="dxa"/>
            <w:vAlign w:val="bottom"/>
            <w:tcBorders>
              <w:bottom w:val="single" w:sz="8" w:color="CCEEFF"/>
            </w:tcBorders>
            <w:shd w:val="clear" w:color="auto" w:fill="CCEEFF"/>
          </w:tcPr>
          <w:p>
            <w:pPr>
              <w:spacing w:after="0"/>
              <w:rPr>
                <w:sz w:val="23"/>
                <w:szCs w:val="23"/>
                <w:color w:val="auto"/>
              </w:rPr>
            </w:pPr>
          </w:p>
        </w:tc>
        <w:tc>
          <w:tcPr>
            <w:tcW w:w="480" w:type="dxa"/>
            <w:vAlign w:val="bottom"/>
            <w:tcBorders>
              <w:bottom w:val="single" w:sz="8" w:color="CCEEFF"/>
            </w:tcBorders>
            <w:shd w:val="clear" w:color="auto" w:fill="CCEEFF"/>
          </w:tcPr>
          <w:p>
            <w:pPr>
              <w:spacing w:after="0"/>
              <w:rPr>
                <w:sz w:val="23"/>
                <w:szCs w:val="23"/>
                <w:color w:val="auto"/>
              </w:rPr>
            </w:pPr>
          </w:p>
        </w:tc>
        <w:tc>
          <w:tcPr>
            <w:tcW w:w="10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1,953,967</w:t>
            </w:r>
          </w:p>
        </w:tc>
        <w:tc>
          <w:tcPr>
            <w:tcW w:w="220" w:type="dxa"/>
            <w:vAlign w:val="bottom"/>
            <w:tcBorders>
              <w:bottom w:val="single" w:sz="8" w:color="CCEEFF"/>
            </w:tcBorders>
            <w:shd w:val="clear" w:color="auto" w:fill="CCEEFF"/>
          </w:tcPr>
          <w:p>
            <w:pPr>
              <w:spacing w:after="0"/>
              <w:rPr>
                <w:sz w:val="23"/>
                <w:szCs w:val="23"/>
                <w:color w:val="auto"/>
              </w:rPr>
            </w:pPr>
          </w:p>
        </w:tc>
        <w:tc>
          <w:tcPr>
            <w:tcW w:w="380" w:type="dxa"/>
            <w:vAlign w:val="bottom"/>
            <w:tcBorders>
              <w:bottom w:val="single" w:sz="8" w:color="CCEEFF"/>
            </w:tcBorders>
            <w:shd w:val="clear" w:color="auto" w:fill="CCEEFF"/>
          </w:tcPr>
          <w:p>
            <w:pPr>
              <w:spacing w:after="0"/>
              <w:rPr>
                <w:sz w:val="23"/>
                <w:szCs w:val="23"/>
                <w:color w:val="auto"/>
              </w:rPr>
            </w:pPr>
          </w:p>
        </w:tc>
        <w:tc>
          <w:tcPr>
            <w:tcW w:w="110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4,645,616</w:t>
            </w:r>
          </w:p>
        </w:tc>
        <w:tc>
          <w:tcPr>
            <w:tcW w:w="200" w:type="dxa"/>
            <w:vAlign w:val="bottom"/>
            <w:tcBorders>
              <w:bottom w:val="single" w:sz="8" w:color="CCEEFF"/>
            </w:tcBorders>
            <w:shd w:val="clear" w:color="auto" w:fill="CCEEFF"/>
          </w:tcPr>
          <w:p>
            <w:pPr>
              <w:spacing w:after="0"/>
              <w:rPr>
                <w:sz w:val="23"/>
                <w:szCs w:val="23"/>
                <w:color w:val="auto"/>
              </w:rPr>
            </w:pPr>
          </w:p>
        </w:tc>
        <w:tc>
          <w:tcPr>
            <w:tcW w:w="500" w:type="dxa"/>
            <w:vAlign w:val="bottom"/>
            <w:tcBorders>
              <w:bottom w:val="single" w:sz="8" w:color="CCEEFF"/>
            </w:tcBorders>
            <w:shd w:val="clear" w:color="auto" w:fill="CCEEFF"/>
          </w:tcPr>
          <w:p>
            <w:pPr>
              <w:spacing w:after="0"/>
              <w:rPr>
                <w:sz w:val="23"/>
                <w:szCs w:val="23"/>
                <w:color w:val="auto"/>
              </w:rPr>
            </w:pPr>
          </w:p>
        </w:tc>
        <w:tc>
          <w:tcPr>
            <w:tcW w:w="9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4,059,829</w:t>
            </w:r>
          </w:p>
        </w:tc>
      </w:tr>
      <w:tr>
        <w:trPr>
          <w:trHeight w:val="237"/>
        </w:trPr>
        <w:tc>
          <w:tcPr>
            <w:tcW w:w="4820" w:type="dxa"/>
            <w:vAlign w:val="bottom"/>
          </w:tcPr>
          <w:p>
            <w:pPr>
              <w:ind w:left="40"/>
              <w:spacing w:after="0"/>
              <w:rPr>
                <w:sz w:val="20"/>
                <w:szCs w:val="20"/>
                <w:color w:val="auto"/>
              </w:rPr>
            </w:pPr>
            <w:r>
              <w:rPr>
                <w:rFonts w:ascii="Arial" w:cs="Arial" w:eastAsia="Arial" w:hAnsi="Arial"/>
                <w:sz w:val="18"/>
                <w:szCs w:val="18"/>
                <w:color w:val="auto"/>
              </w:rPr>
              <w:t>Gross profit</w:t>
            </w:r>
          </w:p>
        </w:tc>
        <w:tc>
          <w:tcPr>
            <w:tcW w:w="400" w:type="dxa"/>
            <w:vAlign w:val="bottom"/>
            <w:tcBorders>
              <w:top w:val="single" w:sz="8" w:color="auto"/>
            </w:tcBorders>
          </w:tcPr>
          <w:p>
            <w:pPr>
              <w:spacing w:after="0"/>
              <w:rPr>
                <w:sz w:val="20"/>
                <w:szCs w:val="20"/>
                <w:color w:val="auto"/>
              </w:rPr>
            </w:pPr>
          </w:p>
        </w:tc>
        <w:tc>
          <w:tcPr>
            <w:tcW w:w="1100" w:type="dxa"/>
            <w:vAlign w:val="bottom"/>
            <w:tcBorders>
              <w:top w:val="single" w:sz="8" w:color="auto"/>
            </w:tcBorders>
          </w:tcPr>
          <w:p>
            <w:pPr>
              <w:jc w:val="right"/>
              <w:ind w:right="30"/>
              <w:spacing w:after="0"/>
              <w:rPr>
                <w:sz w:val="20"/>
                <w:szCs w:val="20"/>
                <w:color w:val="auto"/>
              </w:rPr>
            </w:pPr>
            <w:r>
              <w:rPr>
                <w:rFonts w:ascii="Arial" w:cs="Arial" w:eastAsia="Arial" w:hAnsi="Arial"/>
                <w:sz w:val="18"/>
                <w:szCs w:val="18"/>
                <w:color w:val="auto"/>
              </w:rPr>
              <w:t>1,441,816</w:t>
            </w:r>
          </w:p>
        </w:tc>
        <w:tc>
          <w:tcPr>
            <w:tcW w:w="240" w:type="dxa"/>
            <w:vAlign w:val="bottom"/>
          </w:tcPr>
          <w:p>
            <w:pPr>
              <w:spacing w:after="0"/>
              <w:rPr>
                <w:sz w:val="20"/>
                <w:szCs w:val="20"/>
                <w:color w:val="auto"/>
              </w:rPr>
            </w:pPr>
          </w:p>
        </w:tc>
        <w:tc>
          <w:tcPr>
            <w:tcW w:w="480" w:type="dxa"/>
            <w:vAlign w:val="bottom"/>
            <w:tcBorders>
              <w:top w:val="single" w:sz="8" w:color="auto"/>
            </w:tcBorders>
          </w:tcPr>
          <w:p>
            <w:pPr>
              <w:spacing w:after="0"/>
              <w:rPr>
                <w:sz w:val="20"/>
                <w:szCs w:val="20"/>
                <w:color w:val="auto"/>
              </w:rPr>
            </w:pPr>
          </w:p>
        </w:tc>
        <w:tc>
          <w:tcPr>
            <w:tcW w:w="100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1,056,498</w:t>
            </w:r>
          </w:p>
        </w:tc>
        <w:tc>
          <w:tcPr>
            <w:tcW w:w="220" w:type="dxa"/>
            <w:vAlign w:val="bottom"/>
          </w:tcPr>
          <w:p>
            <w:pPr>
              <w:spacing w:after="0"/>
              <w:rPr>
                <w:sz w:val="20"/>
                <w:szCs w:val="20"/>
                <w:color w:val="auto"/>
              </w:rPr>
            </w:pPr>
          </w:p>
        </w:tc>
        <w:tc>
          <w:tcPr>
            <w:tcW w:w="380" w:type="dxa"/>
            <w:vAlign w:val="bottom"/>
            <w:tcBorders>
              <w:top w:val="single" w:sz="8" w:color="auto"/>
            </w:tcBorders>
          </w:tcPr>
          <w:p>
            <w:pPr>
              <w:spacing w:after="0"/>
              <w:rPr>
                <w:sz w:val="20"/>
                <w:szCs w:val="20"/>
                <w:color w:val="auto"/>
              </w:rPr>
            </w:pPr>
          </w:p>
        </w:tc>
        <w:tc>
          <w:tcPr>
            <w:tcW w:w="1100" w:type="dxa"/>
            <w:vAlign w:val="bottom"/>
            <w:tcBorders>
              <w:top w:val="single" w:sz="8" w:color="auto"/>
            </w:tcBorders>
          </w:tcPr>
          <w:p>
            <w:pPr>
              <w:jc w:val="right"/>
              <w:ind w:right="30"/>
              <w:spacing w:after="0"/>
              <w:rPr>
                <w:sz w:val="20"/>
                <w:szCs w:val="20"/>
                <w:color w:val="auto"/>
              </w:rPr>
            </w:pPr>
            <w:r>
              <w:rPr>
                <w:rFonts w:ascii="Arial" w:cs="Arial" w:eastAsia="Arial" w:hAnsi="Arial"/>
                <w:sz w:val="18"/>
                <w:szCs w:val="18"/>
                <w:color w:val="auto"/>
              </w:rPr>
              <w:t>2,628,309</w:t>
            </w:r>
          </w:p>
        </w:tc>
        <w:tc>
          <w:tcPr>
            <w:tcW w:w="200" w:type="dxa"/>
            <w:vAlign w:val="bottom"/>
          </w:tcPr>
          <w:p>
            <w:pPr>
              <w:spacing w:after="0"/>
              <w:rPr>
                <w:sz w:val="20"/>
                <w:szCs w:val="20"/>
                <w:color w:val="auto"/>
              </w:rPr>
            </w:pPr>
          </w:p>
        </w:tc>
        <w:tc>
          <w:tcPr>
            <w:tcW w:w="500" w:type="dxa"/>
            <w:vAlign w:val="bottom"/>
            <w:tcBorders>
              <w:top w:val="single" w:sz="8" w:color="auto"/>
            </w:tcBorders>
          </w:tcPr>
          <w:p>
            <w:pPr>
              <w:spacing w:after="0"/>
              <w:rPr>
                <w:sz w:val="20"/>
                <w:szCs w:val="20"/>
                <w:color w:val="auto"/>
              </w:rPr>
            </w:pPr>
          </w:p>
        </w:tc>
        <w:tc>
          <w:tcPr>
            <w:tcW w:w="98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2,403,169</w:t>
            </w:r>
          </w:p>
        </w:tc>
      </w:tr>
      <w:tr>
        <w:trPr>
          <w:trHeight w:val="27"/>
        </w:trPr>
        <w:tc>
          <w:tcPr>
            <w:tcW w:w="4820" w:type="dxa"/>
            <w:vAlign w:val="bottom"/>
            <w:tcBorders>
              <w:bottom w:val="single" w:sz="8" w:color="CCEEFF"/>
            </w:tcBorders>
          </w:tcPr>
          <w:p>
            <w:pPr>
              <w:spacing w:after="0"/>
              <w:rPr>
                <w:sz w:val="2"/>
                <w:szCs w:val="2"/>
                <w:color w:val="auto"/>
              </w:rPr>
            </w:pPr>
          </w:p>
        </w:tc>
        <w:tc>
          <w:tcPr>
            <w:tcW w:w="40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240" w:type="dxa"/>
            <w:vAlign w:val="bottom"/>
            <w:tcBorders>
              <w:bottom w:val="single" w:sz="8" w:color="CCEEFF"/>
            </w:tcBorders>
          </w:tcPr>
          <w:p>
            <w:pPr>
              <w:spacing w:after="0"/>
              <w:rPr>
                <w:sz w:val="2"/>
                <w:szCs w:val="2"/>
                <w:color w:val="auto"/>
              </w:rPr>
            </w:pPr>
          </w:p>
        </w:tc>
        <w:tc>
          <w:tcPr>
            <w:tcW w:w="480" w:type="dxa"/>
            <w:vAlign w:val="bottom"/>
            <w:tcBorders>
              <w:bottom w:val="single" w:sz="8" w:color="auto"/>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c>
          <w:tcPr>
            <w:tcW w:w="220" w:type="dxa"/>
            <w:vAlign w:val="bottom"/>
            <w:tcBorders>
              <w:bottom w:val="single" w:sz="8" w:color="CCEEFF"/>
            </w:tcBorders>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200" w:type="dxa"/>
            <w:vAlign w:val="bottom"/>
            <w:tcBorders>
              <w:bottom w:val="single" w:sz="8" w:color="CCEEFF"/>
            </w:tcBorders>
          </w:tcPr>
          <w:p>
            <w:pPr>
              <w:spacing w:after="0"/>
              <w:rPr>
                <w:sz w:val="2"/>
                <w:szCs w:val="2"/>
                <w:color w:val="auto"/>
              </w:rPr>
            </w:pPr>
          </w:p>
        </w:tc>
        <w:tc>
          <w:tcPr>
            <w:tcW w:w="50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r>
      <w:tr>
        <w:trPr>
          <w:trHeight w:val="244"/>
        </w:trPr>
        <w:tc>
          <w:tcPr>
            <w:tcW w:w="48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Operating expense</w:t>
            </w:r>
          </w:p>
        </w:tc>
        <w:tc>
          <w:tcPr>
            <w:tcW w:w="40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48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38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50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spacing w:after="0"/>
              <w:rPr>
                <w:sz w:val="21"/>
                <w:szCs w:val="21"/>
                <w:color w:val="auto"/>
              </w:rPr>
            </w:pPr>
          </w:p>
        </w:tc>
      </w:tr>
      <w:tr>
        <w:trPr>
          <w:trHeight w:val="243"/>
        </w:trPr>
        <w:tc>
          <w:tcPr>
            <w:tcW w:w="4820" w:type="dxa"/>
            <w:vAlign w:val="bottom"/>
          </w:tcPr>
          <w:p>
            <w:pPr>
              <w:ind w:left="120"/>
              <w:spacing w:after="0"/>
              <w:rPr>
                <w:sz w:val="20"/>
                <w:szCs w:val="20"/>
                <w:color w:val="auto"/>
              </w:rPr>
            </w:pPr>
            <w:r>
              <w:rPr>
                <w:rFonts w:ascii="Arial" w:cs="Arial" w:eastAsia="Arial" w:hAnsi="Arial"/>
                <w:sz w:val="18"/>
                <w:szCs w:val="18"/>
                <w:color w:val="auto"/>
              </w:rPr>
              <w:t>Selling, general and administrative</w:t>
            </w:r>
          </w:p>
        </w:tc>
        <w:tc>
          <w:tcPr>
            <w:tcW w:w="400" w:type="dxa"/>
            <w:vAlign w:val="bottom"/>
          </w:tcPr>
          <w:p>
            <w:pPr>
              <w:spacing w:after="0"/>
              <w:rPr>
                <w:sz w:val="21"/>
                <w:szCs w:val="21"/>
                <w:color w:val="auto"/>
              </w:rPr>
            </w:pPr>
          </w:p>
        </w:tc>
        <w:tc>
          <w:tcPr>
            <w:tcW w:w="1100" w:type="dxa"/>
            <w:vAlign w:val="bottom"/>
          </w:tcPr>
          <w:p>
            <w:pPr>
              <w:jc w:val="right"/>
              <w:ind w:right="30"/>
              <w:spacing w:after="0"/>
              <w:rPr>
                <w:sz w:val="20"/>
                <w:szCs w:val="20"/>
                <w:color w:val="auto"/>
              </w:rPr>
            </w:pPr>
            <w:r>
              <w:rPr>
                <w:rFonts w:ascii="Arial" w:cs="Arial" w:eastAsia="Arial" w:hAnsi="Arial"/>
                <w:sz w:val="18"/>
                <w:szCs w:val="18"/>
                <w:color w:val="auto"/>
              </w:rPr>
              <w:t>502,047</w:t>
            </w:r>
          </w:p>
        </w:tc>
        <w:tc>
          <w:tcPr>
            <w:tcW w:w="240" w:type="dxa"/>
            <w:vAlign w:val="bottom"/>
          </w:tcPr>
          <w:p>
            <w:pPr>
              <w:spacing w:after="0"/>
              <w:rPr>
                <w:sz w:val="21"/>
                <w:szCs w:val="21"/>
                <w:color w:val="auto"/>
              </w:rPr>
            </w:pPr>
          </w:p>
        </w:tc>
        <w:tc>
          <w:tcPr>
            <w:tcW w:w="480" w:type="dxa"/>
            <w:vAlign w:val="bottom"/>
          </w:tcPr>
          <w:p>
            <w:pPr>
              <w:spacing w:after="0"/>
              <w:rPr>
                <w:sz w:val="21"/>
                <w:szCs w:val="21"/>
                <w:color w:val="auto"/>
              </w:rPr>
            </w:pPr>
          </w:p>
        </w:tc>
        <w:tc>
          <w:tcPr>
            <w:tcW w:w="1000" w:type="dxa"/>
            <w:vAlign w:val="bottom"/>
          </w:tcPr>
          <w:p>
            <w:pPr>
              <w:jc w:val="right"/>
              <w:ind w:right="10"/>
              <w:spacing w:after="0"/>
              <w:rPr>
                <w:sz w:val="20"/>
                <w:szCs w:val="20"/>
                <w:color w:val="auto"/>
              </w:rPr>
            </w:pPr>
            <w:r>
              <w:rPr>
                <w:rFonts w:ascii="Arial" w:cs="Arial" w:eastAsia="Arial" w:hAnsi="Arial"/>
                <w:sz w:val="18"/>
                <w:szCs w:val="18"/>
                <w:color w:val="auto"/>
              </w:rPr>
              <w:t>420,270</w:t>
            </w:r>
          </w:p>
        </w:tc>
        <w:tc>
          <w:tcPr>
            <w:tcW w:w="22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1100" w:type="dxa"/>
            <w:vAlign w:val="bottom"/>
          </w:tcPr>
          <w:p>
            <w:pPr>
              <w:jc w:val="right"/>
              <w:ind w:right="30"/>
              <w:spacing w:after="0"/>
              <w:rPr>
                <w:sz w:val="20"/>
                <w:szCs w:val="20"/>
                <w:color w:val="auto"/>
              </w:rPr>
            </w:pPr>
            <w:r>
              <w:rPr>
                <w:rFonts w:ascii="Arial" w:cs="Arial" w:eastAsia="Arial" w:hAnsi="Arial"/>
                <w:sz w:val="18"/>
                <w:szCs w:val="18"/>
                <w:color w:val="auto"/>
              </w:rPr>
              <w:t>978,174</w:t>
            </w:r>
          </w:p>
        </w:tc>
        <w:tc>
          <w:tcPr>
            <w:tcW w:w="200" w:type="dxa"/>
            <w:vAlign w:val="bottom"/>
          </w:tcPr>
          <w:p>
            <w:pPr>
              <w:spacing w:after="0"/>
              <w:rPr>
                <w:sz w:val="21"/>
                <w:szCs w:val="21"/>
                <w:color w:val="auto"/>
              </w:rPr>
            </w:pPr>
          </w:p>
        </w:tc>
        <w:tc>
          <w:tcPr>
            <w:tcW w:w="500" w:type="dxa"/>
            <w:vAlign w:val="bottom"/>
          </w:tcPr>
          <w:p>
            <w:pPr>
              <w:spacing w:after="0"/>
              <w:rPr>
                <w:sz w:val="21"/>
                <w:szCs w:val="21"/>
                <w:color w:val="auto"/>
              </w:rPr>
            </w:pPr>
          </w:p>
        </w:tc>
        <w:tc>
          <w:tcPr>
            <w:tcW w:w="980" w:type="dxa"/>
            <w:vAlign w:val="bottom"/>
          </w:tcPr>
          <w:p>
            <w:pPr>
              <w:jc w:val="right"/>
              <w:ind w:right="10"/>
              <w:spacing w:after="0"/>
              <w:rPr>
                <w:sz w:val="20"/>
                <w:szCs w:val="20"/>
                <w:color w:val="auto"/>
              </w:rPr>
            </w:pPr>
            <w:r>
              <w:rPr>
                <w:rFonts w:ascii="Arial" w:cs="Arial" w:eastAsia="Arial" w:hAnsi="Arial"/>
                <w:sz w:val="18"/>
                <w:szCs w:val="18"/>
                <w:color w:val="auto"/>
              </w:rPr>
              <w:t>938,367</w:t>
            </w:r>
          </w:p>
        </w:tc>
      </w:tr>
      <w:tr>
        <w:trPr>
          <w:trHeight w:val="27"/>
        </w:trPr>
        <w:tc>
          <w:tcPr>
            <w:tcW w:w="4820" w:type="dxa"/>
            <w:vAlign w:val="bottom"/>
          </w:tcPr>
          <w:p>
            <w:pPr>
              <w:spacing w:after="0"/>
              <w:rPr>
                <w:sz w:val="2"/>
                <w:szCs w:val="2"/>
                <w:color w:val="auto"/>
              </w:rPr>
            </w:pPr>
          </w:p>
        </w:tc>
        <w:tc>
          <w:tcPr>
            <w:tcW w:w="400" w:type="dxa"/>
            <w:vAlign w:val="bottom"/>
          </w:tcPr>
          <w:p>
            <w:pPr>
              <w:spacing w:after="0"/>
              <w:rPr>
                <w:sz w:val="2"/>
                <w:szCs w:val="2"/>
                <w:color w:val="auto"/>
              </w:rPr>
            </w:pPr>
          </w:p>
        </w:tc>
        <w:tc>
          <w:tcPr>
            <w:tcW w:w="1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480" w:type="dxa"/>
            <w:vAlign w:val="bottom"/>
          </w:tcPr>
          <w:p>
            <w:pPr>
              <w:spacing w:after="0"/>
              <w:rPr>
                <w:sz w:val="2"/>
                <w:szCs w:val="2"/>
                <w:color w:val="auto"/>
              </w:rPr>
            </w:pPr>
          </w:p>
        </w:tc>
        <w:tc>
          <w:tcPr>
            <w:tcW w:w="1000" w:type="dxa"/>
            <w:vAlign w:val="bottom"/>
          </w:tcPr>
          <w:p>
            <w:pPr>
              <w:spacing w:after="0"/>
              <w:rPr>
                <w:sz w:val="2"/>
                <w:szCs w:val="2"/>
                <w:color w:val="auto"/>
              </w:rPr>
            </w:pPr>
          </w:p>
        </w:tc>
        <w:tc>
          <w:tcPr>
            <w:tcW w:w="220" w:type="dxa"/>
            <w:vAlign w:val="bottom"/>
          </w:tcPr>
          <w:p>
            <w:pPr>
              <w:spacing w:after="0"/>
              <w:rPr>
                <w:sz w:val="2"/>
                <w:szCs w:val="2"/>
                <w:color w:val="auto"/>
              </w:rPr>
            </w:pPr>
          </w:p>
        </w:tc>
        <w:tc>
          <w:tcPr>
            <w:tcW w:w="380" w:type="dxa"/>
            <w:vAlign w:val="bottom"/>
          </w:tcPr>
          <w:p>
            <w:pPr>
              <w:spacing w:after="0"/>
              <w:rPr>
                <w:sz w:val="2"/>
                <w:szCs w:val="2"/>
                <w:color w:val="auto"/>
              </w:rPr>
            </w:pPr>
          </w:p>
        </w:tc>
        <w:tc>
          <w:tcPr>
            <w:tcW w:w="1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500" w:type="dxa"/>
            <w:vAlign w:val="bottom"/>
          </w:tcPr>
          <w:p>
            <w:pPr>
              <w:spacing w:after="0"/>
              <w:rPr>
                <w:sz w:val="2"/>
                <w:szCs w:val="2"/>
                <w:color w:val="auto"/>
              </w:rPr>
            </w:pPr>
          </w:p>
        </w:tc>
        <w:tc>
          <w:tcPr>
            <w:tcW w:w="980" w:type="dxa"/>
            <w:vAlign w:val="bottom"/>
          </w:tcPr>
          <w:p>
            <w:pPr>
              <w:spacing w:after="0"/>
              <w:rPr>
                <w:sz w:val="2"/>
                <w:szCs w:val="2"/>
                <w:color w:val="auto"/>
              </w:rPr>
            </w:pPr>
          </w:p>
        </w:tc>
      </w:tr>
      <w:tr>
        <w:trPr>
          <w:trHeight w:val="270"/>
        </w:trPr>
        <w:tc>
          <w:tcPr>
            <w:tcW w:w="4820" w:type="dxa"/>
            <w:vAlign w:val="bottom"/>
            <w:tcBorders>
              <w:bottom w:val="single" w:sz="8" w:color="CCEEFF"/>
            </w:tcBorders>
            <w:shd w:val="clear" w:color="auto" w:fill="CCEEFF"/>
          </w:tcPr>
          <w:p>
            <w:pPr>
              <w:ind w:left="120"/>
              <w:spacing w:after="0"/>
              <w:rPr>
                <w:sz w:val="20"/>
                <w:szCs w:val="20"/>
                <w:color w:val="auto"/>
              </w:rPr>
            </w:pPr>
            <w:r>
              <w:rPr>
                <w:rFonts w:ascii="Arial" w:cs="Arial" w:eastAsia="Arial" w:hAnsi="Arial"/>
                <w:sz w:val="18"/>
                <w:szCs w:val="18"/>
                <w:color w:val="auto"/>
              </w:rPr>
              <w:t>Research, development and engineering</w:t>
            </w:r>
          </w:p>
        </w:tc>
        <w:tc>
          <w:tcPr>
            <w:tcW w:w="400" w:type="dxa"/>
            <w:vAlign w:val="bottom"/>
            <w:tcBorders>
              <w:bottom w:val="single" w:sz="8" w:color="CCEEFF"/>
            </w:tcBorders>
            <w:shd w:val="clear" w:color="auto" w:fill="CCEEFF"/>
          </w:tcPr>
          <w:p>
            <w:pPr>
              <w:spacing w:after="0"/>
              <w:rPr>
                <w:sz w:val="23"/>
                <w:szCs w:val="23"/>
                <w:color w:val="auto"/>
              </w:rPr>
            </w:pPr>
          </w:p>
        </w:tc>
        <w:tc>
          <w:tcPr>
            <w:tcW w:w="110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243,588</w:t>
            </w:r>
          </w:p>
        </w:tc>
        <w:tc>
          <w:tcPr>
            <w:tcW w:w="240" w:type="dxa"/>
            <w:vAlign w:val="bottom"/>
            <w:tcBorders>
              <w:bottom w:val="single" w:sz="8" w:color="CCEEFF"/>
            </w:tcBorders>
            <w:shd w:val="clear" w:color="auto" w:fill="CCEEFF"/>
          </w:tcPr>
          <w:p>
            <w:pPr>
              <w:spacing w:after="0"/>
              <w:rPr>
                <w:sz w:val="23"/>
                <w:szCs w:val="23"/>
                <w:color w:val="auto"/>
              </w:rPr>
            </w:pPr>
          </w:p>
        </w:tc>
        <w:tc>
          <w:tcPr>
            <w:tcW w:w="480" w:type="dxa"/>
            <w:vAlign w:val="bottom"/>
            <w:tcBorders>
              <w:bottom w:val="single" w:sz="8" w:color="CCEEFF"/>
            </w:tcBorders>
            <w:shd w:val="clear" w:color="auto" w:fill="CCEEFF"/>
          </w:tcPr>
          <w:p>
            <w:pPr>
              <w:spacing w:after="0"/>
              <w:rPr>
                <w:sz w:val="23"/>
                <w:szCs w:val="23"/>
                <w:color w:val="auto"/>
              </w:rPr>
            </w:pPr>
          </w:p>
        </w:tc>
        <w:tc>
          <w:tcPr>
            <w:tcW w:w="10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219,291</w:t>
            </w:r>
          </w:p>
        </w:tc>
        <w:tc>
          <w:tcPr>
            <w:tcW w:w="220" w:type="dxa"/>
            <w:vAlign w:val="bottom"/>
            <w:tcBorders>
              <w:bottom w:val="single" w:sz="8" w:color="CCEEFF"/>
            </w:tcBorders>
            <w:shd w:val="clear" w:color="auto" w:fill="CCEEFF"/>
          </w:tcPr>
          <w:p>
            <w:pPr>
              <w:spacing w:after="0"/>
              <w:rPr>
                <w:sz w:val="23"/>
                <w:szCs w:val="23"/>
                <w:color w:val="auto"/>
              </w:rPr>
            </w:pPr>
          </w:p>
        </w:tc>
        <w:tc>
          <w:tcPr>
            <w:tcW w:w="380" w:type="dxa"/>
            <w:vAlign w:val="bottom"/>
            <w:tcBorders>
              <w:bottom w:val="single" w:sz="8" w:color="CCEEFF"/>
            </w:tcBorders>
            <w:shd w:val="clear" w:color="auto" w:fill="CCEEFF"/>
          </w:tcPr>
          <w:p>
            <w:pPr>
              <w:spacing w:after="0"/>
              <w:rPr>
                <w:sz w:val="23"/>
                <w:szCs w:val="23"/>
                <w:color w:val="auto"/>
              </w:rPr>
            </w:pPr>
          </w:p>
        </w:tc>
        <w:tc>
          <w:tcPr>
            <w:tcW w:w="110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465,484</w:t>
            </w:r>
          </w:p>
        </w:tc>
        <w:tc>
          <w:tcPr>
            <w:tcW w:w="200" w:type="dxa"/>
            <w:vAlign w:val="bottom"/>
            <w:tcBorders>
              <w:bottom w:val="single" w:sz="8" w:color="CCEEFF"/>
            </w:tcBorders>
            <w:shd w:val="clear" w:color="auto" w:fill="CCEEFF"/>
          </w:tcPr>
          <w:p>
            <w:pPr>
              <w:spacing w:after="0"/>
              <w:rPr>
                <w:sz w:val="23"/>
                <w:szCs w:val="23"/>
                <w:color w:val="auto"/>
              </w:rPr>
            </w:pPr>
          </w:p>
        </w:tc>
        <w:tc>
          <w:tcPr>
            <w:tcW w:w="500" w:type="dxa"/>
            <w:vAlign w:val="bottom"/>
            <w:tcBorders>
              <w:bottom w:val="single" w:sz="8" w:color="CCEEFF"/>
            </w:tcBorders>
            <w:shd w:val="clear" w:color="auto" w:fill="CCEEFF"/>
          </w:tcPr>
          <w:p>
            <w:pPr>
              <w:spacing w:after="0"/>
              <w:rPr>
                <w:sz w:val="23"/>
                <w:szCs w:val="23"/>
                <w:color w:val="auto"/>
              </w:rPr>
            </w:pPr>
          </w:p>
        </w:tc>
        <w:tc>
          <w:tcPr>
            <w:tcW w:w="9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448,035</w:t>
            </w:r>
          </w:p>
        </w:tc>
      </w:tr>
      <w:tr>
        <w:trPr>
          <w:trHeight w:val="237"/>
        </w:trPr>
        <w:tc>
          <w:tcPr>
            <w:tcW w:w="4820" w:type="dxa"/>
            <w:vAlign w:val="bottom"/>
          </w:tcPr>
          <w:p>
            <w:pPr>
              <w:ind w:left="260"/>
              <w:spacing w:after="0"/>
              <w:rPr>
                <w:sz w:val="20"/>
                <w:szCs w:val="20"/>
                <w:color w:val="auto"/>
              </w:rPr>
            </w:pPr>
            <w:r>
              <w:rPr>
                <w:rFonts w:ascii="Arial" w:cs="Arial" w:eastAsia="Arial" w:hAnsi="Arial"/>
                <w:sz w:val="18"/>
                <w:szCs w:val="18"/>
                <w:color w:val="auto"/>
              </w:rPr>
              <w:t>Total operating expense</w:t>
            </w:r>
          </w:p>
        </w:tc>
        <w:tc>
          <w:tcPr>
            <w:tcW w:w="400" w:type="dxa"/>
            <w:vAlign w:val="bottom"/>
            <w:tcBorders>
              <w:top w:val="single" w:sz="8" w:color="auto"/>
            </w:tcBorders>
          </w:tcPr>
          <w:p>
            <w:pPr>
              <w:spacing w:after="0"/>
              <w:rPr>
                <w:sz w:val="20"/>
                <w:szCs w:val="20"/>
                <w:color w:val="auto"/>
              </w:rPr>
            </w:pPr>
          </w:p>
        </w:tc>
        <w:tc>
          <w:tcPr>
            <w:tcW w:w="1100" w:type="dxa"/>
            <w:vAlign w:val="bottom"/>
            <w:tcBorders>
              <w:top w:val="single" w:sz="8" w:color="auto"/>
            </w:tcBorders>
          </w:tcPr>
          <w:p>
            <w:pPr>
              <w:jc w:val="right"/>
              <w:ind w:right="30"/>
              <w:spacing w:after="0"/>
              <w:rPr>
                <w:sz w:val="20"/>
                <w:szCs w:val="20"/>
                <w:color w:val="auto"/>
              </w:rPr>
            </w:pPr>
            <w:r>
              <w:rPr>
                <w:rFonts w:ascii="Arial" w:cs="Arial" w:eastAsia="Arial" w:hAnsi="Arial"/>
                <w:sz w:val="18"/>
                <w:szCs w:val="18"/>
                <w:color w:val="auto"/>
              </w:rPr>
              <w:t>745,635</w:t>
            </w:r>
          </w:p>
        </w:tc>
        <w:tc>
          <w:tcPr>
            <w:tcW w:w="240" w:type="dxa"/>
            <w:vAlign w:val="bottom"/>
          </w:tcPr>
          <w:p>
            <w:pPr>
              <w:spacing w:after="0"/>
              <w:rPr>
                <w:sz w:val="20"/>
                <w:szCs w:val="20"/>
                <w:color w:val="auto"/>
              </w:rPr>
            </w:pPr>
          </w:p>
        </w:tc>
        <w:tc>
          <w:tcPr>
            <w:tcW w:w="480" w:type="dxa"/>
            <w:vAlign w:val="bottom"/>
            <w:tcBorders>
              <w:top w:val="single" w:sz="8" w:color="auto"/>
            </w:tcBorders>
          </w:tcPr>
          <w:p>
            <w:pPr>
              <w:spacing w:after="0"/>
              <w:rPr>
                <w:sz w:val="20"/>
                <w:szCs w:val="20"/>
                <w:color w:val="auto"/>
              </w:rPr>
            </w:pPr>
          </w:p>
        </w:tc>
        <w:tc>
          <w:tcPr>
            <w:tcW w:w="100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639,561</w:t>
            </w:r>
          </w:p>
        </w:tc>
        <w:tc>
          <w:tcPr>
            <w:tcW w:w="220" w:type="dxa"/>
            <w:vAlign w:val="bottom"/>
          </w:tcPr>
          <w:p>
            <w:pPr>
              <w:spacing w:after="0"/>
              <w:rPr>
                <w:sz w:val="20"/>
                <w:szCs w:val="20"/>
                <w:color w:val="auto"/>
              </w:rPr>
            </w:pPr>
          </w:p>
        </w:tc>
        <w:tc>
          <w:tcPr>
            <w:tcW w:w="380" w:type="dxa"/>
            <w:vAlign w:val="bottom"/>
            <w:tcBorders>
              <w:top w:val="single" w:sz="8" w:color="auto"/>
            </w:tcBorders>
          </w:tcPr>
          <w:p>
            <w:pPr>
              <w:spacing w:after="0"/>
              <w:rPr>
                <w:sz w:val="20"/>
                <w:szCs w:val="20"/>
                <w:color w:val="auto"/>
              </w:rPr>
            </w:pPr>
          </w:p>
        </w:tc>
        <w:tc>
          <w:tcPr>
            <w:tcW w:w="1100" w:type="dxa"/>
            <w:vAlign w:val="bottom"/>
            <w:tcBorders>
              <w:top w:val="single" w:sz="8" w:color="auto"/>
            </w:tcBorders>
          </w:tcPr>
          <w:p>
            <w:pPr>
              <w:jc w:val="right"/>
              <w:ind w:right="30"/>
              <w:spacing w:after="0"/>
              <w:rPr>
                <w:sz w:val="20"/>
                <w:szCs w:val="20"/>
                <w:color w:val="auto"/>
              </w:rPr>
            </w:pPr>
            <w:r>
              <w:rPr>
                <w:rFonts w:ascii="Arial" w:cs="Arial" w:eastAsia="Arial" w:hAnsi="Arial"/>
                <w:sz w:val="18"/>
                <w:szCs w:val="18"/>
                <w:color w:val="auto"/>
              </w:rPr>
              <w:t>1,443,658</w:t>
            </w:r>
          </w:p>
        </w:tc>
        <w:tc>
          <w:tcPr>
            <w:tcW w:w="200" w:type="dxa"/>
            <w:vAlign w:val="bottom"/>
          </w:tcPr>
          <w:p>
            <w:pPr>
              <w:spacing w:after="0"/>
              <w:rPr>
                <w:sz w:val="20"/>
                <w:szCs w:val="20"/>
                <w:color w:val="auto"/>
              </w:rPr>
            </w:pPr>
          </w:p>
        </w:tc>
        <w:tc>
          <w:tcPr>
            <w:tcW w:w="500" w:type="dxa"/>
            <w:vAlign w:val="bottom"/>
            <w:tcBorders>
              <w:top w:val="single" w:sz="8" w:color="auto"/>
            </w:tcBorders>
          </w:tcPr>
          <w:p>
            <w:pPr>
              <w:spacing w:after="0"/>
              <w:rPr>
                <w:sz w:val="20"/>
                <w:szCs w:val="20"/>
                <w:color w:val="auto"/>
              </w:rPr>
            </w:pPr>
          </w:p>
        </w:tc>
        <w:tc>
          <w:tcPr>
            <w:tcW w:w="98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1,386,402</w:t>
            </w:r>
          </w:p>
        </w:tc>
      </w:tr>
      <w:tr>
        <w:trPr>
          <w:trHeight w:val="27"/>
        </w:trPr>
        <w:tc>
          <w:tcPr>
            <w:tcW w:w="4820" w:type="dxa"/>
            <w:vAlign w:val="bottom"/>
            <w:tcBorders>
              <w:bottom w:val="single" w:sz="8" w:color="CCEEFF"/>
            </w:tcBorders>
          </w:tcPr>
          <w:p>
            <w:pPr>
              <w:spacing w:after="0"/>
              <w:rPr>
                <w:sz w:val="2"/>
                <w:szCs w:val="2"/>
                <w:color w:val="auto"/>
              </w:rPr>
            </w:pPr>
          </w:p>
        </w:tc>
        <w:tc>
          <w:tcPr>
            <w:tcW w:w="40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240" w:type="dxa"/>
            <w:vAlign w:val="bottom"/>
            <w:tcBorders>
              <w:bottom w:val="single" w:sz="8" w:color="CCEEFF"/>
            </w:tcBorders>
          </w:tcPr>
          <w:p>
            <w:pPr>
              <w:spacing w:after="0"/>
              <w:rPr>
                <w:sz w:val="2"/>
                <w:szCs w:val="2"/>
                <w:color w:val="auto"/>
              </w:rPr>
            </w:pPr>
          </w:p>
        </w:tc>
        <w:tc>
          <w:tcPr>
            <w:tcW w:w="480" w:type="dxa"/>
            <w:vAlign w:val="bottom"/>
            <w:tcBorders>
              <w:bottom w:val="single" w:sz="8" w:color="auto"/>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c>
          <w:tcPr>
            <w:tcW w:w="220" w:type="dxa"/>
            <w:vAlign w:val="bottom"/>
            <w:tcBorders>
              <w:bottom w:val="single" w:sz="8" w:color="CCEEFF"/>
            </w:tcBorders>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200" w:type="dxa"/>
            <w:vAlign w:val="bottom"/>
            <w:tcBorders>
              <w:bottom w:val="single" w:sz="8" w:color="CCEEFF"/>
            </w:tcBorders>
          </w:tcPr>
          <w:p>
            <w:pPr>
              <w:spacing w:after="0"/>
              <w:rPr>
                <w:sz w:val="2"/>
                <w:szCs w:val="2"/>
                <w:color w:val="auto"/>
              </w:rPr>
            </w:pPr>
          </w:p>
        </w:tc>
        <w:tc>
          <w:tcPr>
            <w:tcW w:w="50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r>
      <w:tr>
        <w:trPr>
          <w:trHeight w:val="244"/>
        </w:trPr>
        <w:tc>
          <w:tcPr>
            <w:tcW w:w="48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Operating income</w:t>
            </w:r>
          </w:p>
        </w:tc>
        <w:tc>
          <w:tcPr>
            <w:tcW w:w="40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696,181</w:t>
            </w:r>
          </w:p>
        </w:tc>
        <w:tc>
          <w:tcPr>
            <w:tcW w:w="240" w:type="dxa"/>
            <w:vAlign w:val="bottom"/>
            <w:tcBorders>
              <w:bottom w:val="single" w:sz="8" w:color="CCEEFF"/>
            </w:tcBorders>
            <w:shd w:val="clear" w:color="auto" w:fill="CCEEFF"/>
          </w:tcPr>
          <w:p>
            <w:pPr>
              <w:spacing w:after="0"/>
              <w:rPr>
                <w:sz w:val="21"/>
                <w:szCs w:val="21"/>
                <w:color w:val="auto"/>
              </w:rPr>
            </w:pPr>
          </w:p>
        </w:tc>
        <w:tc>
          <w:tcPr>
            <w:tcW w:w="48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416,937</w:t>
            </w:r>
          </w:p>
        </w:tc>
        <w:tc>
          <w:tcPr>
            <w:tcW w:w="220" w:type="dxa"/>
            <w:vAlign w:val="bottom"/>
            <w:tcBorders>
              <w:bottom w:val="single" w:sz="8" w:color="CCEEFF"/>
            </w:tcBorders>
            <w:shd w:val="clear" w:color="auto" w:fill="CCEEFF"/>
          </w:tcPr>
          <w:p>
            <w:pPr>
              <w:spacing w:after="0"/>
              <w:rPr>
                <w:sz w:val="21"/>
                <w:szCs w:val="21"/>
                <w:color w:val="auto"/>
              </w:rPr>
            </w:pPr>
          </w:p>
        </w:tc>
        <w:tc>
          <w:tcPr>
            <w:tcW w:w="38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1,184,651</w:t>
            </w:r>
          </w:p>
        </w:tc>
        <w:tc>
          <w:tcPr>
            <w:tcW w:w="200" w:type="dxa"/>
            <w:vAlign w:val="bottom"/>
            <w:tcBorders>
              <w:bottom w:val="single" w:sz="8" w:color="CCEEFF"/>
            </w:tcBorders>
            <w:shd w:val="clear" w:color="auto" w:fill="CCEEFF"/>
          </w:tcPr>
          <w:p>
            <w:pPr>
              <w:spacing w:after="0"/>
              <w:rPr>
                <w:sz w:val="21"/>
                <w:szCs w:val="21"/>
                <w:color w:val="auto"/>
              </w:rPr>
            </w:pPr>
          </w:p>
        </w:tc>
        <w:tc>
          <w:tcPr>
            <w:tcW w:w="50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1,016,767</w:t>
            </w:r>
          </w:p>
        </w:tc>
      </w:tr>
      <w:tr>
        <w:trPr>
          <w:trHeight w:val="243"/>
        </w:trPr>
        <w:tc>
          <w:tcPr>
            <w:tcW w:w="4820" w:type="dxa"/>
            <w:vAlign w:val="bottom"/>
          </w:tcPr>
          <w:p>
            <w:pPr>
              <w:ind w:left="40"/>
              <w:spacing w:after="0"/>
              <w:rPr>
                <w:sz w:val="20"/>
                <w:szCs w:val="20"/>
                <w:color w:val="auto"/>
              </w:rPr>
            </w:pPr>
            <w:r>
              <w:rPr>
                <w:rFonts w:ascii="Arial" w:cs="Arial" w:eastAsia="Arial" w:hAnsi="Arial"/>
                <w:sz w:val="18"/>
                <w:szCs w:val="18"/>
                <w:color w:val="auto"/>
              </w:rPr>
              <w:t>Other (expense)/income</w:t>
            </w:r>
          </w:p>
        </w:tc>
        <w:tc>
          <w:tcPr>
            <w:tcW w:w="400" w:type="dxa"/>
            <w:vAlign w:val="bottom"/>
          </w:tcPr>
          <w:p>
            <w:pPr>
              <w:spacing w:after="0"/>
              <w:rPr>
                <w:sz w:val="21"/>
                <w:szCs w:val="21"/>
                <w:color w:val="auto"/>
              </w:rPr>
            </w:pPr>
          </w:p>
        </w:tc>
        <w:tc>
          <w:tcPr>
            <w:tcW w:w="1100" w:type="dxa"/>
            <w:vAlign w:val="bottom"/>
          </w:tcPr>
          <w:p>
            <w:pPr>
              <w:jc w:val="right"/>
              <w:spacing w:after="0"/>
              <w:rPr>
                <w:sz w:val="20"/>
                <w:szCs w:val="20"/>
                <w:color w:val="auto"/>
              </w:rPr>
            </w:pPr>
            <w:r>
              <w:rPr>
                <w:rFonts w:ascii="Arial" w:cs="Arial" w:eastAsia="Arial" w:hAnsi="Arial"/>
                <w:sz w:val="18"/>
                <w:szCs w:val="18"/>
                <w:color w:val="auto"/>
              </w:rPr>
              <w:t>(12,055)</w:t>
            </w:r>
          </w:p>
        </w:tc>
        <w:tc>
          <w:tcPr>
            <w:tcW w:w="240" w:type="dxa"/>
            <w:vAlign w:val="bottom"/>
          </w:tcPr>
          <w:p>
            <w:pPr>
              <w:spacing w:after="0"/>
              <w:rPr>
                <w:sz w:val="21"/>
                <w:szCs w:val="21"/>
                <w:color w:val="auto"/>
              </w:rPr>
            </w:pPr>
          </w:p>
        </w:tc>
        <w:tc>
          <w:tcPr>
            <w:tcW w:w="480" w:type="dxa"/>
            <w:vAlign w:val="bottom"/>
          </w:tcPr>
          <w:p>
            <w:pPr>
              <w:spacing w:after="0"/>
              <w:rPr>
                <w:sz w:val="21"/>
                <w:szCs w:val="21"/>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(3,329)</w:t>
            </w:r>
          </w:p>
        </w:tc>
        <w:tc>
          <w:tcPr>
            <w:tcW w:w="22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1100" w:type="dxa"/>
            <w:vAlign w:val="bottom"/>
          </w:tcPr>
          <w:p>
            <w:pPr>
              <w:jc w:val="right"/>
              <w:ind w:right="30"/>
              <w:spacing w:after="0"/>
              <w:rPr>
                <w:sz w:val="20"/>
                <w:szCs w:val="20"/>
                <w:color w:val="auto"/>
              </w:rPr>
            </w:pPr>
            <w:r>
              <w:rPr>
                <w:rFonts w:ascii="Arial" w:cs="Arial" w:eastAsia="Arial" w:hAnsi="Arial"/>
                <w:sz w:val="18"/>
                <w:szCs w:val="18"/>
                <w:color w:val="auto"/>
              </w:rPr>
              <w:t>22,703</w:t>
            </w:r>
          </w:p>
        </w:tc>
        <w:tc>
          <w:tcPr>
            <w:tcW w:w="200" w:type="dxa"/>
            <w:vAlign w:val="bottom"/>
          </w:tcPr>
          <w:p>
            <w:pPr>
              <w:spacing w:after="0"/>
              <w:rPr>
                <w:sz w:val="21"/>
                <w:szCs w:val="21"/>
                <w:color w:val="auto"/>
              </w:rPr>
            </w:pPr>
          </w:p>
        </w:tc>
        <w:tc>
          <w:tcPr>
            <w:tcW w:w="500" w:type="dxa"/>
            <w:vAlign w:val="bottom"/>
          </w:tcPr>
          <w:p>
            <w:pPr>
              <w:spacing w:after="0"/>
              <w:rPr>
                <w:sz w:val="21"/>
                <w:szCs w:val="21"/>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(14,151)</w:t>
            </w:r>
          </w:p>
        </w:tc>
      </w:tr>
      <w:tr>
        <w:trPr>
          <w:trHeight w:val="270"/>
        </w:trPr>
        <w:tc>
          <w:tcPr>
            <w:tcW w:w="4820" w:type="dxa"/>
            <w:vAlign w:val="bottom"/>
          </w:tcPr>
          <w:p>
            <w:pPr>
              <w:ind w:left="40"/>
              <w:spacing w:after="0"/>
              <w:rPr>
                <w:sz w:val="20"/>
                <w:szCs w:val="20"/>
                <w:color w:val="auto"/>
              </w:rPr>
            </w:pPr>
            <w:r>
              <w:rPr>
                <w:rFonts w:ascii="Arial" w:cs="Arial" w:eastAsia="Arial" w:hAnsi="Arial"/>
                <w:sz w:val="18"/>
                <w:szCs w:val="18"/>
                <w:color w:val="auto"/>
              </w:rPr>
              <w:t>Income tax expense</w:t>
            </w:r>
          </w:p>
        </w:tc>
        <w:tc>
          <w:tcPr>
            <w:tcW w:w="400" w:type="dxa"/>
            <w:vAlign w:val="bottom"/>
          </w:tcPr>
          <w:p>
            <w:pPr>
              <w:spacing w:after="0"/>
              <w:rPr>
                <w:sz w:val="23"/>
                <w:szCs w:val="23"/>
                <w:color w:val="auto"/>
              </w:rPr>
            </w:pPr>
          </w:p>
        </w:tc>
        <w:tc>
          <w:tcPr>
            <w:tcW w:w="1100" w:type="dxa"/>
            <w:vAlign w:val="bottom"/>
          </w:tcPr>
          <w:p>
            <w:pPr>
              <w:jc w:val="right"/>
              <w:spacing w:after="0"/>
              <w:rPr>
                <w:sz w:val="20"/>
                <w:szCs w:val="20"/>
                <w:color w:val="auto"/>
              </w:rPr>
            </w:pPr>
            <w:r>
              <w:rPr>
                <w:rFonts w:ascii="Arial" w:cs="Arial" w:eastAsia="Arial" w:hAnsi="Arial"/>
                <w:sz w:val="18"/>
                <w:szCs w:val="18"/>
                <w:color w:val="auto"/>
              </w:rPr>
              <w:t>(59,864)</w:t>
            </w:r>
          </w:p>
        </w:tc>
        <w:tc>
          <w:tcPr>
            <w:tcW w:w="240" w:type="dxa"/>
            <w:vAlign w:val="bottom"/>
          </w:tcPr>
          <w:p>
            <w:pPr>
              <w:spacing w:after="0"/>
              <w:rPr>
                <w:sz w:val="23"/>
                <w:szCs w:val="23"/>
                <w:color w:val="auto"/>
              </w:rPr>
            </w:pPr>
          </w:p>
        </w:tc>
        <w:tc>
          <w:tcPr>
            <w:tcW w:w="480" w:type="dxa"/>
            <w:vAlign w:val="bottom"/>
          </w:tcPr>
          <w:p>
            <w:pPr>
              <w:spacing w:after="0"/>
              <w:rPr>
                <w:sz w:val="23"/>
                <w:szCs w:val="23"/>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(140,626)</w:t>
            </w:r>
          </w:p>
        </w:tc>
        <w:tc>
          <w:tcPr>
            <w:tcW w:w="220" w:type="dxa"/>
            <w:vAlign w:val="bottom"/>
          </w:tcPr>
          <w:p>
            <w:pPr>
              <w:spacing w:after="0"/>
              <w:rPr>
                <w:sz w:val="23"/>
                <w:szCs w:val="23"/>
                <w:color w:val="auto"/>
              </w:rPr>
            </w:pPr>
          </w:p>
        </w:tc>
        <w:tc>
          <w:tcPr>
            <w:tcW w:w="380" w:type="dxa"/>
            <w:vAlign w:val="bottom"/>
          </w:tcPr>
          <w:p>
            <w:pPr>
              <w:spacing w:after="0"/>
              <w:rPr>
                <w:sz w:val="23"/>
                <w:szCs w:val="23"/>
                <w:color w:val="auto"/>
              </w:rPr>
            </w:pPr>
          </w:p>
        </w:tc>
        <w:tc>
          <w:tcPr>
            <w:tcW w:w="1100" w:type="dxa"/>
            <w:vAlign w:val="bottom"/>
          </w:tcPr>
          <w:p>
            <w:pPr>
              <w:jc w:val="right"/>
              <w:ind w:right="30"/>
              <w:spacing w:after="0"/>
              <w:rPr>
                <w:sz w:val="20"/>
                <w:szCs w:val="20"/>
                <w:color w:val="auto"/>
              </w:rPr>
            </w:pPr>
            <w:r>
              <w:rPr>
                <w:rFonts w:ascii="Arial" w:cs="Arial" w:eastAsia="Arial" w:hAnsi="Arial"/>
                <w:sz w:val="18"/>
                <w:szCs w:val="18"/>
                <w:color w:val="auto"/>
              </w:rPr>
              <w:t>18,499</w:t>
            </w:r>
          </w:p>
        </w:tc>
        <w:tc>
          <w:tcPr>
            <w:tcW w:w="200" w:type="dxa"/>
            <w:vAlign w:val="bottom"/>
          </w:tcPr>
          <w:p>
            <w:pPr>
              <w:spacing w:after="0"/>
              <w:rPr>
                <w:sz w:val="23"/>
                <w:szCs w:val="23"/>
                <w:color w:val="auto"/>
              </w:rPr>
            </w:pPr>
          </w:p>
        </w:tc>
        <w:tc>
          <w:tcPr>
            <w:tcW w:w="500" w:type="dxa"/>
            <w:vAlign w:val="bottom"/>
          </w:tcPr>
          <w:p>
            <w:pPr>
              <w:spacing w:after="0"/>
              <w:rPr>
                <w:sz w:val="23"/>
                <w:szCs w:val="23"/>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(340,889)</w:t>
            </w:r>
          </w:p>
        </w:tc>
      </w:tr>
      <w:tr>
        <w:trPr>
          <w:trHeight w:val="27"/>
        </w:trPr>
        <w:tc>
          <w:tcPr>
            <w:tcW w:w="4820" w:type="dxa"/>
            <w:vAlign w:val="bottom"/>
          </w:tcPr>
          <w:p>
            <w:pPr>
              <w:spacing w:after="0"/>
              <w:rPr>
                <w:sz w:val="2"/>
                <w:szCs w:val="2"/>
                <w:color w:val="auto"/>
              </w:rPr>
            </w:pPr>
          </w:p>
        </w:tc>
        <w:tc>
          <w:tcPr>
            <w:tcW w:w="40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240" w:type="dxa"/>
            <w:vAlign w:val="bottom"/>
          </w:tcPr>
          <w:p>
            <w:pPr>
              <w:spacing w:after="0"/>
              <w:rPr>
                <w:sz w:val="2"/>
                <w:szCs w:val="2"/>
                <w:color w:val="auto"/>
              </w:rPr>
            </w:pPr>
          </w:p>
        </w:tc>
        <w:tc>
          <w:tcPr>
            <w:tcW w:w="480" w:type="dxa"/>
            <w:vAlign w:val="bottom"/>
            <w:tcBorders>
              <w:bottom w:val="single" w:sz="8" w:color="auto"/>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c>
          <w:tcPr>
            <w:tcW w:w="220" w:type="dxa"/>
            <w:vAlign w:val="bottom"/>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200" w:type="dxa"/>
            <w:vAlign w:val="bottom"/>
          </w:tcPr>
          <w:p>
            <w:pPr>
              <w:spacing w:after="0"/>
              <w:rPr>
                <w:sz w:val="2"/>
                <w:szCs w:val="2"/>
                <w:color w:val="auto"/>
              </w:rPr>
            </w:pPr>
          </w:p>
        </w:tc>
        <w:tc>
          <w:tcPr>
            <w:tcW w:w="50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r>
      <w:tr>
        <w:trPr>
          <w:trHeight w:val="257"/>
        </w:trPr>
        <w:tc>
          <w:tcPr>
            <w:tcW w:w="4820" w:type="dxa"/>
            <w:vAlign w:val="bottom"/>
          </w:tcPr>
          <w:p>
            <w:pPr>
              <w:ind w:left="40"/>
              <w:spacing w:after="0"/>
              <w:rPr>
                <w:sz w:val="20"/>
                <w:szCs w:val="20"/>
                <w:color w:val="auto"/>
              </w:rPr>
            </w:pPr>
            <w:r>
              <w:rPr>
                <w:rFonts w:ascii="Arial" w:cs="Arial" w:eastAsia="Arial" w:hAnsi="Arial"/>
                <w:sz w:val="18"/>
                <w:szCs w:val="18"/>
                <w:color w:val="auto"/>
              </w:rPr>
              <w:t>Income attributable to disposal group</w:t>
            </w:r>
          </w:p>
        </w:tc>
        <w:tc>
          <w:tcPr>
            <w:tcW w:w="400" w:type="dxa"/>
            <w:vAlign w:val="bottom"/>
            <w:tcBorders>
              <w:bottom w:val="single" w:sz="8" w:color="auto"/>
            </w:tcBorders>
          </w:tcPr>
          <w:p>
            <w:pPr>
              <w:jc w:val="right"/>
              <w:ind w:right="190"/>
              <w:spacing w:after="0"/>
              <w:rPr>
                <w:sz w:val="20"/>
                <w:szCs w:val="20"/>
                <w:color w:val="auto"/>
              </w:rPr>
            </w:pPr>
            <w:r>
              <w:rPr>
                <w:rFonts w:ascii="Arial" w:cs="Arial" w:eastAsia="Arial" w:hAnsi="Arial"/>
                <w:sz w:val="18"/>
                <w:szCs w:val="18"/>
                <w:color w:val="auto"/>
                <w:w w:val="99"/>
              </w:rPr>
              <w:t>$</w:t>
            </w:r>
          </w:p>
        </w:tc>
        <w:tc>
          <w:tcPr>
            <w:tcW w:w="110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rPr>
              <w:t>624,262</w:t>
            </w:r>
          </w:p>
        </w:tc>
        <w:tc>
          <w:tcPr>
            <w:tcW w:w="240" w:type="dxa"/>
            <w:vAlign w:val="bottom"/>
          </w:tcPr>
          <w:p>
            <w:pPr>
              <w:spacing w:after="0"/>
              <w:rPr>
                <w:sz w:val="22"/>
                <w:szCs w:val="22"/>
                <w:color w:val="auto"/>
              </w:rPr>
            </w:pPr>
          </w:p>
        </w:tc>
        <w:tc>
          <w:tcPr>
            <w:tcW w:w="480" w:type="dxa"/>
            <w:vAlign w:val="bottom"/>
            <w:tcBorders>
              <w:bottom w:val="single" w:sz="8" w:color="auto"/>
            </w:tcBorders>
          </w:tcPr>
          <w:p>
            <w:pPr>
              <w:jc w:val="right"/>
              <w:ind w:right="270"/>
              <w:spacing w:after="0"/>
              <w:rPr>
                <w:sz w:val="20"/>
                <w:szCs w:val="20"/>
                <w:color w:val="auto"/>
              </w:rPr>
            </w:pPr>
            <w:r>
              <w:rPr>
                <w:rFonts w:ascii="Arial" w:cs="Arial" w:eastAsia="Arial" w:hAnsi="Arial"/>
                <w:sz w:val="18"/>
                <w:szCs w:val="18"/>
                <w:color w:val="auto"/>
                <w:w w:val="99"/>
              </w:rPr>
              <w:t>$</w:t>
            </w:r>
          </w:p>
        </w:tc>
        <w:tc>
          <w:tcPr>
            <w:tcW w:w="100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rPr>
              <w:t>272,982</w:t>
            </w:r>
          </w:p>
        </w:tc>
        <w:tc>
          <w:tcPr>
            <w:tcW w:w="220" w:type="dxa"/>
            <w:vAlign w:val="bottom"/>
          </w:tcPr>
          <w:p>
            <w:pPr>
              <w:spacing w:after="0"/>
              <w:rPr>
                <w:sz w:val="22"/>
                <w:szCs w:val="22"/>
                <w:color w:val="auto"/>
              </w:rPr>
            </w:pPr>
          </w:p>
        </w:tc>
        <w:tc>
          <w:tcPr>
            <w:tcW w:w="380" w:type="dxa"/>
            <w:vAlign w:val="bottom"/>
            <w:tcBorders>
              <w:bottom w:val="single" w:sz="8" w:color="auto"/>
            </w:tcBorders>
          </w:tcPr>
          <w:p>
            <w:pPr>
              <w:jc w:val="right"/>
              <w:ind w:right="170"/>
              <w:spacing w:after="0"/>
              <w:rPr>
                <w:sz w:val="20"/>
                <w:szCs w:val="20"/>
                <w:color w:val="auto"/>
              </w:rPr>
            </w:pPr>
            <w:r>
              <w:rPr>
                <w:rFonts w:ascii="Arial" w:cs="Arial" w:eastAsia="Arial" w:hAnsi="Arial"/>
                <w:sz w:val="18"/>
                <w:szCs w:val="18"/>
                <w:color w:val="auto"/>
                <w:w w:val="99"/>
              </w:rPr>
              <w:t>$</w:t>
            </w:r>
          </w:p>
        </w:tc>
        <w:tc>
          <w:tcPr>
            <w:tcW w:w="110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rPr>
              <w:t>1,225,853</w:t>
            </w:r>
          </w:p>
        </w:tc>
        <w:tc>
          <w:tcPr>
            <w:tcW w:w="200" w:type="dxa"/>
            <w:vAlign w:val="bottom"/>
          </w:tcPr>
          <w:p>
            <w:pPr>
              <w:spacing w:after="0"/>
              <w:rPr>
                <w:sz w:val="22"/>
                <w:szCs w:val="22"/>
                <w:color w:val="auto"/>
              </w:rPr>
            </w:pPr>
          </w:p>
        </w:tc>
        <w:tc>
          <w:tcPr>
            <w:tcW w:w="500" w:type="dxa"/>
            <w:vAlign w:val="bottom"/>
            <w:tcBorders>
              <w:bottom w:val="single" w:sz="8" w:color="auto"/>
            </w:tcBorders>
          </w:tcPr>
          <w:p>
            <w:pPr>
              <w:jc w:val="right"/>
              <w:ind w:right="290"/>
              <w:spacing w:after="0"/>
              <w:rPr>
                <w:sz w:val="20"/>
                <w:szCs w:val="20"/>
                <w:color w:val="auto"/>
              </w:rPr>
            </w:pPr>
            <w:r>
              <w:rPr>
                <w:rFonts w:ascii="Arial" w:cs="Arial" w:eastAsia="Arial" w:hAnsi="Arial"/>
                <w:sz w:val="18"/>
                <w:szCs w:val="18"/>
                <w:color w:val="auto"/>
                <w:w w:val="99"/>
              </w:rPr>
              <w:t>$</w:t>
            </w:r>
          </w:p>
        </w:tc>
        <w:tc>
          <w:tcPr>
            <w:tcW w:w="98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rPr>
              <w:t>661,727</w:t>
            </w:r>
          </w:p>
        </w:tc>
      </w:tr>
      <w:tr>
        <w:trPr>
          <w:trHeight w:val="20"/>
        </w:trPr>
        <w:tc>
          <w:tcPr>
            <w:tcW w:w="4820" w:type="dxa"/>
            <w:vAlign w:val="bottom"/>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48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50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30" w:lineRule="exact"/>
        <w:rPr>
          <w:sz w:val="20"/>
          <w:szCs w:val="20"/>
          <w:color w:val="auto"/>
        </w:rPr>
      </w:pPr>
    </w:p>
    <w:p>
      <w:pPr>
        <w:ind w:left="500" w:hanging="492"/>
        <w:spacing w:after="0"/>
        <w:tabs>
          <w:tab w:leader="none" w:pos="500" w:val="left"/>
        </w:tabs>
        <w:numPr>
          <w:ilvl w:val="0"/>
          <w:numId w:val="16"/>
        </w:numPr>
        <w:rPr>
          <w:rFonts w:ascii="Arial" w:cs="Arial" w:eastAsia="Arial" w:hAnsi="Arial"/>
          <w:sz w:val="18"/>
          <w:szCs w:val="18"/>
          <w:b w:val="1"/>
          <w:bCs w:val="1"/>
          <w:color w:val="auto"/>
        </w:rPr>
      </w:pPr>
      <w:r>
        <w:rPr>
          <w:rFonts w:ascii="Arial" w:cs="Arial" w:eastAsia="Arial" w:hAnsi="Arial"/>
          <w:sz w:val="18"/>
          <w:szCs w:val="18"/>
          <w:b w:val="1"/>
          <w:bCs w:val="1"/>
          <w:color w:val="auto"/>
        </w:rPr>
        <w:t>Contingencies and Guarantees</w:t>
      </w:r>
    </w:p>
    <w:p>
      <w:pPr>
        <w:spacing w:after="0" w:line="121" w:lineRule="exact"/>
        <w:rPr>
          <w:sz w:val="20"/>
          <w:szCs w:val="20"/>
          <w:color w:val="auto"/>
        </w:rPr>
      </w:pPr>
    </w:p>
    <w:p>
      <w:pPr>
        <w:ind w:right="40" w:firstLine="432"/>
        <w:spacing w:after="0" w:line="264" w:lineRule="auto"/>
        <w:rPr>
          <w:sz w:val="20"/>
          <w:szCs w:val="20"/>
          <w:color w:val="auto"/>
        </w:rPr>
      </w:pPr>
      <w:r>
        <w:rPr>
          <w:rFonts w:ascii="Arial" w:cs="Arial" w:eastAsia="Arial" w:hAnsi="Arial"/>
          <w:sz w:val="18"/>
          <w:szCs w:val="18"/>
          <w:color w:val="auto"/>
        </w:rPr>
        <w:t>We are from time to time involved in certain legal proceedings in the ordinary course of conducting our business. While the ultimate liability pursuant to these actions cannot currently be determined, we believe it is not reasonably possible that these legal proceedings will have a material adverse effect on our financial position or results of operations.</w:t>
      </w:r>
    </w:p>
    <w:p>
      <w:pPr>
        <w:sectPr>
          <w:pgSz w:w="11900" w:h="16838" w:orient="portrait"/>
          <w:cols w:equalWidth="0" w:num="1">
            <w:col w:w="11420"/>
          </w:cols>
          <w:pgMar w:left="240" w:top="118" w:right="239" w:bottom="1440" w:gutter="0" w:footer="0" w:header="0"/>
          <w:type w:val="continuous"/>
        </w:sectPr>
      </w:pPr>
    </w:p>
    <w:p>
      <w:pPr>
        <w:spacing w:after="0" w:line="208"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22</w:t>
      </w:r>
    </w:p>
    <w:p>
      <w:pPr>
        <w:sectPr>
          <w:pgSz w:w="11900" w:h="16838" w:orient="portrait"/>
          <w:cols w:equalWidth="0" w:num="1">
            <w:col w:w="11420"/>
          </w:cols>
          <w:pgMar w:left="240" w:top="118" w:right="239" w:bottom="1440" w:gutter="0" w:footer="0" w:header="0"/>
          <w:type w:val="continuous"/>
        </w:sectPr>
      </w:pPr>
    </w:p>
    <w:bookmarkStart w:id="22" w:name="page23"/>
    <w:bookmarkEnd w:id="22"/>
    <w:p>
      <w:pPr>
        <w:spacing w:after="0"/>
        <w:rPr>
          <w:rFonts w:ascii="Arial" w:cs="Arial" w:eastAsia="Arial" w:hAnsi="Arial"/>
          <w:sz w:val="14"/>
          <w:szCs w:val="14"/>
          <w:b w:val="1"/>
          <w:bCs w:val="1"/>
          <w:u w:val="single" w:color="auto"/>
          <w:color w:val="0000EE"/>
        </w:rPr>
      </w:pPr>
      <w:hyperlink w:anchor="page2">
        <w:r>
          <w:rPr>
            <w:rFonts w:ascii="Arial" w:cs="Arial" w:eastAsia="Arial" w:hAnsi="Arial"/>
            <w:sz w:val="14"/>
            <w:szCs w:val="14"/>
            <w:b w:val="1"/>
            <w:bCs w:val="1"/>
            <w:u w:val="single" w:color="auto"/>
            <w:color w:val="0000EE"/>
          </w:rPr>
          <w:t>Table of Contents</w:t>
        </w:r>
      </w:hyperlink>
    </w:p>
    <w:p>
      <w:pPr>
        <w:spacing w:after="0" w:line="360" w:lineRule="exact"/>
        <w:rPr>
          <w:sz w:val="20"/>
          <w:szCs w:val="20"/>
          <w:color w:val="auto"/>
        </w:rPr>
      </w:pPr>
    </w:p>
    <w:p>
      <w:pPr>
        <w:ind w:right="20" w:firstLine="432"/>
        <w:spacing w:after="0" w:line="255" w:lineRule="auto"/>
        <w:rPr>
          <w:sz w:val="20"/>
          <w:szCs w:val="20"/>
          <w:color w:val="auto"/>
        </w:rPr>
      </w:pPr>
      <w:r>
        <w:rPr>
          <w:rFonts w:ascii="Arial" w:cs="Arial" w:eastAsia="Arial" w:hAnsi="Arial"/>
          <w:sz w:val="18"/>
          <w:szCs w:val="18"/>
          <w:color w:val="auto"/>
        </w:rPr>
        <w:t>In March 2018, we received a notice of claim (the "Claim") from Macom Technology Solutions, Inc. ("Macom"), who acquired our HSOR business in August 2017 pursuant to an asset purchase agreement. Under the asset purchase agreement, we agreed to indemnify Macom for certain matters, including, among other things, the collection of accounts receivable from certain major customers, and placed $4.0 million of the purchase price into an escrow account for the potential settlement of any valid indemnity claims. The notice of claim received from Macom totaled $2.0 million under various indemnity provisions. We have disputed Macom's assertion of right to payment for the matters described in the Claim. It is uncertain what amount, if any, will be owed in settlement of the Claim.</w:t>
      </w:r>
    </w:p>
    <w:p>
      <w:pPr>
        <w:spacing w:after="0" w:line="193" w:lineRule="exact"/>
        <w:rPr>
          <w:sz w:val="20"/>
          <w:szCs w:val="20"/>
          <w:color w:val="auto"/>
        </w:rPr>
      </w:pPr>
    </w:p>
    <w:p>
      <w:pPr>
        <w:ind w:right="300" w:firstLine="432"/>
        <w:spacing w:after="0" w:line="264" w:lineRule="auto"/>
        <w:rPr>
          <w:sz w:val="20"/>
          <w:szCs w:val="20"/>
          <w:color w:val="auto"/>
        </w:rPr>
      </w:pPr>
      <w:r>
        <w:rPr>
          <w:rFonts w:ascii="Arial" w:cs="Arial" w:eastAsia="Arial" w:hAnsi="Arial"/>
          <w:sz w:val="18"/>
          <w:szCs w:val="18"/>
          <w:color w:val="auto"/>
        </w:rPr>
        <w:t>We executed a non-cancelable purchase order totaling $0.5 million in the fourth quarter of 2017 and a non-cancelable purchase order totaling $1.1 million in the first quarter of 2018 for multiple shipments of tunable lasers to be delivered over an 18-month period. At June 30, 2018, approximately $0.8 million of these commitments remained and is expected to be delivered by July 30, 2019.</w:t>
      </w:r>
    </w:p>
    <w:p>
      <w:pPr>
        <w:spacing w:after="0" w:line="181" w:lineRule="exact"/>
        <w:rPr>
          <w:sz w:val="20"/>
          <w:szCs w:val="20"/>
          <w:color w:val="auto"/>
        </w:rPr>
      </w:pPr>
    </w:p>
    <w:p>
      <w:pPr>
        <w:ind w:firstLine="432"/>
        <w:spacing w:after="0" w:line="259" w:lineRule="auto"/>
        <w:rPr>
          <w:sz w:val="20"/>
          <w:szCs w:val="20"/>
          <w:color w:val="auto"/>
        </w:rPr>
      </w:pPr>
      <w:r>
        <w:rPr>
          <w:rFonts w:ascii="Arial" w:cs="Arial" w:eastAsia="Arial" w:hAnsi="Arial"/>
          <w:sz w:val="18"/>
          <w:szCs w:val="18"/>
          <w:color w:val="auto"/>
        </w:rPr>
        <w:t>We have entered into indemnification agreements with our officers and directors, to the extent permitted by law, pursuant to which we have agreed to reimburse the officers and directors for legal expenses in the event of litigation and regulatory matters. The terms of these indemnification agreements provide for no limitation to the maximum potential future payments. We have a directors and officers insurance policy that may, in certain instances, mitigate the potential liability and payments.</w:t>
      </w:r>
    </w:p>
    <w:p>
      <w:pPr>
        <w:spacing w:after="0" w:line="21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23</w:t>
      </w:r>
    </w:p>
    <w:p>
      <w:pPr>
        <w:sectPr>
          <w:pgSz w:w="11900" w:h="16838" w:orient="portrait"/>
          <w:cols w:equalWidth="0" w:num="1">
            <w:col w:w="11420"/>
          </w:cols>
          <w:pgMar w:left="240" w:top="118" w:right="239" w:bottom="1440" w:gutter="0" w:footer="0" w:header="0"/>
        </w:sectPr>
      </w:pPr>
    </w:p>
    <w:bookmarkStart w:id="23" w:name="page24"/>
    <w:bookmarkEnd w:id="23"/>
    <w:p>
      <w:pPr>
        <w:spacing w:after="0"/>
        <w:rPr>
          <w:rFonts w:ascii="Arial" w:cs="Arial" w:eastAsia="Arial" w:hAnsi="Arial"/>
          <w:sz w:val="14"/>
          <w:szCs w:val="14"/>
          <w:b w:val="1"/>
          <w:bCs w:val="1"/>
          <w:u w:val="single" w:color="auto"/>
          <w:color w:val="0000EE"/>
        </w:rPr>
      </w:pPr>
      <w:hyperlink w:anchor="page2">
        <w:r>
          <w:rPr>
            <w:rFonts w:ascii="Arial" w:cs="Arial" w:eastAsia="Arial" w:hAnsi="Arial"/>
            <w:sz w:val="14"/>
            <w:szCs w:val="14"/>
            <w:b w:val="1"/>
            <w:bCs w:val="1"/>
            <w:u w:val="single" w:color="auto"/>
            <w:color w:val="0000EE"/>
          </w:rPr>
          <w:t>Table of Contents</w:t>
        </w:r>
      </w:hyperlink>
    </w:p>
    <w:p>
      <w:pPr>
        <w:spacing w:after="0" w:line="200" w:lineRule="exact"/>
        <w:rPr>
          <w:sz w:val="20"/>
          <w:szCs w:val="20"/>
          <w:color w:val="auto"/>
        </w:rPr>
      </w:pPr>
    </w:p>
    <w:p>
      <w:pPr>
        <w:spacing w:after="0" w:line="210" w:lineRule="exact"/>
        <w:rPr>
          <w:sz w:val="20"/>
          <w:szCs w:val="20"/>
          <w:color w:val="auto"/>
        </w:rPr>
      </w:pPr>
    </w:p>
    <w:p>
      <w:pPr>
        <w:ind w:left="40"/>
        <w:spacing w:after="0"/>
        <w:tabs>
          <w:tab w:leader="none" w:pos="1280" w:val="left"/>
        </w:tabs>
        <w:rPr>
          <w:sz w:val="20"/>
          <w:szCs w:val="20"/>
          <w:color w:val="auto"/>
        </w:rPr>
      </w:pPr>
      <w:r>
        <w:rPr>
          <w:rFonts w:ascii="Arial" w:cs="Arial" w:eastAsia="Arial" w:hAnsi="Arial"/>
          <w:sz w:val="18"/>
          <w:szCs w:val="18"/>
          <w:b w:val="1"/>
          <w:bCs w:val="1"/>
          <w:color w:val="auto"/>
        </w:rPr>
        <w:t>ITEM 2.</w:t>
      </w:r>
      <w:r>
        <w:rPr>
          <w:sz w:val="20"/>
          <w:szCs w:val="20"/>
          <w:color w:val="auto"/>
        </w:rPr>
        <w:tab/>
      </w:r>
      <w:r>
        <w:rPr>
          <w:rFonts w:ascii="Arial" w:cs="Arial" w:eastAsia="Arial" w:hAnsi="Arial"/>
          <w:sz w:val="17"/>
          <w:szCs w:val="17"/>
          <w:b w:val="1"/>
          <w:bCs w:val="1"/>
          <w:i w:val="1"/>
          <w:iCs w:val="1"/>
          <w:color w:val="auto"/>
        </w:rPr>
        <w:t>MANAGEMENT’S DISCUSSION AND ANALYSIS OF FINANCIAL CONDITION AND RESULTS OF OPERATIONS</w:t>
      </w:r>
    </w:p>
    <w:p>
      <w:pPr>
        <w:spacing w:after="0" w:line="252"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CAUTIONARY NOTE REGARDING FORWARD LOOKING STATEMENTS</w:t>
      </w:r>
    </w:p>
    <w:p>
      <w:pPr>
        <w:spacing w:after="0" w:line="229" w:lineRule="exact"/>
        <w:rPr>
          <w:sz w:val="20"/>
          <w:szCs w:val="20"/>
          <w:color w:val="auto"/>
        </w:rPr>
      </w:pPr>
    </w:p>
    <w:p>
      <w:pPr>
        <w:ind w:right="20" w:firstLine="432"/>
        <w:spacing w:after="0" w:line="287" w:lineRule="auto"/>
        <w:rPr>
          <w:sz w:val="20"/>
          <w:szCs w:val="20"/>
          <w:color w:val="auto"/>
        </w:rPr>
      </w:pPr>
      <w:r>
        <w:rPr>
          <w:rFonts w:ascii="Arial" w:cs="Arial" w:eastAsia="Arial" w:hAnsi="Arial"/>
          <w:sz w:val="16"/>
          <w:szCs w:val="16"/>
          <w:i w:val="1"/>
          <w:iCs w:val="1"/>
          <w:color w:val="auto"/>
        </w:rPr>
        <w:t>This Quarterly Report on Form 10-Q, including the sections entitled “Management’s Discussion and Analysis of Financial Condition and Results of Operations” and “Quantitative and Qualitative Disclosures About Market Risk” under Items 2 and 3, respectively, of Part I of this report, and the section entitled “Risk Factors” under Item 1A of Part II of this report, may contain forward-looking statements within the meaning of Section 21E of the Securities Exchange Act of 1934, as amended, and Section 27A of the Securities Act of 1933, as amended. All statements other than statements of historical fact are “forward-looking statements” for purposes of these statutes, including those relating to future events or our future financial performance. In some cases, you can identify these forward looking statements by words such as “intends,” “will,” “plans,” “anticipates,” “expects,” “may,” “might,” “estimates,” “believes,” “should,” “projects,” “predicts,” “potential” or “continue,” or the negative of those words and other comparable words, and other words or terms of similar meaning in connection with any discussion of future operating or financial performance. Similarly, statements that describe our business strategy, goals, prospects, opportunities, outlook, objectives, plans or intentions are also forward-looking statements. These statements are only predictions and may relate to, but are not limited to, expectations of future operating results or financial performance, capital expenditures, introduction of new products, regulatory compliance and plans for growth and future operations, as well as assumptions relating to the foregoing.</w:t>
      </w:r>
    </w:p>
    <w:p>
      <w:pPr>
        <w:spacing w:after="0" w:line="173" w:lineRule="exact"/>
        <w:rPr>
          <w:sz w:val="20"/>
          <w:szCs w:val="20"/>
          <w:color w:val="auto"/>
        </w:rPr>
      </w:pPr>
    </w:p>
    <w:p>
      <w:pPr>
        <w:ind w:right="40" w:firstLine="432"/>
        <w:spacing w:after="0" w:line="259" w:lineRule="auto"/>
        <w:rPr>
          <w:sz w:val="20"/>
          <w:szCs w:val="20"/>
          <w:color w:val="auto"/>
        </w:rPr>
      </w:pPr>
      <w:r>
        <w:rPr>
          <w:rFonts w:ascii="Arial" w:cs="Arial" w:eastAsia="Arial" w:hAnsi="Arial"/>
          <w:sz w:val="18"/>
          <w:szCs w:val="18"/>
          <w:i w:val="1"/>
          <w:iCs w:val="1"/>
          <w:color w:val="auto"/>
        </w:rPr>
        <w:t>These statements are based on current expectations and assumptions regarding future events and business performance and involve known and unknown risks, uncertainties and other factors that may cause actual events or results to be materially different from any future events or results expressed or implied by these statements. These factors include those set forth in the following discussion and within Item 1A “Risk Factors” of this Quarterly Report on Form 10-Q and elsewhere within this report.</w:t>
      </w:r>
    </w:p>
    <w:p>
      <w:pPr>
        <w:spacing w:after="0" w:line="79" w:lineRule="exact"/>
        <w:rPr>
          <w:sz w:val="20"/>
          <w:szCs w:val="20"/>
          <w:color w:val="auto"/>
        </w:rPr>
      </w:pPr>
    </w:p>
    <w:p>
      <w:pPr>
        <w:ind w:firstLine="432"/>
        <w:spacing w:after="0" w:line="257" w:lineRule="auto"/>
        <w:rPr>
          <w:sz w:val="20"/>
          <w:szCs w:val="20"/>
          <w:color w:val="auto"/>
        </w:rPr>
      </w:pPr>
      <w:r>
        <w:rPr>
          <w:rFonts w:ascii="Arial" w:cs="Arial" w:eastAsia="Arial" w:hAnsi="Arial"/>
          <w:sz w:val="18"/>
          <w:szCs w:val="18"/>
          <w:i w:val="1"/>
          <w:iCs w:val="1"/>
          <w:color w:val="auto"/>
        </w:rPr>
        <w:t>The following discussion and analysis of our financial condition and results of operations should be read in conjunction with our consolidated financial statements and the related notes to those statements included elsewhere in this report. In addition to historical financial information, the following discussion and analysis contains forward-looking statements that involve risks, uncertainties and assumptions. Our actual results and timing of selected events may differ materially from those anticipated in these forward-looking statements as a result of many factors, including those discussed under “Risk Factors” and elsewhere in this report.</w:t>
      </w:r>
    </w:p>
    <w:p>
      <w:pPr>
        <w:spacing w:after="0" w:line="34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Overview of Our Business</w:t>
      </w:r>
    </w:p>
    <w:p>
      <w:pPr>
        <w:spacing w:after="0" w:line="310" w:lineRule="exact"/>
        <w:rPr>
          <w:sz w:val="20"/>
          <w:szCs w:val="20"/>
          <w:color w:val="auto"/>
        </w:rPr>
      </w:pPr>
    </w:p>
    <w:p>
      <w:pPr>
        <w:ind w:right="80" w:firstLine="648"/>
        <w:spacing w:after="0" w:line="270" w:lineRule="auto"/>
        <w:rPr>
          <w:sz w:val="20"/>
          <w:szCs w:val="20"/>
          <w:color w:val="auto"/>
        </w:rPr>
      </w:pPr>
      <w:r>
        <w:rPr>
          <w:rFonts w:ascii="Arial" w:cs="Arial" w:eastAsia="Arial" w:hAnsi="Arial"/>
          <w:sz w:val="17"/>
          <w:szCs w:val="17"/>
          <w:color w:val="auto"/>
        </w:rPr>
        <w:t>We are a leader in advanced optical technology, providing unique capabilities in high performance fiber optic test products for the telecommunications industry and distributed fiber optic sensing for the aerospace and automotive industries. Our distributed fiber optic sensing products provide critical stress, strain and temperature information to designers and manufacturers working with advanced materials. Prior to the sale of our optoelectronics business in July 2018, we also developed and manufactured custom optoelectronic products for various applications such as metrology, missile guidance, flame monitoring, and temperature sensing. In addition, we provide applied research services, typically under research programs funded by the U.S. government, in areas of advanced materials, sensing, and healthcare applications. Our business model is designed to accelerate the process of bringing new and innovative products to market. We use our in-house technical expertise across a range of technologies to perform applied research services for companies and for government funded projects. We continue to invest in product development and commercialization, which we anticipate will lead to increased product sales growth.</w:t>
      </w:r>
    </w:p>
    <w:p>
      <w:pPr>
        <w:spacing w:after="0" w:line="128" w:lineRule="exact"/>
        <w:rPr>
          <w:sz w:val="20"/>
          <w:szCs w:val="20"/>
          <w:color w:val="auto"/>
        </w:rPr>
      </w:pPr>
    </w:p>
    <w:p>
      <w:pPr>
        <w:ind w:right="100" w:firstLine="432"/>
        <w:spacing w:after="0" w:line="293" w:lineRule="auto"/>
        <w:rPr>
          <w:sz w:val="20"/>
          <w:szCs w:val="20"/>
          <w:color w:val="auto"/>
        </w:rPr>
      </w:pPr>
      <w:r>
        <w:rPr>
          <w:rFonts w:ascii="Arial" w:cs="Arial" w:eastAsia="Arial" w:hAnsi="Arial"/>
          <w:sz w:val="16"/>
          <w:szCs w:val="16"/>
          <w:color w:val="auto"/>
        </w:rPr>
        <w:t>We are organized into two main business segments, the Products and Licensing segment and the Technology Development segment. Our Products and Licensing segment develops, manufactures and markets fiber optic sensing products, as well as test and measurement products, and also conducts applied research in the fiber optic sensing area for both corporate and government customers. Our Products and Licensing segment revenues represented 60% and 59% of our total revenues for the three months ended June 30, 2018 and 2017, respectively, and 61% and 59% of our total revenues for the six months ended June 30, 2018 and 2017, respectively. The approximate value of our Products and Licensing segment backlog was $5.5 million at June 30, 2018 and $6.9 million at December 31, 2017. The backlog at June 30, 2018 is expected to be recognized as revenue in the future as follows:</w:t>
      </w:r>
    </w:p>
    <w:p>
      <w:pPr>
        <w:spacing w:after="0" w:line="192"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24</w:t>
      </w:r>
    </w:p>
    <w:p>
      <w:pPr>
        <w:sectPr>
          <w:pgSz w:w="11900" w:h="16838" w:orient="portrait"/>
          <w:cols w:equalWidth="0" w:num="1">
            <w:col w:w="11400"/>
          </w:cols>
          <w:pgMar w:left="240" w:top="118" w:right="259" w:bottom="1440" w:gutter="0" w:footer="0" w:header="0"/>
        </w:sectPr>
      </w:pPr>
    </w:p>
    <w:bookmarkStart w:id="24" w:name="page25"/>
    <w:bookmarkEnd w:id="24"/>
    <w:p>
      <w:pPr>
        <w:spacing w:after="0"/>
        <w:rPr>
          <w:rFonts w:ascii="Arial" w:cs="Arial" w:eastAsia="Arial" w:hAnsi="Arial"/>
          <w:sz w:val="14"/>
          <w:szCs w:val="14"/>
          <w:b w:val="1"/>
          <w:bCs w:val="1"/>
          <w:u w:val="single" w:color="auto"/>
          <w:color w:val="0000EE"/>
        </w:rPr>
      </w:pPr>
      <w:hyperlink w:anchor="page2">
        <w:r>
          <w:rPr>
            <w:rFonts w:ascii="Arial" w:cs="Arial" w:eastAsia="Arial" w:hAnsi="Arial"/>
            <w:sz w:val="14"/>
            <w:szCs w:val="14"/>
            <w:b w:val="1"/>
            <w:bCs w:val="1"/>
            <w:u w:val="single" w:color="auto"/>
            <w:color w:val="0000EE"/>
          </w:rPr>
          <w:t>Table of Contents</w:t>
        </w:r>
      </w:hyperlink>
    </w:p>
    <w:p>
      <w:pPr>
        <w:spacing w:after="0" w:line="200" w:lineRule="exact"/>
        <w:rPr>
          <w:sz w:val="20"/>
          <w:szCs w:val="20"/>
          <w:color w:val="auto"/>
        </w:rPr>
      </w:pPr>
    </w:p>
    <w:p>
      <w:pPr>
        <w:spacing w:after="0" w:line="376" w:lineRule="exact"/>
        <w:rPr>
          <w:sz w:val="20"/>
          <w:szCs w:val="20"/>
          <w:color w:val="auto"/>
        </w:rPr>
      </w:pPr>
    </w:p>
    <w:tbl>
      <w:tblPr>
        <w:tblLayout w:type="fixed"/>
        <w:tblInd w:w="420" w:type="dxa"/>
        <w:tblCellMar>
          <w:top w:w="0" w:type="dxa"/>
          <w:left w:w="0" w:type="dxa"/>
          <w:bottom w:w="0" w:type="dxa"/>
          <w:right w:w="0" w:type="dxa"/>
        </w:tblCellMar>
      </w:tblPr>
      <w:tr>
        <w:trPr>
          <w:trHeight w:val="216"/>
        </w:trPr>
        <w:tc>
          <w:tcPr>
            <w:tcW w:w="236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40" w:type="dxa"/>
            <w:vAlign w:val="bottom"/>
          </w:tcPr>
          <w:p>
            <w:pPr>
              <w:jc w:val="center"/>
              <w:ind w:right="90"/>
              <w:spacing w:after="0"/>
              <w:rPr>
                <w:sz w:val="20"/>
                <w:szCs w:val="20"/>
                <w:color w:val="auto"/>
              </w:rPr>
            </w:pPr>
            <w:r>
              <w:rPr>
                <w:rFonts w:ascii="Arial" w:cs="Arial" w:eastAsia="Arial" w:hAnsi="Arial"/>
                <w:sz w:val="18"/>
                <w:szCs w:val="18"/>
                <w:color w:val="auto"/>
                <w:w w:val="87"/>
              </w:rPr>
              <w:t>2022 and</w:t>
            </w:r>
          </w:p>
        </w:tc>
        <w:tc>
          <w:tcPr>
            <w:tcW w:w="300" w:type="dxa"/>
            <w:vAlign w:val="bottom"/>
          </w:tcPr>
          <w:p>
            <w:pPr>
              <w:spacing w:after="0"/>
              <w:rPr>
                <w:sz w:val="18"/>
                <w:szCs w:val="18"/>
                <w:color w:val="auto"/>
              </w:rPr>
            </w:pPr>
          </w:p>
        </w:tc>
        <w:tc>
          <w:tcPr>
            <w:tcW w:w="1000" w:type="dxa"/>
            <w:vAlign w:val="bottom"/>
          </w:tcPr>
          <w:p>
            <w:pPr>
              <w:spacing w:after="0"/>
              <w:rPr>
                <w:sz w:val="18"/>
                <w:szCs w:val="18"/>
                <w:color w:val="auto"/>
              </w:rPr>
            </w:pPr>
          </w:p>
        </w:tc>
      </w:tr>
      <w:tr>
        <w:trPr>
          <w:trHeight w:val="230"/>
        </w:trPr>
        <w:tc>
          <w:tcPr>
            <w:tcW w:w="2360" w:type="dxa"/>
            <w:vAlign w:val="bottom"/>
          </w:tcPr>
          <w:p>
            <w:pPr>
              <w:spacing w:after="0"/>
              <w:rPr>
                <w:sz w:val="20"/>
                <w:szCs w:val="20"/>
                <w:color w:val="auto"/>
              </w:rPr>
            </w:pPr>
          </w:p>
        </w:tc>
        <w:tc>
          <w:tcPr>
            <w:tcW w:w="900" w:type="dxa"/>
            <w:vAlign w:val="bottom"/>
          </w:tcPr>
          <w:p>
            <w:pPr>
              <w:spacing w:after="0"/>
              <w:rPr>
                <w:sz w:val="20"/>
                <w:szCs w:val="20"/>
                <w:color w:val="auto"/>
              </w:rPr>
            </w:pPr>
          </w:p>
        </w:tc>
        <w:tc>
          <w:tcPr>
            <w:tcW w:w="960" w:type="dxa"/>
            <w:vAlign w:val="bottom"/>
          </w:tcPr>
          <w:p>
            <w:pPr>
              <w:ind w:left="160"/>
              <w:spacing w:after="0"/>
              <w:rPr>
                <w:sz w:val="20"/>
                <w:szCs w:val="20"/>
                <w:color w:val="auto"/>
              </w:rPr>
            </w:pPr>
            <w:r>
              <w:rPr>
                <w:rFonts w:ascii="Arial" w:cs="Arial" w:eastAsia="Arial" w:hAnsi="Arial"/>
                <w:sz w:val="18"/>
                <w:szCs w:val="18"/>
                <w:color w:val="auto"/>
              </w:rPr>
              <w:t>2018</w:t>
            </w:r>
          </w:p>
        </w:tc>
        <w:tc>
          <w:tcPr>
            <w:tcW w:w="320" w:type="dxa"/>
            <w:vAlign w:val="bottom"/>
          </w:tcPr>
          <w:p>
            <w:pPr>
              <w:spacing w:after="0"/>
              <w:rPr>
                <w:sz w:val="20"/>
                <w:szCs w:val="20"/>
                <w:color w:val="auto"/>
              </w:rPr>
            </w:pPr>
          </w:p>
        </w:tc>
        <w:tc>
          <w:tcPr>
            <w:tcW w:w="940" w:type="dxa"/>
            <w:vAlign w:val="bottom"/>
          </w:tcPr>
          <w:p>
            <w:pPr>
              <w:ind w:left="160"/>
              <w:spacing w:after="0"/>
              <w:rPr>
                <w:sz w:val="20"/>
                <w:szCs w:val="20"/>
                <w:color w:val="auto"/>
              </w:rPr>
            </w:pPr>
            <w:r>
              <w:rPr>
                <w:rFonts w:ascii="Arial" w:cs="Arial" w:eastAsia="Arial" w:hAnsi="Arial"/>
                <w:sz w:val="18"/>
                <w:szCs w:val="18"/>
                <w:color w:val="auto"/>
              </w:rPr>
              <w:t>2019</w:t>
            </w:r>
          </w:p>
        </w:tc>
        <w:tc>
          <w:tcPr>
            <w:tcW w:w="320" w:type="dxa"/>
            <w:vAlign w:val="bottom"/>
          </w:tcPr>
          <w:p>
            <w:pPr>
              <w:spacing w:after="0"/>
              <w:rPr>
                <w:sz w:val="20"/>
                <w:szCs w:val="20"/>
                <w:color w:val="auto"/>
              </w:rPr>
            </w:pPr>
          </w:p>
        </w:tc>
        <w:tc>
          <w:tcPr>
            <w:tcW w:w="960" w:type="dxa"/>
            <w:vAlign w:val="bottom"/>
          </w:tcPr>
          <w:p>
            <w:pPr>
              <w:jc w:val="right"/>
              <w:ind w:right="330"/>
              <w:spacing w:after="0"/>
              <w:rPr>
                <w:sz w:val="20"/>
                <w:szCs w:val="20"/>
                <w:color w:val="auto"/>
              </w:rPr>
            </w:pPr>
            <w:r>
              <w:rPr>
                <w:rFonts w:ascii="Arial" w:cs="Arial" w:eastAsia="Arial" w:hAnsi="Arial"/>
                <w:sz w:val="18"/>
                <w:szCs w:val="18"/>
                <w:color w:val="auto"/>
              </w:rPr>
              <w:t>2020</w:t>
            </w:r>
          </w:p>
        </w:tc>
        <w:tc>
          <w:tcPr>
            <w:tcW w:w="320" w:type="dxa"/>
            <w:vAlign w:val="bottom"/>
          </w:tcPr>
          <w:p>
            <w:pPr>
              <w:spacing w:after="0"/>
              <w:rPr>
                <w:sz w:val="20"/>
                <w:szCs w:val="20"/>
                <w:color w:val="auto"/>
              </w:rPr>
            </w:pPr>
          </w:p>
        </w:tc>
        <w:tc>
          <w:tcPr>
            <w:tcW w:w="940" w:type="dxa"/>
            <w:vAlign w:val="bottom"/>
          </w:tcPr>
          <w:p>
            <w:pPr>
              <w:jc w:val="right"/>
              <w:ind w:right="330"/>
              <w:spacing w:after="0"/>
              <w:rPr>
                <w:sz w:val="20"/>
                <w:szCs w:val="20"/>
                <w:color w:val="auto"/>
              </w:rPr>
            </w:pPr>
            <w:r>
              <w:rPr>
                <w:rFonts w:ascii="Arial" w:cs="Arial" w:eastAsia="Arial" w:hAnsi="Arial"/>
                <w:sz w:val="18"/>
                <w:szCs w:val="18"/>
                <w:color w:val="auto"/>
              </w:rPr>
              <w:t>2021</w:t>
            </w:r>
          </w:p>
        </w:tc>
        <w:tc>
          <w:tcPr>
            <w:tcW w:w="240" w:type="dxa"/>
            <w:vAlign w:val="bottom"/>
          </w:tcPr>
          <w:p>
            <w:pPr>
              <w:spacing w:after="0"/>
              <w:rPr>
                <w:sz w:val="20"/>
                <w:szCs w:val="20"/>
                <w:color w:val="auto"/>
              </w:rPr>
            </w:pPr>
          </w:p>
        </w:tc>
        <w:tc>
          <w:tcPr>
            <w:tcW w:w="1040" w:type="dxa"/>
            <w:vAlign w:val="bottom"/>
          </w:tcPr>
          <w:p>
            <w:pPr>
              <w:jc w:val="center"/>
              <w:ind w:right="90"/>
              <w:spacing w:after="0"/>
              <w:rPr>
                <w:sz w:val="20"/>
                <w:szCs w:val="20"/>
                <w:color w:val="auto"/>
              </w:rPr>
            </w:pPr>
            <w:r>
              <w:rPr>
                <w:rFonts w:ascii="Arial" w:cs="Arial" w:eastAsia="Arial" w:hAnsi="Arial"/>
                <w:sz w:val="18"/>
                <w:szCs w:val="18"/>
                <w:color w:val="auto"/>
                <w:w w:val="91"/>
              </w:rPr>
              <w:t>beyond</w:t>
            </w:r>
          </w:p>
        </w:tc>
        <w:tc>
          <w:tcPr>
            <w:tcW w:w="300" w:type="dxa"/>
            <w:vAlign w:val="bottom"/>
          </w:tcPr>
          <w:p>
            <w:pPr>
              <w:spacing w:after="0"/>
              <w:rPr>
                <w:sz w:val="20"/>
                <w:szCs w:val="20"/>
                <w:color w:val="auto"/>
              </w:rPr>
            </w:pPr>
          </w:p>
        </w:tc>
        <w:tc>
          <w:tcPr>
            <w:tcW w:w="1000" w:type="dxa"/>
            <w:vAlign w:val="bottom"/>
          </w:tcPr>
          <w:p>
            <w:pPr>
              <w:ind w:left="180"/>
              <w:spacing w:after="0"/>
              <w:rPr>
                <w:sz w:val="20"/>
                <w:szCs w:val="20"/>
                <w:color w:val="auto"/>
              </w:rPr>
            </w:pPr>
            <w:r>
              <w:rPr>
                <w:rFonts w:ascii="Arial" w:cs="Arial" w:eastAsia="Arial" w:hAnsi="Arial"/>
                <w:sz w:val="18"/>
                <w:szCs w:val="18"/>
                <w:color w:val="auto"/>
              </w:rPr>
              <w:t>Total</w:t>
            </w:r>
          </w:p>
        </w:tc>
      </w:tr>
      <w:tr>
        <w:trPr>
          <w:trHeight w:val="27"/>
        </w:trPr>
        <w:tc>
          <w:tcPr>
            <w:tcW w:w="236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r>
      <w:tr>
        <w:trPr>
          <w:trHeight w:val="237"/>
        </w:trPr>
        <w:tc>
          <w:tcPr>
            <w:tcW w:w="2360" w:type="dxa"/>
            <w:vAlign w:val="bottom"/>
            <w:shd w:val="clear" w:color="auto" w:fill="CCEEFF"/>
          </w:tcPr>
          <w:p>
            <w:pPr>
              <w:ind w:left="20"/>
              <w:spacing w:after="0"/>
              <w:rPr>
                <w:sz w:val="20"/>
                <w:szCs w:val="20"/>
                <w:color w:val="auto"/>
              </w:rPr>
            </w:pPr>
            <w:r>
              <w:rPr>
                <w:rFonts w:ascii="Arial" w:cs="Arial" w:eastAsia="Arial" w:hAnsi="Arial"/>
                <w:sz w:val="18"/>
                <w:szCs w:val="18"/>
                <w:color w:val="auto"/>
              </w:rPr>
              <w:t>Products and Licensing</w:t>
            </w:r>
          </w:p>
        </w:tc>
        <w:tc>
          <w:tcPr>
            <w:tcW w:w="900" w:type="dxa"/>
            <w:vAlign w:val="bottom"/>
            <w:shd w:val="clear" w:color="auto" w:fill="CCEEFF"/>
          </w:tcPr>
          <w:p>
            <w:pPr>
              <w:jc w:val="right"/>
              <w:ind w:right="90"/>
              <w:spacing w:after="0"/>
              <w:rPr>
                <w:sz w:val="20"/>
                <w:szCs w:val="20"/>
                <w:color w:val="auto"/>
              </w:rPr>
            </w:pPr>
            <w:r>
              <w:rPr>
                <w:rFonts w:ascii="Arial" w:cs="Arial" w:eastAsia="Arial" w:hAnsi="Arial"/>
                <w:sz w:val="18"/>
                <w:szCs w:val="18"/>
                <w:color w:val="auto"/>
              </w:rPr>
              <w:t>$</w:t>
            </w:r>
          </w:p>
        </w:tc>
        <w:tc>
          <w:tcPr>
            <w:tcW w:w="960" w:type="dxa"/>
            <w:vAlign w:val="bottom"/>
            <w:shd w:val="clear" w:color="auto" w:fill="CCEEFF"/>
          </w:tcPr>
          <w:p>
            <w:pPr>
              <w:ind w:left="180"/>
              <w:spacing w:after="0"/>
              <w:rPr>
                <w:sz w:val="20"/>
                <w:szCs w:val="20"/>
                <w:color w:val="auto"/>
              </w:rPr>
            </w:pPr>
            <w:r>
              <w:rPr>
                <w:rFonts w:ascii="Arial" w:cs="Arial" w:eastAsia="Arial" w:hAnsi="Arial"/>
                <w:sz w:val="18"/>
                <w:szCs w:val="18"/>
                <w:color w:val="auto"/>
                <w:w w:val="94"/>
              </w:rPr>
              <w:t>3,775,446</w:t>
            </w:r>
          </w:p>
        </w:tc>
        <w:tc>
          <w:tcPr>
            <w:tcW w:w="320" w:type="dxa"/>
            <w:vAlign w:val="bottom"/>
            <w:shd w:val="clear" w:color="auto" w:fill="CCEEFF"/>
          </w:tcPr>
          <w:p>
            <w:pPr>
              <w:jc w:val="right"/>
              <w:ind w:right="90"/>
              <w:spacing w:after="0"/>
              <w:rPr>
                <w:sz w:val="20"/>
                <w:szCs w:val="20"/>
                <w:color w:val="auto"/>
              </w:rPr>
            </w:pPr>
            <w:r>
              <w:rPr>
                <w:rFonts w:ascii="Arial" w:cs="Arial" w:eastAsia="Arial" w:hAnsi="Arial"/>
                <w:sz w:val="18"/>
                <w:szCs w:val="18"/>
                <w:color w:val="auto"/>
              </w:rPr>
              <w:t>$</w:t>
            </w:r>
          </w:p>
        </w:tc>
        <w:tc>
          <w:tcPr>
            <w:tcW w:w="940" w:type="dxa"/>
            <w:vAlign w:val="bottom"/>
            <w:shd w:val="clear" w:color="auto" w:fill="CCEEFF"/>
          </w:tcPr>
          <w:p>
            <w:pPr>
              <w:ind w:left="160"/>
              <w:spacing w:after="0"/>
              <w:rPr>
                <w:sz w:val="20"/>
                <w:szCs w:val="20"/>
                <w:color w:val="auto"/>
              </w:rPr>
            </w:pPr>
            <w:r>
              <w:rPr>
                <w:rFonts w:ascii="Arial" w:cs="Arial" w:eastAsia="Arial" w:hAnsi="Arial"/>
                <w:sz w:val="18"/>
                <w:szCs w:val="18"/>
                <w:color w:val="auto"/>
                <w:w w:val="94"/>
              </w:rPr>
              <w:t>1,559,621</w:t>
            </w:r>
          </w:p>
        </w:tc>
        <w:tc>
          <w:tcPr>
            <w:tcW w:w="320" w:type="dxa"/>
            <w:vAlign w:val="bottom"/>
            <w:shd w:val="clear" w:color="auto" w:fill="CCEEFF"/>
          </w:tcPr>
          <w:p>
            <w:pPr>
              <w:jc w:val="right"/>
              <w:ind w:right="70"/>
              <w:spacing w:after="0"/>
              <w:rPr>
                <w:sz w:val="20"/>
                <w:szCs w:val="20"/>
                <w:color w:val="auto"/>
              </w:rPr>
            </w:pPr>
            <w:r>
              <w:rPr>
                <w:rFonts w:ascii="Arial" w:cs="Arial" w:eastAsia="Arial" w:hAnsi="Arial"/>
                <w:sz w:val="18"/>
                <w:szCs w:val="18"/>
                <w:color w:val="auto"/>
              </w:rPr>
              <w:t>$</w:t>
            </w:r>
          </w:p>
        </w:tc>
        <w:tc>
          <w:tcPr>
            <w:tcW w:w="9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131,614</w:t>
            </w:r>
          </w:p>
        </w:tc>
        <w:tc>
          <w:tcPr>
            <w:tcW w:w="320" w:type="dxa"/>
            <w:vAlign w:val="bottom"/>
            <w:shd w:val="clear" w:color="auto" w:fill="CCEEFF"/>
          </w:tcPr>
          <w:p>
            <w:pPr>
              <w:jc w:val="right"/>
              <w:ind w:right="90"/>
              <w:spacing w:after="0"/>
              <w:rPr>
                <w:sz w:val="20"/>
                <w:szCs w:val="20"/>
                <w:color w:val="auto"/>
              </w:rPr>
            </w:pPr>
            <w:r>
              <w:rPr>
                <w:rFonts w:ascii="Arial" w:cs="Arial" w:eastAsia="Arial" w:hAnsi="Arial"/>
                <w:sz w:val="18"/>
                <w:szCs w:val="18"/>
                <w:color w:val="auto"/>
              </w:rPr>
              <w:t>$</w:t>
            </w:r>
          </w:p>
        </w:tc>
        <w:tc>
          <w:tcPr>
            <w:tcW w:w="9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22,878</w:t>
            </w:r>
          </w:p>
        </w:tc>
        <w:tc>
          <w:tcPr>
            <w:tcW w:w="2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0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18,438</w:t>
            </w:r>
          </w:p>
        </w:tc>
        <w:tc>
          <w:tcPr>
            <w:tcW w:w="300" w:type="dxa"/>
            <w:vAlign w:val="bottom"/>
            <w:shd w:val="clear" w:color="auto" w:fill="CCEEFF"/>
          </w:tcPr>
          <w:p>
            <w:pPr>
              <w:jc w:val="right"/>
              <w:ind w:right="70"/>
              <w:spacing w:after="0"/>
              <w:rPr>
                <w:sz w:val="20"/>
                <w:szCs w:val="20"/>
                <w:color w:val="auto"/>
              </w:rPr>
            </w:pPr>
            <w:r>
              <w:rPr>
                <w:rFonts w:ascii="Arial" w:cs="Arial" w:eastAsia="Arial" w:hAnsi="Arial"/>
                <w:sz w:val="18"/>
                <w:szCs w:val="18"/>
                <w:color w:val="auto"/>
              </w:rPr>
              <w:t>$</w:t>
            </w:r>
          </w:p>
        </w:tc>
        <w:tc>
          <w:tcPr>
            <w:tcW w:w="1000" w:type="dxa"/>
            <w:vAlign w:val="bottom"/>
            <w:shd w:val="clear" w:color="auto" w:fill="CCEEFF"/>
          </w:tcPr>
          <w:p>
            <w:pPr>
              <w:ind w:left="180"/>
              <w:spacing w:after="0"/>
              <w:rPr>
                <w:sz w:val="20"/>
                <w:szCs w:val="20"/>
                <w:color w:val="auto"/>
              </w:rPr>
            </w:pPr>
            <w:r>
              <w:rPr>
                <w:rFonts w:ascii="Arial" w:cs="Arial" w:eastAsia="Arial" w:hAnsi="Arial"/>
                <w:sz w:val="18"/>
                <w:szCs w:val="18"/>
                <w:color w:val="auto"/>
                <w:w w:val="99"/>
              </w:rPr>
              <w:t>5,507,997</w:t>
            </w:r>
          </w:p>
        </w:tc>
      </w:tr>
      <w:tr>
        <w:trPr>
          <w:trHeight w:val="27"/>
        </w:trPr>
        <w:tc>
          <w:tcPr>
            <w:tcW w:w="2360" w:type="dxa"/>
            <w:vAlign w:val="bottom"/>
            <w:shd w:val="clear" w:color="auto" w:fill="CCEEFF"/>
          </w:tcPr>
          <w:p>
            <w:pPr>
              <w:spacing w:after="0"/>
              <w:rPr>
                <w:sz w:val="2"/>
                <w:szCs w:val="2"/>
                <w:color w:val="auto"/>
              </w:rPr>
            </w:pPr>
          </w:p>
        </w:tc>
        <w:tc>
          <w:tcPr>
            <w:tcW w:w="900" w:type="dxa"/>
            <w:vAlign w:val="bottom"/>
            <w:shd w:val="clear" w:color="auto" w:fill="CCEEFF"/>
          </w:tcPr>
          <w:p>
            <w:pPr>
              <w:spacing w:after="0"/>
              <w:rPr>
                <w:sz w:val="2"/>
                <w:szCs w:val="2"/>
                <w:color w:val="auto"/>
              </w:rPr>
            </w:pPr>
          </w:p>
        </w:tc>
        <w:tc>
          <w:tcPr>
            <w:tcW w:w="960" w:type="dxa"/>
            <w:vAlign w:val="bottom"/>
            <w:shd w:val="clear" w:color="auto" w:fill="CCEEFF"/>
          </w:tcPr>
          <w:p>
            <w:pPr>
              <w:spacing w:after="0"/>
              <w:rPr>
                <w:sz w:val="2"/>
                <w:szCs w:val="2"/>
                <w:color w:val="auto"/>
              </w:rPr>
            </w:pPr>
          </w:p>
        </w:tc>
        <w:tc>
          <w:tcPr>
            <w:tcW w:w="320" w:type="dxa"/>
            <w:vAlign w:val="bottom"/>
            <w:shd w:val="clear" w:color="auto" w:fill="CCEEFF"/>
          </w:tcPr>
          <w:p>
            <w:pPr>
              <w:spacing w:after="0"/>
              <w:rPr>
                <w:sz w:val="2"/>
                <w:szCs w:val="2"/>
                <w:color w:val="auto"/>
              </w:rPr>
            </w:pPr>
          </w:p>
        </w:tc>
        <w:tc>
          <w:tcPr>
            <w:tcW w:w="940" w:type="dxa"/>
            <w:vAlign w:val="bottom"/>
            <w:shd w:val="clear" w:color="auto" w:fill="CCEEFF"/>
          </w:tcPr>
          <w:p>
            <w:pPr>
              <w:spacing w:after="0"/>
              <w:rPr>
                <w:sz w:val="2"/>
                <w:szCs w:val="2"/>
                <w:color w:val="auto"/>
              </w:rPr>
            </w:pPr>
          </w:p>
        </w:tc>
        <w:tc>
          <w:tcPr>
            <w:tcW w:w="320" w:type="dxa"/>
            <w:vAlign w:val="bottom"/>
            <w:shd w:val="clear" w:color="auto" w:fill="CCEEFF"/>
          </w:tcPr>
          <w:p>
            <w:pPr>
              <w:spacing w:after="0"/>
              <w:rPr>
                <w:sz w:val="2"/>
                <w:szCs w:val="2"/>
                <w:color w:val="auto"/>
              </w:rPr>
            </w:pPr>
          </w:p>
        </w:tc>
        <w:tc>
          <w:tcPr>
            <w:tcW w:w="960" w:type="dxa"/>
            <w:vAlign w:val="bottom"/>
            <w:shd w:val="clear" w:color="auto" w:fill="CCEEFF"/>
          </w:tcPr>
          <w:p>
            <w:pPr>
              <w:spacing w:after="0"/>
              <w:rPr>
                <w:sz w:val="2"/>
                <w:szCs w:val="2"/>
                <w:color w:val="auto"/>
              </w:rPr>
            </w:pPr>
          </w:p>
        </w:tc>
        <w:tc>
          <w:tcPr>
            <w:tcW w:w="320" w:type="dxa"/>
            <w:vAlign w:val="bottom"/>
            <w:shd w:val="clear" w:color="auto" w:fill="CCEEFF"/>
          </w:tcPr>
          <w:p>
            <w:pPr>
              <w:spacing w:after="0"/>
              <w:rPr>
                <w:sz w:val="2"/>
                <w:szCs w:val="2"/>
                <w:color w:val="auto"/>
              </w:rPr>
            </w:pPr>
          </w:p>
        </w:tc>
        <w:tc>
          <w:tcPr>
            <w:tcW w:w="940" w:type="dxa"/>
            <w:vAlign w:val="bottom"/>
            <w:shd w:val="clear" w:color="auto" w:fill="CCEEFF"/>
          </w:tcPr>
          <w:p>
            <w:pPr>
              <w:spacing w:after="0"/>
              <w:rPr>
                <w:sz w:val="2"/>
                <w:szCs w:val="2"/>
                <w:color w:val="auto"/>
              </w:rPr>
            </w:pPr>
          </w:p>
        </w:tc>
        <w:tc>
          <w:tcPr>
            <w:tcW w:w="240" w:type="dxa"/>
            <w:vAlign w:val="bottom"/>
            <w:shd w:val="clear" w:color="auto" w:fill="CCEEFF"/>
          </w:tcPr>
          <w:p>
            <w:pPr>
              <w:spacing w:after="0"/>
              <w:rPr>
                <w:sz w:val="2"/>
                <w:szCs w:val="2"/>
                <w:color w:val="auto"/>
              </w:rPr>
            </w:pPr>
          </w:p>
        </w:tc>
        <w:tc>
          <w:tcPr>
            <w:tcW w:w="1040" w:type="dxa"/>
            <w:vAlign w:val="bottom"/>
            <w:shd w:val="clear" w:color="auto" w:fill="CCEEFF"/>
          </w:tcPr>
          <w:p>
            <w:pPr>
              <w:spacing w:after="0"/>
              <w:rPr>
                <w:sz w:val="2"/>
                <w:szCs w:val="2"/>
                <w:color w:val="auto"/>
              </w:rPr>
            </w:pPr>
          </w:p>
        </w:tc>
        <w:tc>
          <w:tcPr>
            <w:tcW w:w="300" w:type="dxa"/>
            <w:vAlign w:val="bottom"/>
            <w:shd w:val="clear" w:color="auto" w:fill="CCEEFF"/>
          </w:tcPr>
          <w:p>
            <w:pPr>
              <w:spacing w:after="0"/>
              <w:rPr>
                <w:sz w:val="2"/>
                <w:szCs w:val="2"/>
                <w:color w:val="auto"/>
              </w:rPr>
            </w:pPr>
          </w:p>
        </w:tc>
        <w:tc>
          <w:tcPr>
            <w:tcW w:w="1000" w:type="dxa"/>
            <w:vAlign w:val="bottom"/>
            <w:shd w:val="clear" w:color="auto" w:fill="CCEEFF"/>
          </w:tcPr>
          <w:p>
            <w:pPr>
              <w:spacing w:after="0"/>
              <w:rPr>
                <w:sz w:val="2"/>
                <w:szCs w:val="2"/>
                <w:color w:val="auto"/>
              </w:rPr>
            </w:pPr>
          </w:p>
        </w:tc>
      </w:tr>
    </w:tbl>
    <w:p>
      <w:pPr>
        <w:spacing w:after="0" w:line="148" w:lineRule="exact"/>
        <w:rPr>
          <w:sz w:val="20"/>
          <w:szCs w:val="20"/>
          <w:color w:val="auto"/>
        </w:rPr>
      </w:pPr>
    </w:p>
    <w:p>
      <w:pPr>
        <w:ind w:firstLine="432"/>
        <w:spacing w:after="0" w:line="268" w:lineRule="auto"/>
        <w:rPr>
          <w:sz w:val="20"/>
          <w:szCs w:val="20"/>
          <w:color w:val="auto"/>
        </w:rPr>
      </w:pPr>
      <w:r>
        <w:rPr>
          <w:rFonts w:ascii="Arial" w:cs="Arial" w:eastAsia="Arial" w:hAnsi="Arial"/>
          <w:sz w:val="17"/>
          <w:szCs w:val="17"/>
          <w:color w:val="auto"/>
        </w:rPr>
        <w:t>The Technology Development segment performs applied research principally in the areas of sensing and instrumentation, advanced materials and health sciences. This segment comprised 40% and 41% of our total revenues for the three months ended June 30, 2018 and 2017, respectively, and 39% and 41% of our total revenues for the six months ended June 30, 2018 and 2017, respectively. Most of the government funding for our Technology Development segment is derived from the Small Business Innovation Research ("SBIR") program coordinated by the U.S. Small Business Administration ("SBA"). The Technology Development segment revenues have historically accounted for a large portion of our total revenues, and we expect that they will continue to represent a significant portion of our total revenues for the foreseeable future. The Technology Development segment revenues were $5.5 million and $4.6 million for the three months ended June 30, 2018 and 2017, respectively, and $10.1 million and $8.8 million for the six months ended June 30, 2018 and 2017. Within the Technology Development segment, we have historically had a backlog of contracts for which work has been scheduled, but for which a specified portion of work has not yet been completed. We define backlog as the dollar amount of obligations payable to us under negotiated contracts upon completion of a specified portion of work that has not yet been completed, exclusive of revenues previously recognized for work already performed under these contracts, if any. Total backlog includes funded backlog, which is the amount for which money has been directly authorized by the U.S. government and for which a purchase order has been received by a commercial customer, and unfunded backlog, representing firm orders for which funding has not yet been appropriated. Indefinite delivery and quantity contracts and unexercised options are not reported in total backlog. The approximate value of our Technology Development segment backlog was $19.3 million at June 30, 2018 and $23.5 million at December 31, 2017. The backlog at June 30, 2018 is expected to be recognized as revenue in the future as follows:</w:t>
      </w:r>
    </w:p>
    <w:p>
      <w:pPr>
        <w:spacing w:after="0" w:line="291" w:lineRule="exact"/>
        <w:rPr>
          <w:sz w:val="20"/>
          <w:szCs w:val="20"/>
          <w:color w:val="auto"/>
        </w:rPr>
      </w:pPr>
    </w:p>
    <w:tbl>
      <w:tblPr>
        <w:tblLayout w:type="fixed"/>
        <w:tblInd w:w="420" w:type="dxa"/>
        <w:tblCellMar>
          <w:top w:w="0" w:type="dxa"/>
          <w:left w:w="0" w:type="dxa"/>
          <w:bottom w:w="0" w:type="dxa"/>
          <w:right w:w="0" w:type="dxa"/>
        </w:tblCellMar>
      </w:tblPr>
      <w:tr>
        <w:trPr>
          <w:trHeight w:val="216"/>
        </w:trPr>
        <w:tc>
          <w:tcPr>
            <w:tcW w:w="244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40" w:type="dxa"/>
            <w:vAlign w:val="bottom"/>
          </w:tcPr>
          <w:p>
            <w:pPr>
              <w:jc w:val="right"/>
              <w:ind w:right="190"/>
              <w:spacing w:after="0"/>
              <w:rPr>
                <w:sz w:val="20"/>
                <w:szCs w:val="20"/>
                <w:color w:val="auto"/>
              </w:rPr>
            </w:pPr>
            <w:r>
              <w:rPr>
                <w:rFonts w:ascii="Arial" w:cs="Arial" w:eastAsia="Arial" w:hAnsi="Arial"/>
                <w:sz w:val="18"/>
                <w:szCs w:val="18"/>
                <w:color w:val="auto"/>
                <w:w w:val="98"/>
              </w:rPr>
              <w:t>2022 and</w:t>
            </w:r>
          </w:p>
        </w:tc>
        <w:tc>
          <w:tcPr>
            <w:tcW w:w="260" w:type="dxa"/>
            <w:vAlign w:val="bottom"/>
          </w:tcPr>
          <w:p>
            <w:pPr>
              <w:spacing w:after="0"/>
              <w:rPr>
                <w:sz w:val="18"/>
                <w:szCs w:val="18"/>
                <w:color w:val="auto"/>
              </w:rPr>
            </w:pPr>
          </w:p>
        </w:tc>
        <w:tc>
          <w:tcPr>
            <w:tcW w:w="1040" w:type="dxa"/>
            <w:vAlign w:val="bottom"/>
          </w:tcPr>
          <w:p>
            <w:pPr>
              <w:spacing w:after="0"/>
              <w:rPr>
                <w:sz w:val="18"/>
                <w:szCs w:val="18"/>
                <w:color w:val="auto"/>
              </w:rPr>
            </w:pPr>
          </w:p>
        </w:tc>
      </w:tr>
      <w:tr>
        <w:trPr>
          <w:trHeight w:val="230"/>
        </w:trPr>
        <w:tc>
          <w:tcPr>
            <w:tcW w:w="2440" w:type="dxa"/>
            <w:vAlign w:val="bottom"/>
          </w:tcPr>
          <w:p>
            <w:pPr>
              <w:ind w:left="20"/>
              <w:spacing w:after="0"/>
              <w:rPr>
                <w:sz w:val="20"/>
                <w:szCs w:val="20"/>
                <w:color w:val="auto"/>
              </w:rPr>
            </w:pPr>
            <w:r>
              <w:rPr>
                <w:rFonts w:ascii="Arial" w:cs="Arial" w:eastAsia="Arial" w:hAnsi="Arial"/>
                <w:sz w:val="18"/>
                <w:szCs w:val="18"/>
                <w:color w:val="auto"/>
              </w:rPr>
              <w:t>Technology Development</w:t>
            </w:r>
          </w:p>
        </w:tc>
        <w:tc>
          <w:tcPr>
            <w:tcW w:w="820" w:type="dxa"/>
            <w:vAlign w:val="bottom"/>
          </w:tcPr>
          <w:p>
            <w:pPr>
              <w:spacing w:after="0"/>
              <w:rPr>
                <w:sz w:val="20"/>
                <w:szCs w:val="20"/>
                <w:color w:val="auto"/>
              </w:rPr>
            </w:pPr>
          </w:p>
        </w:tc>
        <w:tc>
          <w:tcPr>
            <w:tcW w:w="960" w:type="dxa"/>
            <w:vAlign w:val="bottom"/>
          </w:tcPr>
          <w:p>
            <w:pPr>
              <w:ind w:left="160"/>
              <w:spacing w:after="0"/>
              <w:rPr>
                <w:sz w:val="20"/>
                <w:szCs w:val="20"/>
                <w:color w:val="auto"/>
              </w:rPr>
            </w:pPr>
            <w:r>
              <w:rPr>
                <w:rFonts w:ascii="Arial" w:cs="Arial" w:eastAsia="Arial" w:hAnsi="Arial"/>
                <w:sz w:val="18"/>
                <w:szCs w:val="18"/>
                <w:color w:val="auto"/>
              </w:rPr>
              <w:t>2018</w:t>
            </w:r>
          </w:p>
        </w:tc>
        <w:tc>
          <w:tcPr>
            <w:tcW w:w="320" w:type="dxa"/>
            <w:vAlign w:val="bottom"/>
          </w:tcPr>
          <w:p>
            <w:pPr>
              <w:spacing w:after="0"/>
              <w:rPr>
                <w:sz w:val="20"/>
                <w:szCs w:val="20"/>
                <w:color w:val="auto"/>
              </w:rPr>
            </w:pPr>
          </w:p>
        </w:tc>
        <w:tc>
          <w:tcPr>
            <w:tcW w:w="940" w:type="dxa"/>
            <w:vAlign w:val="bottom"/>
          </w:tcPr>
          <w:p>
            <w:pPr>
              <w:ind w:left="160"/>
              <w:spacing w:after="0"/>
              <w:rPr>
                <w:sz w:val="20"/>
                <w:szCs w:val="20"/>
                <w:color w:val="auto"/>
              </w:rPr>
            </w:pPr>
            <w:r>
              <w:rPr>
                <w:rFonts w:ascii="Arial" w:cs="Arial" w:eastAsia="Arial" w:hAnsi="Arial"/>
                <w:sz w:val="18"/>
                <w:szCs w:val="18"/>
                <w:color w:val="auto"/>
              </w:rPr>
              <w:t>2019</w:t>
            </w:r>
          </w:p>
        </w:tc>
        <w:tc>
          <w:tcPr>
            <w:tcW w:w="320" w:type="dxa"/>
            <w:vAlign w:val="bottom"/>
          </w:tcPr>
          <w:p>
            <w:pPr>
              <w:spacing w:after="0"/>
              <w:rPr>
                <w:sz w:val="20"/>
                <w:szCs w:val="20"/>
                <w:color w:val="auto"/>
              </w:rPr>
            </w:pPr>
          </w:p>
        </w:tc>
        <w:tc>
          <w:tcPr>
            <w:tcW w:w="960" w:type="dxa"/>
            <w:vAlign w:val="bottom"/>
          </w:tcPr>
          <w:p>
            <w:pPr>
              <w:jc w:val="right"/>
              <w:ind w:right="330"/>
              <w:spacing w:after="0"/>
              <w:rPr>
                <w:sz w:val="20"/>
                <w:szCs w:val="20"/>
                <w:color w:val="auto"/>
              </w:rPr>
            </w:pPr>
            <w:r>
              <w:rPr>
                <w:rFonts w:ascii="Arial" w:cs="Arial" w:eastAsia="Arial" w:hAnsi="Arial"/>
                <w:sz w:val="18"/>
                <w:szCs w:val="18"/>
                <w:color w:val="auto"/>
              </w:rPr>
              <w:t>2020</w:t>
            </w:r>
          </w:p>
        </w:tc>
        <w:tc>
          <w:tcPr>
            <w:tcW w:w="320" w:type="dxa"/>
            <w:vAlign w:val="bottom"/>
          </w:tcPr>
          <w:p>
            <w:pPr>
              <w:spacing w:after="0"/>
              <w:rPr>
                <w:sz w:val="20"/>
                <w:szCs w:val="20"/>
                <w:color w:val="auto"/>
              </w:rPr>
            </w:pPr>
          </w:p>
        </w:tc>
        <w:tc>
          <w:tcPr>
            <w:tcW w:w="940" w:type="dxa"/>
            <w:vAlign w:val="bottom"/>
          </w:tcPr>
          <w:p>
            <w:pPr>
              <w:jc w:val="right"/>
              <w:ind w:right="330"/>
              <w:spacing w:after="0"/>
              <w:rPr>
                <w:sz w:val="20"/>
                <w:szCs w:val="20"/>
                <w:color w:val="auto"/>
              </w:rPr>
            </w:pPr>
            <w:r>
              <w:rPr>
                <w:rFonts w:ascii="Arial" w:cs="Arial" w:eastAsia="Arial" w:hAnsi="Arial"/>
                <w:sz w:val="18"/>
                <w:szCs w:val="18"/>
                <w:color w:val="auto"/>
              </w:rPr>
              <w:t>2021</w:t>
            </w:r>
          </w:p>
        </w:tc>
        <w:tc>
          <w:tcPr>
            <w:tcW w:w="240" w:type="dxa"/>
            <w:vAlign w:val="bottom"/>
          </w:tcPr>
          <w:p>
            <w:pPr>
              <w:spacing w:after="0"/>
              <w:rPr>
                <w:sz w:val="20"/>
                <w:szCs w:val="20"/>
                <w:color w:val="auto"/>
              </w:rPr>
            </w:pPr>
          </w:p>
        </w:tc>
        <w:tc>
          <w:tcPr>
            <w:tcW w:w="1040" w:type="dxa"/>
            <w:vAlign w:val="bottom"/>
          </w:tcPr>
          <w:p>
            <w:pPr>
              <w:jc w:val="right"/>
              <w:ind w:right="250"/>
              <w:spacing w:after="0"/>
              <w:rPr>
                <w:sz w:val="20"/>
                <w:szCs w:val="20"/>
                <w:color w:val="auto"/>
              </w:rPr>
            </w:pPr>
            <w:r>
              <w:rPr>
                <w:rFonts w:ascii="Arial" w:cs="Arial" w:eastAsia="Arial" w:hAnsi="Arial"/>
                <w:sz w:val="18"/>
                <w:szCs w:val="18"/>
                <w:color w:val="auto"/>
              </w:rPr>
              <w:t>beyond</w:t>
            </w:r>
          </w:p>
        </w:tc>
        <w:tc>
          <w:tcPr>
            <w:tcW w:w="260" w:type="dxa"/>
            <w:vAlign w:val="bottom"/>
          </w:tcPr>
          <w:p>
            <w:pPr>
              <w:spacing w:after="0"/>
              <w:rPr>
                <w:sz w:val="20"/>
                <w:szCs w:val="20"/>
                <w:color w:val="auto"/>
              </w:rPr>
            </w:pPr>
          </w:p>
        </w:tc>
        <w:tc>
          <w:tcPr>
            <w:tcW w:w="1040" w:type="dxa"/>
            <w:vAlign w:val="bottom"/>
          </w:tcPr>
          <w:p>
            <w:pPr>
              <w:jc w:val="right"/>
              <w:ind w:right="370"/>
              <w:spacing w:after="0"/>
              <w:rPr>
                <w:sz w:val="20"/>
                <w:szCs w:val="20"/>
                <w:color w:val="auto"/>
              </w:rPr>
            </w:pPr>
            <w:r>
              <w:rPr>
                <w:rFonts w:ascii="Arial" w:cs="Arial" w:eastAsia="Arial" w:hAnsi="Arial"/>
                <w:sz w:val="18"/>
                <w:szCs w:val="18"/>
                <w:color w:val="auto"/>
              </w:rPr>
              <w:t>Total</w:t>
            </w:r>
          </w:p>
        </w:tc>
      </w:tr>
      <w:tr>
        <w:trPr>
          <w:trHeight w:val="27"/>
        </w:trPr>
        <w:tc>
          <w:tcPr>
            <w:tcW w:w="2440" w:type="dxa"/>
            <w:vAlign w:val="bottom"/>
            <w:tcBorders>
              <w:bottom w:val="single" w:sz="8" w:color="auto"/>
            </w:tcBorders>
          </w:tcPr>
          <w:p>
            <w:pPr>
              <w:spacing w:after="0"/>
              <w:rPr>
                <w:sz w:val="2"/>
                <w:szCs w:val="2"/>
                <w:color w:val="auto"/>
              </w:rPr>
            </w:pPr>
          </w:p>
        </w:tc>
        <w:tc>
          <w:tcPr>
            <w:tcW w:w="82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r>
      <w:tr>
        <w:trPr>
          <w:trHeight w:val="244"/>
        </w:trPr>
        <w:tc>
          <w:tcPr>
            <w:tcW w:w="2440" w:type="dxa"/>
            <w:vAlign w:val="bottom"/>
            <w:tcBorders>
              <w:bottom w:val="single" w:sz="8" w:color="CCEEFF"/>
            </w:tcBorders>
            <w:shd w:val="clear" w:color="auto" w:fill="CCEEFF"/>
          </w:tcPr>
          <w:p>
            <w:pPr>
              <w:ind w:left="120"/>
              <w:spacing w:after="0"/>
              <w:rPr>
                <w:sz w:val="20"/>
                <w:szCs w:val="20"/>
                <w:color w:val="auto"/>
              </w:rPr>
            </w:pPr>
            <w:r>
              <w:rPr>
                <w:rFonts w:ascii="Arial" w:cs="Arial" w:eastAsia="Arial" w:hAnsi="Arial"/>
                <w:sz w:val="18"/>
                <w:szCs w:val="18"/>
                <w:color w:val="auto"/>
              </w:rPr>
              <w:t>Funded</w:t>
            </w:r>
          </w:p>
        </w:tc>
        <w:tc>
          <w:tcPr>
            <w:tcW w:w="82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rPr>
              <w:t>$</w:t>
            </w:r>
          </w:p>
        </w:tc>
        <w:tc>
          <w:tcPr>
            <w:tcW w:w="96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w w:val="94"/>
              </w:rPr>
              <w:t>8,047,918</w:t>
            </w:r>
          </w:p>
        </w:tc>
        <w:tc>
          <w:tcPr>
            <w:tcW w:w="32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rPr>
              <w:t>$</w:t>
            </w:r>
          </w:p>
        </w:tc>
        <w:tc>
          <w:tcPr>
            <w:tcW w:w="940" w:type="dxa"/>
            <w:vAlign w:val="bottom"/>
            <w:tcBorders>
              <w:bottom w:val="single" w:sz="8" w:color="CCEEFF"/>
            </w:tcBorders>
            <w:shd w:val="clear" w:color="auto" w:fill="CCEEFF"/>
          </w:tcPr>
          <w:p>
            <w:pPr>
              <w:ind w:left="160"/>
              <w:spacing w:after="0"/>
              <w:rPr>
                <w:sz w:val="20"/>
                <w:szCs w:val="20"/>
                <w:color w:val="auto"/>
              </w:rPr>
            </w:pPr>
            <w:r>
              <w:rPr>
                <w:rFonts w:ascii="Arial" w:cs="Arial" w:eastAsia="Arial" w:hAnsi="Arial"/>
                <w:sz w:val="18"/>
                <w:szCs w:val="18"/>
                <w:color w:val="auto"/>
                <w:w w:val="94"/>
              </w:rPr>
              <w:t>5,649,998</w:t>
            </w:r>
          </w:p>
        </w:tc>
        <w:tc>
          <w:tcPr>
            <w:tcW w:w="32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rPr>
              <w:t>$</w:t>
            </w:r>
          </w:p>
        </w:tc>
        <w:tc>
          <w:tcPr>
            <w:tcW w:w="9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550,744</w:t>
            </w:r>
          </w:p>
        </w:tc>
        <w:tc>
          <w:tcPr>
            <w:tcW w:w="32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rPr>
              <w:t>$</w:t>
            </w:r>
          </w:p>
        </w:tc>
        <w:tc>
          <w:tcPr>
            <w:tcW w:w="9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11,064</w:t>
            </w:r>
          </w:p>
        </w:tc>
        <w:tc>
          <w:tcPr>
            <w:tcW w:w="2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0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5,532</w:t>
            </w:r>
          </w:p>
        </w:tc>
        <w:tc>
          <w:tcPr>
            <w:tcW w:w="2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w:t>
            </w:r>
          </w:p>
        </w:tc>
        <w:tc>
          <w:tcPr>
            <w:tcW w:w="10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14,265,256</w:t>
            </w:r>
          </w:p>
        </w:tc>
      </w:tr>
      <w:tr>
        <w:trPr>
          <w:trHeight w:val="243"/>
        </w:trPr>
        <w:tc>
          <w:tcPr>
            <w:tcW w:w="2440" w:type="dxa"/>
            <w:vAlign w:val="bottom"/>
          </w:tcPr>
          <w:p>
            <w:pPr>
              <w:ind w:left="120"/>
              <w:spacing w:after="0"/>
              <w:rPr>
                <w:sz w:val="20"/>
                <w:szCs w:val="20"/>
                <w:color w:val="auto"/>
              </w:rPr>
            </w:pPr>
            <w:r>
              <w:rPr>
                <w:rFonts w:ascii="Arial" w:cs="Arial" w:eastAsia="Arial" w:hAnsi="Arial"/>
                <w:sz w:val="18"/>
                <w:szCs w:val="18"/>
                <w:color w:val="auto"/>
              </w:rPr>
              <w:t>Unfunded</w:t>
            </w:r>
          </w:p>
        </w:tc>
        <w:tc>
          <w:tcPr>
            <w:tcW w:w="820" w:type="dxa"/>
            <w:vAlign w:val="bottom"/>
          </w:tcPr>
          <w:p>
            <w:pPr>
              <w:jc w:val="right"/>
              <w:ind w:right="90"/>
              <w:spacing w:after="0"/>
              <w:rPr>
                <w:sz w:val="20"/>
                <w:szCs w:val="20"/>
                <w:color w:val="auto"/>
              </w:rPr>
            </w:pPr>
            <w:r>
              <w:rPr>
                <w:rFonts w:ascii="Arial" w:cs="Arial" w:eastAsia="Arial" w:hAnsi="Arial"/>
                <w:sz w:val="18"/>
                <w:szCs w:val="18"/>
                <w:color w:val="auto"/>
              </w:rPr>
              <w:t>$</w:t>
            </w:r>
          </w:p>
        </w:tc>
        <w:tc>
          <w:tcPr>
            <w:tcW w:w="960" w:type="dxa"/>
            <w:vAlign w:val="bottom"/>
          </w:tcPr>
          <w:p>
            <w:pPr>
              <w:ind w:left="180"/>
              <w:spacing w:after="0"/>
              <w:rPr>
                <w:sz w:val="20"/>
                <w:szCs w:val="20"/>
                <w:color w:val="auto"/>
              </w:rPr>
            </w:pPr>
            <w:r>
              <w:rPr>
                <w:rFonts w:ascii="Arial" w:cs="Arial" w:eastAsia="Arial" w:hAnsi="Arial"/>
                <w:sz w:val="18"/>
                <w:szCs w:val="18"/>
                <w:color w:val="auto"/>
                <w:w w:val="94"/>
              </w:rPr>
              <w:t>1,275,476</w:t>
            </w:r>
          </w:p>
        </w:tc>
        <w:tc>
          <w:tcPr>
            <w:tcW w:w="320" w:type="dxa"/>
            <w:vAlign w:val="bottom"/>
          </w:tcPr>
          <w:p>
            <w:pPr>
              <w:jc w:val="right"/>
              <w:ind w:right="90"/>
              <w:spacing w:after="0"/>
              <w:rPr>
                <w:sz w:val="20"/>
                <w:szCs w:val="20"/>
                <w:color w:val="auto"/>
              </w:rPr>
            </w:pPr>
            <w:r>
              <w:rPr>
                <w:rFonts w:ascii="Arial" w:cs="Arial" w:eastAsia="Arial" w:hAnsi="Arial"/>
                <w:sz w:val="18"/>
                <w:szCs w:val="18"/>
                <w:color w:val="auto"/>
              </w:rPr>
              <w:t>$</w:t>
            </w:r>
          </w:p>
        </w:tc>
        <w:tc>
          <w:tcPr>
            <w:tcW w:w="940" w:type="dxa"/>
            <w:vAlign w:val="bottom"/>
          </w:tcPr>
          <w:p>
            <w:pPr>
              <w:ind w:left="160"/>
              <w:spacing w:after="0"/>
              <w:rPr>
                <w:sz w:val="20"/>
                <w:szCs w:val="20"/>
                <w:color w:val="auto"/>
              </w:rPr>
            </w:pPr>
            <w:r>
              <w:rPr>
                <w:rFonts w:ascii="Arial" w:cs="Arial" w:eastAsia="Arial" w:hAnsi="Arial"/>
                <w:sz w:val="18"/>
                <w:szCs w:val="18"/>
                <w:color w:val="auto"/>
                <w:w w:val="94"/>
              </w:rPr>
              <w:t>2,214,964</w:t>
            </w:r>
          </w:p>
        </w:tc>
        <w:tc>
          <w:tcPr>
            <w:tcW w:w="320" w:type="dxa"/>
            <w:vAlign w:val="bottom"/>
          </w:tcPr>
          <w:p>
            <w:pPr>
              <w:jc w:val="right"/>
              <w:ind w:right="70"/>
              <w:spacing w:after="0"/>
              <w:rPr>
                <w:sz w:val="20"/>
                <w:szCs w:val="20"/>
                <w:color w:val="auto"/>
              </w:rPr>
            </w:pPr>
            <w:r>
              <w:rPr>
                <w:rFonts w:ascii="Arial" w:cs="Arial" w:eastAsia="Arial" w:hAnsi="Arial"/>
                <w:sz w:val="18"/>
                <w:szCs w:val="18"/>
                <w:color w:val="auto"/>
              </w:rPr>
              <w:t>$</w:t>
            </w:r>
          </w:p>
        </w:tc>
        <w:tc>
          <w:tcPr>
            <w:tcW w:w="960" w:type="dxa"/>
            <w:vAlign w:val="bottom"/>
          </w:tcPr>
          <w:p>
            <w:pPr>
              <w:jc w:val="right"/>
              <w:spacing w:after="0"/>
              <w:rPr>
                <w:sz w:val="20"/>
                <w:szCs w:val="20"/>
                <w:color w:val="auto"/>
              </w:rPr>
            </w:pPr>
            <w:r>
              <w:rPr>
                <w:rFonts w:ascii="Arial" w:cs="Arial" w:eastAsia="Arial" w:hAnsi="Arial"/>
                <w:sz w:val="18"/>
                <w:szCs w:val="18"/>
                <w:color w:val="auto"/>
              </w:rPr>
              <w:t>868,710</w:t>
            </w:r>
          </w:p>
        </w:tc>
        <w:tc>
          <w:tcPr>
            <w:tcW w:w="320" w:type="dxa"/>
            <w:vAlign w:val="bottom"/>
          </w:tcPr>
          <w:p>
            <w:pPr>
              <w:jc w:val="right"/>
              <w:ind w:right="90"/>
              <w:spacing w:after="0"/>
              <w:rPr>
                <w:sz w:val="20"/>
                <w:szCs w:val="20"/>
                <w:color w:val="auto"/>
              </w:rPr>
            </w:pPr>
            <w:r>
              <w:rPr>
                <w:rFonts w:ascii="Arial" w:cs="Arial" w:eastAsia="Arial" w:hAnsi="Arial"/>
                <w:sz w:val="18"/>
                <w:szCs w:val="18"/>
                <w:color w:val="auto"/>
              </w:rPr>
              <w:t>$</w:t>
            </w:r>
          </w:p>
        </w:tc>
        <w:tc>
          <w:tcPr>
            <w:tcW w:w="940" w:type="dxa"/>
            <w:vAlign w:val="bottom"/>
          </w:tcPr>
          <w:p>
            <w:pPr>
              <w:jc w:val="right"/>
              <w:spacing w:after="0"/>
              <w:rPr>
                <w:sz w:val="20"/>
                <w:szCs w:val="20"/>
                <w:color w:val="auto"/>
              </w:rPr>
            </w:pPr>
            <w:r>
              <w:rPr>
                <w:rFonts w:ascii="Arial" w:cs="Arial" w:eastAsia="Arial" w:hAnsi="Arial"/>
                <w:sz w:val="18"/>
                <w:szCs w:val="18"/>
                <w:color w:val="auto"/>
              </w:rPr>
              <w:t>472,613</w:t>
            </w:r>
          </w:p>
        </w:tc>
        <w:tc>
          <w:tcPr>
            <w:tcW w:w="240" w:type="dxa"/>
            <w:vAlign w:val="bottom"/>
          </w:tcPr>
          <w:p>
            <w:pPr>
              <w:jc w:val="right"/>
              <w:spacing w:after="0"/>
              <w:rPr>
                <w:sz w:val="20"/>
                <w:szCs w:val="20"/>
                <w:color w:val="auto"/>
              </w:rPr>
            </w:pPr>
            <w:r>
              <w:rPr>
                <w:rFonts w:ascii="Arial" w:cs="Arial" w:eastAsia="Arial" w:hAnsi="Arial"/>
                <w:sz w:val="18"/>
                <w:szCs w:val="18"/>
                <w:color w:val="auto"/>
              </w:rPr>
              <w:t>$</w:t>
            </w:r>
          </w:p>
        </w:tc>
        <w:tc>
          <w:tcPr>
            <w:tcW w:w="1040" w:type="dxa"/>
            <w:vAlign w:val="bottom"/>
          </w:tcPr>
          <w:p>
            <w:pPr>
              <w:jc w:val="right"/>
              <w:spacing w:after="0"/>
              <w:rPr>
                <w:sz w:val="20"/>
                <w:szCs w:val="20"/>
                <w:color w:val="auto"/>
              </w:rPr>
            </w:pPr>
            <w:r>
              <w:rPr>
                <w:rFonts w:ascii="Arial" w:cs="Arial" w:eastAsia="Arial" w:hAnsi="Arial"/>
                <w:sz w:val="18"/>
                <w:szCs w:val="18"/>
                <w:color w:val="auto"/>
              </w:rPr>
              <w:t>236,306</w:t>
            </w:r>
          </w:p>
        </w:tc>
        <w:tc>
          <w:tcPr>
            <w:tcW w:w="260" w:type="dxa"/>
            <w:vAlign w:val="bottom"/>
          </w:tcPr>
          <w:p>
            <w:pPr>
              <w:jc w:val="right"/>
              <w:ind w:right="30"/>
              <w:spacing w:after="0"/>
              <w:rPr>
                <w:sz w:val="20"/>
                <w:szCs w:val="20"/>
                <w:color w:val="auto"/>
              </w:rPr>
            </w:pPr>
            <w:r>
              <w:rPr>
                <w:rFonts w:ascii="Arial" w:cs="Arial" w:eastAsia="Arial" w:hAnsi="Arial"/>
                <w:sz w:val="18"/>
                <w:szCs w:val="18"/>
                <w:color w:val="auto"/>
              </w:rPr>
              <w:t>$</w:t>
            </w:r>
          </w:p>
        </w:tc>
        <w:tc>
          <w:tcPr>
            <w:tcW w:w="1040" w:type="dxa"/>
            <w:vAlign w:val="bottom"/>
          </w:tcPr>
          <w:p>
            <w:pPr>
              <w:jc w:val="right"/>
              <w:ind w:right="10"/>
              <w:spacing w:after="0"/>
              <w:rPr>
                <w:sz w:val="20"/>
                <w:szCs w:val="20"/>
                <w:color w:val="auto"/>
              </w:rPr>
            </w:pPr>
            <w:r>
              <w:rPr>
                <w:rFonts w:ascii="Arial" w:cs="Arial" w:eastAsia="Arial" w:hAnsi="Arial"/>
                <w:sz w:val="18"/>
                <w:szCs w:val="18"/>
                <w:color w:val="auto"/>
              </w:rPr>
              <w:t>5,068,069</w:t>
            </w:r>
          </w:p>
        </w:tc>
      </w:tr>
    </w:tbl>
    <w:p>
      <w:pPr>
        <w:spacing w:after="0" w:line="175" w:lineRule="exact"/>
        <w:rPr>
          <w:sz w:val="20"/>
          <w:szCs w:val="20"/>
          <w:color w:val="auto"/>
        </w:rPr>
      </w:pPr>
    </w:p>
    <w:p>
      <w:pPr>
        <w:ind w:right="20" w:firstLine="432"/>
        <w:spacing w:after="0" w:line="290" w:lineRule="auto"/>
        <w:rPr>
          <w:sz w:val="20"/>
          <w:szCs w:val="20"/>
          <w:color w:val="auto"/>
        </w:rPr>
      </w:pPr>
      <w:r>
        <w:rPr>
          <w:rFonts w:ascii="Arial" w:cs="Arial" w:eastAsia="Arial" w:hAnsi="Arial"/>
          <w:sz w:val="16"/>
          <w:szCs w:val="16"/>
          <w:color w:val="auto"/>
        </w:rPr>
        <w:t>Revenues from product sales are mostly derived from the sales of our, sensing and test and measurement products that make use of light-transmitting optical fibers, or fiber optics. We continue to invest in product development and commercialization, which we anticipate will lead to increased product sales growth. Prior to the sale of our optoelectronics business in July 2018, revenues from product sales also included custom optoelectronic components and sub-assemblies sold to scientific instrumentation manufacturers. Although we have been successful in licensing certain technology in past years, we do not expect license revenues to represent a significant portion of future revenues. Over time, however, we do intend to gradually increase such revenues. In the near term, we expect revenues from product to continue to be primarily in areas associated with our fiber optic-based test and measurement and sensing platforms. In the long term, we expect that revenues from product sales will represent a larger portion of our total revenues and that as we develop and commercialize new products, these revenues will reflect a broader and more diversified mix of products.</w:t>
      </w:r>
    </w:p>
    <w:p>
      <w:pPr>
        <w:spacing w:after="0" w:line="112" w:lineRule="exact"/>
        <w:rPr>
          <w:sz w:val="20"/>
          <w:szCs w:val="20"/>
          <w:color w:val="auto"/>
        </w:rPr>
      </w:pPr>
    </w:p>
    <w:p>
      <w:pPr>
        <w:ind w:right="260" w:firstLine="432"/>
        <w:spacing w:after="0" w:line="277" w:lineRule="auto"/>
        <w:rPr>
          <w:sz w:val="20"/>
          <w:szCs w:val="20"/>
          <w:color w:val="auto"/>
        </w:rPr>
      </w:pPr>
      <w:r>
        <w:rPr>
          <w:rFonts w:ascii="Arial" w:cs="Arial" w:eastAsia="Arial" w:hAnsi="Arial"/>
          <w:sz w:val="18"/>
          <w:szCs w:val="18"/>
          <w:color w:val="auto"/>
        </w:rPr>
        <w:t>We may also grow our business in part through acquisitions of additional companies and complementary technologies, which could cause us to incur transaction expenses, amortization or write-offs of intangible assets and other acquisition-related expenses.</w:t>
      </w:r>
    </w:p>
    <w:p>
      <w:pPr>
        <w:spacing w:after="0" w:line="27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Description of Revenues, Costs and Expenses</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Revenues</w:t>
      </w:r>
    </w:p>
    <w:p>
      <w:pPr>
        <w:spacing w:after="0" w:line="117" w:lineRule="exact"/>
        <w:rPr>
          <w:sz w:val="20"/>
          <w:szCs w:val="20"/>
          <w:color w:val="auto"/>
        </w:rPr>
      </w:pPr>
    </w:p>
    <w:p>
      <w:pPr>
        <w:ind w:right="40" w:firstLine="432"/>
        <w:spacing w:after="0" w:line="273" w:lineRule="auto"/>
        <w:rPr>
          <w:sz w:val="20"/>
          <w:szCs w:val="20"/>
          <w:color w:val="auto"/>
        </w:rPr>
      </w:pPr>
      <w:r>
        <w:rPr>
          <w:rFonts w:ascii="Arial" w:cs="Arial" w:eastAsia="Arial" w:hAnsi="Arial"/>
          <w:sz w:val="17"/>
          <w:szCs w:val="17"/>
          <w:color w:val="auto"/>
        </w:rPr>
        <w:t>We generate revenues from technology development, product sales and commercial product development and licensing activities. We derive Technology Development segment revenues from providing research and development services to third parties, including government entities, academic institutions and corporations, and from achieving milestones established by some of these contracts and in collaboration agreements. In general, we complete contracted research over periods ranging from six months to three years, and recognize these revenues over the life of the contract as costs are incurred. The Technology Development segment revenues represented 40% and 41% of total revenues for the three months ended June 30, 2018 and 2017, respectively and 39% and 41% of our total revenues for the six months ended June 30, 2018 and 2017, respectively.</w:t>
      </w:r>
    </w:p>
    <w:p>
      <w:pPr>
        <w:spacing w:after="0" w:line="178" w:lineRule="exact"/>
        <w:rPr>
          <w:sz w:val="20"/>
          <w:szCs w:val="20"/>
          <w:color w:val="auto"/>
        </w:rPr>
      </w:pPr>
    </w:p>
    <w:p>
      <w:pPr>
        <w:ind w:right="220" w:firstLine="432"/>
        <w:spacing w:after="0" w:line="277" w:lineRule="auto"/>
        <w:rPr>
          <w:sz w:val="20"/>
          <w:szCs w:val="20"/>
          <w:color w:val="auto"/>
        </w:rPr>
      </w:pPr>
      <w:r>
        <w:rPr>
          <w:rFonts w:ascii="Arial" w:cs="Arial" w:eastAsia="Arial" w:hAnsi="Arial"/>
          <w:sz w:val="18"/>
          <w:szCs w:val="18"/>
          <w:color w:val="auto"/>
        </w:rPr>
        <w:t>The Products and Licensing segment revenues reflect amounts that we receive from sales of our products or development of products for third parties and, to a lesser extent, fees paid to us in connection with licenses or sub-licenses of certain patents</w:t>
      </w:r>
    </w:p>
    <w:p>
      <w:pPr>
        <w:spacing w:after="0" w:line="19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25</w:t>
      </w:r>
    </w:p>
    <w:p>
      <w:pPr>
        <w:sectPr>
          <w:pgSz w:w="11900" w:h="16838" w:orient="portrait"/>
          <w:cols w:equalWidth="0" w:num="1">
            <w:col w:w="11420"/>
          </w:cols>
          <w:pgMar w:left="240" w:top="118" w:right="239" w:bottom="1440" w:gutter="0" w:footer="0" w:header="0"/>
        </w:sectPr>
      </w:pPr>
    </w:p>
    <w:bookmarkStart w:id="25" w:name="page26"/>
    <w:bookmarkEnd w:id="25"/>
    <w:p>
      <w:pPr>
        <w:spacing w:after="0"/>
        <w:rPr>
          <w:rFonts w:ascii="Arial" w:cs="Arial" w:eastAsia="Arial" w:hAnsi="Arial"/>
          <w:sz w:val="14"/>
          <w:szCs w:val="14"/>
          <w:b w:val="1"/>
          <w:bCs w:val="1"/>
          <w:u w:val="single" w:color="auto"/>
          <w:color w:val="0000EE"/>
        </w:rPr>
      </w:pPr>
      <w:hyperlink w:anchor="page2">
        <w:r>
          <w:rPr>
            <w:rFonts w:ascii="Arial" w:cs="Arial" w:eastAsia="Arial" w:hAnsi="Arial"/>
            <w:sz w:val="14"/>
            <w:szCs w:val="14"/>
            <w:b w:val="1"/>
            <w:bCs w:val="1"/>
            <w:u w:val="single" w:color="auto"/>
            <w:color w:val="0000EE"/>
          </w:rPr>
          <w:t>Table of Contents</w:t>
        </w:r>
      </w:hyperlink>
    </w:p>
    <w:p>
      <w:pPr>
        <w:spacing w:after="0" w:line="200" w:lineRule="exact"/>
        <w:rPr>
          <w:sz w:val="20"/>
          <w:szCs w:val="20"/>
          <w:color w:val="auto"/>
        </w:rPr>
      </w:pPr>
    </w:p>
    <w:p>
      <w:pPr>
        <w:spacing w:after="0" w:line="268" w:lineRule="exact"/>
        <w:rPr>
          <w:sz w:val="20"/>
          <w:szCs w:val="20"/>
          <w:color w:val="auto"/>
        </w:rPr>
      </w:pPr>
    </w:p>
    <w:p>
      <w:pPr>
        <w:spacing w:after="0" w:line="277" w:lineRule="auto"/>
        <w:rPr>
          <w:sz w:val="20"/>
          <w:szCs w:val="20"/>
          <w:color w:val="auto"/>
        </w:rPr>
      </w:pPr>
      <w:r>
        <w:rPr>
          <w:rFonts w:ascii="Arial" w:cs="Arial" w:eastAsia="Arial" w:hAnsi="Arial"/>
          <w:sz w:val="18"/>
          <w:szCs w:val="18"/>
          <w:color w:val="auto"/>
        </w:rPr>
        <w:t>and other intellectual property, and represented 60% and 59% of our total revenues for the three months ended June 30, 2018 and 2017, respectively, and 61% and 59% of our total revenues for six months ended June 30, 2018 and 2017, respectively.</w:t>
      </w:r>
    </w:p>
    <w:p>
      <w:pPr>
        <w:spacing w:after="0" w:line="279"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Cost of Revenues</w:t>
      </w:r>
    </w:p>
    <w:p>
      <w:pPr>
        <w:spacing w:after="0" w:line="117" w:lineRule="exact"/>
        <w:rPr>
          <w:sz w:val="20"/>
          <w:szCs w:val="20"/>
          <w:color w:val="auto"/>
        </w:rPr>
      </w:pPr>
    </w:p>
    <w:p>
      <w:pPr>
        <w:ind w:right="400" w:firstLine="432"/>
        <w:spacing w:after="0" w:line="308" w:lineRule="auto"/>
        <w:rPr>
          <w:sz w:val="20"/>
          <w:szCs w:val="20"/>
          <w:color w:val="auto"/>
        </w:rPr>
      </w:pPr>
      <w:r>
        <w:rPr>
          <w:rFonts w:ascii="Arial" w:cs="Arial" w:eastAsia="Arial" w:hAnsi="Arial"/>
          <w:sz w:val="17"/>
          <w:szCs w:val="17"/>
          <w:color w:val="auto"/>
        </w:rPr>
        <w:t>Cost of revenues associated with our Technology Development segment revenues consists of costs associated with performing the related research activities including direct labor, amounts paid to subcontractors and overhead allocated to Technology Development segment activities.</w:t>
      </w:r>
    </w:p>
    <w:p>
      <w:pPr>
        <w:spacing w:after="0" w:line="147" w:lineRule="exact"/>
        <w:rPr>
          <w:sz w:val="20"/>
          <w:szCs w:val="20"/>
          <w:color w:val="auto"/>
        </w:rPr>
      </w:pPr>
    </w:p>
    <w:p>
      <w:pPr>
        <w:ind w:right="200" w:firstLine="432"/>
        <w:spacing w:after="0" w:line="286" w:lineRule="auto"/>
        <w:rPr>
          <w:sz w:val="20"/>
          <w:szCs w:val="20"/>
          <w:color w:val="auto"/>
        </w:rPr>
      </w:pPr>
      <w:r>
        <w:rPr>
          <w:rFonts w:ascii="Arial" w:cs="Arial" w:eastAsia="Arial" w:hAnsi="Arial"/>
          <w:sz w:val="17"/>
          <w:szCs w:val="17"/>
          <w:color w:val="auto"/>
        </w:rPr>
        <w:t>Cost of revenues associated with our Products and Licensing segment revenues consists of license fees for use of certain technologies, product manufacturing costs including all direct material and direct labor costs, amounts paid to our contract manufacturers, manufacturing, shipping and handling, provisions for product warranties, and inventory obsolescence as well as overhead allocated to each of these activities.</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Operating Expense</w:t>
      </w:r>
    </w:p>
    <w:p>
      <w:pPr>
        <w:spacing w:after="0" w:line="117" w:lineRule="exact"/>
        <w:rPr>
          <w:sz w:val="20"/>
          <w:szCs w:val="20"/>
          <w:color w:val="auto"/>
        </w:rPr>
      </w:pPr>
    </w:p>
    <w:p>
      <w:pPr>
        <w:ind w:right="160" w:firstLine="432"/>
        <w:spacing w:after="0" w:line="293" w:lineRule="auto"/>
        <w:rPr>
          <w:sz w:val="20"/>
          <w:szCs w:val="20"/>
          <w:color w:val="auto"/>
        </w:rPr>
      </w:pPr>
      <w:r>
        <w:rPr>
          <w:rFonts w:ascii="Arial" w:cs="Arial" w:eastAsia="Arial" w:hAnsi="Arial"/>
          <w:sz w:val="16"/>
          <w:szCs w:val="16"/>
          <w:color w:val="auto"/>
        </w:rPr>
        <w:t>Operating expense consists of selling, general and administrative expenses, as well as expenses related to research, development and engineering, depreciation of fixed assets and amortization of intangible assets. These expenses also include compensation for employees in executive and operational functions including certain non-cash charges related to expenses from option grants, facilities costs, professional fees, salaries, commissions, travel expense and related benefits of personnel engaged in sales, product management and marketing activities, costs of marketing programs and promotional materials, salaries, bonuses and related benefits of personnel engaged in our own research and development beyond the scope and activities of our Technology Development segment, product development activities not provided under contracts with third parties, and overhead costs related to these activities.</w:t>
      </w:r>
    </w:p>
    <w:p>
      <w:pPr>
        <w:spacing w:after="0" w:line="273"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Investment Income</w:t>
      </w:r>
    </w:p>
    <w:p>
      <w:pPr>
        <w:spacing w:after="0" w:line="117" w:lineRule="exact"/>
        <w:rPr>
          <w:sz w:val="20"/>
          <w:szCs w:val="20"/>
          <w:color w:val="auto"/>
        </w:rPr>
      </w:pPr>
    </w:p>
    <w:p>
      <w:pPr>
        <w:ind w:right="40" w:firstLine="432"/>
        <w:spacing w:after="0" w:line="277" w:lineRule="auto"/>
        <w:rPr>
          <w:sz w:val="20"/>
          <w:szCs w:val="20"/>
          <w:color w:val="auto"/>
        </w:rPr>
      </w:pPr>
      <w:r>
        <w:rPr>
          <w:rFonts w:ascii="Arial" w:cs="Arial" w:eastAsia="Arial" w:hAnsi="Arial"/>
          <w:sz w:val="18"/>
          <w:szCs w:val="18"/>
          <w:color w:val="auto"/>
        </w:rPr>
        <w:t>Investment income consists of amounts earned on our cash equivalents. We sweep on a daily basis a portion of our cash on hand into a fund invested in U.S. government obligations.</w:t>
      </w:r>
    </w:p>
    <w:p>
      <w:pPr>
        <w:spacing w:after="0" w:line="279"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Interest Expense</w:t>
      </w:r>
    </w:p>
    <w:p>
      <w:pPr>
        <w:spacing w:after="0" w:line="117" w:lineRule="exact"/>
        <w:rPr>
          <w:sz w:val="20"/>
          <w:szCs w:val="20"/>
          <w:color w:val="auto"/>
        </w:rPr>
      </w:pPr>
    </w:p>
    <w:p>
      <w:pPr>
        <w:ind w:left="440"/>
        <w:spacing w:after="0"/>
        <w:rPr>
          <w:sz w:val="20"/>
          <w:szCs w:val="20"/>
          <w:color w:val="auto"/>
        </w:rPr>
      </w:pPr>
      <w:r>
        <w:rPr>
          <w:rFonts w:ascii="Arial" w:cs="Arial" w:eastAsia="Arial" w:hAnsi="Arial"/>
          <w:sz w:val="18"/>
          <w:szCs w:val="18"/>
          <w:color w:val="auto"/>
        </w:rPr>
        <w:t>Interest expense is composed of interest paid under our term loans as well as interest accrued on our capital lease obligations.</w:t>
      </w:r>
    </w:p>
    <w:p>
      <w:pPr>
        <w:spacing w:after="0" w:line="32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Critical Accounting Policies and Estimates</w:t>
      </w:r>
    </w:p>
    <w:p>
      <w:pPr>
        <w:spacing w:after="0" w:line="121" w:lineRule="exact"/>
        <w:rPr>
          <w:sz w:val="20"/>
          <w:szCs w:val="20"/>
          <w:color w:val="auto"/>
        </w:rPr>
      </w:pPr>
    </w:p>
    <w:p>
      <w:pPr>
        <w:ind w:right="80" w:firstLine="432"/>
        <w:spacing w:after="0" w:line="257" w:lineRule="auto"/>
        <w:rPr>
          <w:sz w:val="20"/>
          <w:szCs w:val="20"/>
          <w:color w:val="auto"/>
        </w:rPr>
      </w:pPr>
      <w:r>
        <w:rPr>
          <w:rFonts w:ascii="Arial" w:cs="Arial" w:eastAsia="Arial" w:hAnsi="Arial"/>
          <w:sz w:val="18"/>
          <w:szCs w:val="18"/>
          <w:color w:val="auto"/>
        </w:rPr>
        <w:t>Our discussion and analysis of our financial condition and results of operations are based on our consolidated financial statements, which have been prepared in accordance with accounting principles generally accepted in the United States of America. The preparation of these financial statements requires us to make estimates, assumptions and judgments that affect the amounts reported in our financial statements and the accompanying notes. We base our estimates on historical experience and on various other assumptions that we believe to be reasonable under the circumstances. Actual results may differ from these estimates under different assumptions or judgments.</w:t>
      </w:r>
    </w:p>
    <w:p>
      <w:pPr>
        <w:spacing w:after="0" w:line="80" w:lineRule="exact"/>
        <w:rPr>
          <w:sz w:val="20"/>
          <w:szCs w:val="20"/>
          <w:color w:val="auto"/>
        </w:rPr>
      </w:pPr>
    </w:p>
    <w:p>
      <w:pPr>
        <w:ind w:right="20" w:firstLine="432"/>
        <w:spacing w:after="0" w:line="259" w:lineRule="auto"/>
        <w:rPr>
          <w:sz w:val="20"/>
          <w:szCs w:val="20"/>
          <w:color w:val="auto"/>
        </w:rPr>
      </w:pPr>
      <w:r>
        <w:rPr>
          <w:rFonts w:ascii="Arial" w:cs="Arial" w:eastAsia="Arial" w:hAnsi="Arial"/>
          <w:sz w:val="18"/>
          <w:szCs w:val="18"/>
          <w:color w:val="auto"/>
        </w:rPr>
        <w:t>Our critical accounting policies are described in the Management’s Discussion and Analysis section and the notes to our audited consolidated financial statements previously included in our Annual Report on Form 10-K for the year ended December 31, 2017, as filed with the Securities and Exchange Commission ("SEC") on March 21, 2018. Significant changes to our critical accounting estimates as a result of adopting Topic 606 are discussed in Note 1 of our unaudited consolidated financial statements included in this Quarterly Report on Form 10-Q.</w:t>
      </w:r>
    </w:p>
    <w:p>
      <w:pPr>
        <w:spacing w:after="0" w:line="200" w:lineRule="exact"/>
        <w:rPr>
          <w:sz w:val="20"/>
          <w:szCs w:val="20"/>
          <w:color w:val="auto"/>
        </w:rPr>
      </w:pPr>
    </w:p>
    <w:p>
      <w:pPr>
        <w:spacing w:after="0" w:line="200" w:lineRule="exact"/>
        <w:rPr>
          <w:sz w:val="20"/>
          <w:szCs w:val="20"/>
          <w:color w:val="auto"/>
        </w:rPr>
      </w:pPr>
    </w:p>
    <w:p>
      <w:pPr>
        <w:spacing w:after="0" w:line="21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Results of Operations</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Three Months Ended June 30, 2018 Compared to Three Months Ended June 30, 2017</w:t>
      </w:r>
    </w:p>
    <w:p>
      <w:pPr>
        <w:spacing w:after="0" w:line="117"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Revenues</w:t>
      </w:r>
    </w:p>
    <w:p>
      <w:pPr>
        <w:spacing w:after="0" w:line="252"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26</w:t>
      </w:r>
    </w:p>
    <w:p>
      <w:pPr>
        <w:sectPr>
          <w:pgSz w:w="11900" w:h="16838" w:orient="portrait"/>
          <w:cols w:equalWidth="0" w:num="1">
            <w:col w:w="11380"/>
          </w:cols>
          <w:pgMar w:left="240" w:top="118" w:right="279" w:bottom="1440" w:gutter="0" w:footer="0" w:header="0"/>
        </w:sectPr>
      </w:pPr>
    </w:p>
    <w:bookmarkStart w:id="26" w:name="page27"/>
    <w:bookmarkEnd w:id="26"/>
    <w:tbl>
      <w:tblPr>
        <w:tblLayout w:type="fixed"/>
        <w:tblInd w:w="0" w:type="dxa"/>
        <w:tblCellMar>
          <w:top w:w="0" w:type="dxa"/>
          <w:left w:w="0" w:type="dxa"/>
          <w:bottom w:w="0" w:type="dxa"/>
          <w:right w:w="0" w:type="dxa"/>
        </w:tblCellMar>
      </w:tblPr>
      <w:tr>
        <w:trPr>
          <w:trHeight w:val="161"/>
        </w:trPr>
        <w:tc>
          <w:tcPr>
            <w:tcW w:w="5120" w:type="dxa"/>
            <w:vAlign w:val="bottom"/>
            <w:gridSpan w:val="2"/>
          </w:tcPr>
          <w:p>
            <w:pPr>
              <w:spacing w:after="0"/>
              <w:rPr>
                <w:rFonts w:ascii="Arial" w:cs="Arial" w:eastAsia="Arial" w:hAnsi="Arial"/>
                <w:sz w:val="14"/>
                <w:szCs w:val="14"/>
                <w:b w:val="1"/>
                <w:bCs w:val="1"/>
                <w:color w:val="0000EE"/>
              </w:rPr>
            </w:pPr>
            <w:hyperlink w:anchor="page2">
              <w:r>
                <w:rPr>
                  <w:rFonts w:ascii="Arial" w:cs="Arial" w:eastAsia="Arial" w:hAnsi="Arial"/>
                  <w:sz w:val="14"/>
                  <w:szCs w:val="14"/>
                  <w:b w:val="1"/>
                  <w:bCs w:val="1"/>
                  <w:color w:val="0000EE"/>
                </w:rPr>
                <w:t>Table of Contents</w:t>
              </w:r>
            </w:hyperlink>
          </w:p>
        </w:tc>
        <w:tc>
          <w:tcPr>
            <w:tcW w:w="34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10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12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560" w:type="dxa"/>
            <w:vAlign w:val="bottom"/>
          </w:tcPr>
          <w:p>
            <w:pPr>
              <w:spacing w:after="0"/>
              <w:rPr>
                <w:sz w:val="14"/>
                <w:szCs w:val="14"/>
                <w:color w:val="auto"/>
              </w:rPr>
            </w:pPr>
          </w:p>
        </w:tc>
      </w:tr>
      <w:tr>
        <w:trPr>
          <w:trHeight w:val="649"/>
        </w:trPr>
        <w:tc>
          <w:tcPr>
            <w:tcW w:w="1100" w:type="dxa"/>
            <w:vAlign w:val="bottom"/>
            <w:tcBorders>
              <w:top w:val="single" w:sz="8" w:color="0000EE"/>
            </w:tcBorders>
          </w:tcPr>
          <w:p>
            <w:pPr>
              <w:spacing w:after="0"/>
              <w:rPr>
                <w:sz w:val="24"/>
                <w:szCs w:val="24"/>
                <w:color w:val="auto"/>
              </w:rPr>
            </w:pPr>
          </w:p>
        </w:tc>
        <w:tc>
          <w:tcPr>
            <w:tcW w:w="402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2820" w:type="dxa"/>
            <w:vAlign w:val="bottom"/>
            <w:gridSpan w:val="5"/>
          </w:tcPr>
          <w:p>
            <w:pPr>
              <w:ind w:left="280"/>
              <w:spacing w:after="0"/>
              <w:rPr>
                <w:sz w:val="20"/>
                <w:szCs w:val="20"/>
                <w:color w:val="auto"/>
              </w:rPr>
            </w:pPr>
            <w:r>
              <w:rPr>
                <w:rFonts w:ascii="Arial" w:cs="Arial" w:eastAsia="Arial" w:hAnsi="Arial"/>
                <w:sz w:val="14"/>
                <w:szCs w:val="14"/>
                <w:b w:val="1"/>
                <w:bCs w:val="1"/>
                <w:color w:val="auto"/>
              </w:rPr>
              <w:t>Three Months Ended June 30,</w:t>
            </w:r>
          </w:p>
        </w:tc>
        <w:tc>
          <w:tcPr>
            <w:tcW w:w="240" w:type="dxa"/>
            <w:vAlign w:val="bottom"/>
          </w:tcPr>
          <w:p>
            <w:pPr>
              <w:spacing w:after="0"/>
              <w:rPr>
                <w:sz w:val="24"/>
                <w:szCs w:val="24"/>
                <w:color w:val="auto"/>
              </w:rPr>
            </w:pPr>
          </w:p>
        </w:tc>
        <w:tc>
          <w:tcPr>
            <w:tcW w:w="12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560" w:type="dxa"/>
            <w:vAlign w:val="bottom"/>
          </w:tcPr>
          <w:p>
            <w:pPr>
              <w:spacing w:after="0"/>
              <w:rPr>
                <w:sz w:val="24"/>
                <w:szCs w:val="24"/>
                <w:color w:val="auto"/>
              </w:rPr>
            </w:pPr>
          </w:p>
        </w:tc>
      </w:tr>
      <w:tr>
        <w:trPr>
          <w:trHeight w:val="264"/>
        </w:trPr>
        <w:tc>
          <w:tcPr>
            <w:tcW w:w="1100" w:type="dxa"/>
            <w:vAlign w:val="bottom"/>
            <w:tcBorders>
              <w:bottom w:val="single" w:sz="8" w:color="CCEEFF"/>
            </w:tcBorders>
          </w:tcPr>
          <w:p>
            <w:pPr>
              <w:spacing w:after="0"/>
              <w:rPr>
                <w:sz w:val="22"/>
                <w:szCs w:val="22"/>
                <w:color w:val="auto"/>
              </w:rPr>
            </w:pPr>
          </w:p>
        </w:tc>
        <w:tc>
          <w:tcPr>
            <w:tcW w:w="4020" w:type="dxa"/>
            <w:vAlign w:val="bottom"/>
            <w:tcBorders>
              <w:bottom w:val="single" w:sz="8" w:color="CCEEFF"/>
            </w:tcBorders>
          </w:tcPr>
          <w:p>
            <w:pPr>
              <w:spacing w:after="0"/>
              <w:rPr>
                <w:sz w:val="22"/>
                <w:szCs w:val="22"/>
                <w:color w:val="auto"/>
              </w:rPr>
            </w:pPr>
          </w:p>
        </w:tc>
        <w:tc>
          <w:tcPr>
            <w:tcW w:w="340" w:type="dxa"/>
            <w:vAlign w:val="bottom"/>
            <w:tcBorders>
              <w:top w:val="single" w:sz="8" w:color="auto"/>
              <w:bottom w:val="single" w:sz="8" w:color="auto"/>
            </w:tcBorders>
          </w:tcPr>
          <w:p>
            <w:pPr>
              <w:spacing w:after="0"/>
              <w:rPr>
                <w:sz w:val="22"/>
                <w:szCs w:val="22"/>
                <w:color w:val="auto"/>
              </w:rPr>
            </w:pPr>
          </w:p>
        </w:tc>
        <w:tc>
          <w:tcPr>
            <w:tcW w:w="1140" w:type="dxa"/>
            <w:vAlign w:val="bottom"/>
            <w:tcBorders>
              <w:top w:val="single" w:sz="8" w:color="auto"/>
              <w:bottom w:val="single" w:sz="8" w:color="auto"/>
            </w:tcBorders>
          </w:tcPr>
          <w:p>
            <w:pPr>
              <w:jc w:val="right"/>
              <w:ind w:right="517"/>
              <w:spacing w:after="0"/>
              <w:rPr>
                <w:sz w:val="20"/>
                <w:szCs w:val="20"/>
                <w:color w:val="auto"/>
              </w:rPr>
            </w:pPr>
            <w:r>
              <w:rPr>
                <w:rFonts w:ascii="Arial" w:cs="Arial" w:eastAsia="Arial" w:hAnsi="Arial"/>
                <w:sz w:val="14"/>
                <w:szCs w:val="14"/>
                <w:b w:val="1"/>
                <w:bCs w:val="1"/>
                <w:color w:val="auto"/>
              </w:rPr>
              <w:t>2018</w:t>
            </w:r>
          </w:p>
        </w:tc>
        <w:tc>
          <w:tcPr>
            <w:tcW w:w="220" w:type="dxa"/>
            <w:vAlign w:val="bottom"/>
            <w:tcBorders>
              <w:top w:val="single" w:sz="8" w:color="auto"/>
              <w:bottom w:val="single" w:sz="8" w:color="CCEEFF"/>
            </w:tcBorders>
          </w:tcPr>
          <w:p>
            <w:pPr>
              <w:spacing w:after="0"/>
              <w:rPr>
                <w:sz w:val="22"/>
                <w:szCs w:val="22"/>
                <w:color w:val="auto"/>
              </w:rPr>
            </w:pPr>
          </w:p>
        </w:tc>
        <w:tc>
          <w:tcPr>
            <w:tcW w:w="280" w:type="dxa"/>
            <w:vAlign w:val="bottom"/>
            <w:tcBorders>
              <w:top w:val="single" w:sz="8" w:color="auto"/>
              <w:bottom w:val="single" w:sz="8" w:color="auto"/>
            </w:tcBorders>
          </w:tcPr>
          <w:p>
            <w:pPr>
              <w:spacing w:after="0"/>
              <w:rPr>
                <w:sz w:val="22"/>
                <w:szCs w:val="22"/>
                <w:color w:val="auto"/>
              </w:rPr>
            </w:pPr>
          </w:p>
        </w:tc>
        <w:tc>
          <w:tcPr>
            <w:tcW w:w="1080" w:type="dxa"/>
            <w:vAlign w:val="bottom"/>
            <w:tcBorders>
              <w:top w:val="single" w:sz="8" w:color="auto"/>
              <w:bottom w:val="single" w:sz="8" w:color="auto"/>
            </w:tcBorders>
          </w:tcPr>
          <w:p>
            <w:pPr>
              <w:jc w:val="right"/>
              <w:ind w:right="454"/>
              <w:spacing w:after="0"/>
              <w:rPr>
                <w:sz w:val="20"/>
                <w:szCs w:val="20"/>
                <w:color w:val="auto"/>
              </w:rPr>
            </w:pPr>
            <w:r>
              <w:rPr>
                <w:rFonts w:ascii="Arial" w:cs="Arial" w:eastAsia="Arial" w:hAnsi="Arial"/>
                <w:sz w:val="14"/>
                <w:szCs w:val="14"/>
                <w:b w:val="1"/>
                <w:bCs w:val="1"/>
                <w:color w:val="auto"/>
              </w:rPr>
              <w:t>2017</w:t>
            </w:r>
          </w:p>
        </w:tc>
        <w:tc>
          <w:tcPr>
            <w:tcW w:w="100" w:type="dxa"/>
            <w:vAlign w:val="bottom"/>
            <w:tcBorders>
              <w:bottom w:val="single" w:sz="8" w:color="CCEEFF"/>
            </w:tcBorders>
          </w:tcPr>
          <w:p>
            <w:pPr>
              <w:spacing w:after="0"/>
              <w:rPr>
                <w:sz w:val="22"/>
                <w:szCs w:val="22"/>
                <w:color w:val="auto"/>
              </w:rPr>
            </w:pPr>
          </w:p>
        </w:tc>
        <w:tc>
          <w:tcPr>
            <w:tcW w:w="240" w:type="dxa"/>
            <w:vAlign w:val="bottom"/>
            <w:tcBorders>
              <w:bottom w:val="single" w:sz="8" w:color="auto"/>
            </w:tcBorders>
          </w:tcPr>
          <w:p>
            <w:pPr>
              <w:spacing w:after="0"/>
              <w:rPr>
                <w:sz w:val="22"/>
                <w:szCs w:val="22"/>
                <w:color w:val="auto"/>
              </w:rPr>
            </w:pPr>
          </w:p>
        </w:tc>
        <w:tc>
          <w:tcPr>
            <w:tcW w:w="1240" w:type="dxa"/>
            <w:vAlign w:val="bottom"/>
            <w:tcBorders>
              <w:bottom w:val="single" w:sz="8" w:color="auto"/>
            </w:tcBorders>
          </w:tcPr>
          <w:p>
            <w:pPr>
              <w:jc w:val="right"/>
              <w:ind w:right="274"/>
              <w:spacing w:after="0"/>
              <w:rPr>
                <w:sz w:val="20"/>
                <w:szCs w:val="20"/>
                <w:color w:val="auto"/>
              </w:rPr>
            </w:pPr>
            <w:r>
              <w:rPr>
                <w:rFonts w:ascii="Arial" w:cs="Arial" w:eastAsia="Arial" w:hAnsi="Arial"/>
                <w:sz w:val="14"/>
                <w:szCs w:val="14"/>
                <w:b w:val="1"/>
                <w:bCs w:val="1"/>
                <w:color w:val="auto"/>
              </w:rPr>
              <w:t>$ Difference</w:t>
            </w:r>
          </w:p>
        </w:tc>
        <w:tc>
          <w:tcPr>
            <w:tcW w:w="100" w:type="dxa"/>
            <w:vAlign w:val="bottom"/>
            <w:tcBorders>
              <w:bottom w:val="single" w:sz="8" w:color="CCEEFF"/>
            </w:tcBorders>
          </w:tcPr>
          <w:p>
            <w:pPr>
              <w:spacing w:after="0"/>
              <w:rPr>
                <w:sz w:val="22"/>
                <w:szCs w:val="22"/>
                <w:color w:val="auto"/>
              </w:rPr>
            </w:pPr>
          </w:p>
        </w:tc>
        <w:tc>
          <w:tcPr>
            <w:tcW w:w="1560" w:type="dxa"/>
            <w:vAlign w:val="bottom"/>
            <w:tcBorders>
              <w:bottom w:val="single" w:sz="8" w:color="auto"/>
            </w:tcBorders>
          </w:tcPr>
          <w:p>
            <w:pPr>
              <w:jc w:val="right"/>
              <w:ind w:right="288"/>
              <w:spacing w:after="0"/>
              <w:rPr>
                <w:sz w:val="20"/>
                <w:szCs w:val="20"/>
                <w:color w:val="auto"/>
              </w:rPr>
            </w:pPr>
            <w:r>
              <w:rPr>
                <w:rFonts w:ascii="Arial" w:cs="Arial" w:eastAsia="Arial" w:hAnsi="Arial"/>
                <w:sz w:val="14"/>
                <w:szCs w:val="14"/>
                <w:b w:val="1"/>
                <w:bCs w:val="1"/>
                <w:color w:val="auto"/>
              </w:rPr>
              <w:t>% Difference</w:t>
            </w:r>
          </w:p>
        </w:tc>
      </w:tr>
      <w:tr>
        <w:trPr>
          <w:trHeight w:val="250"/>
        </w:trPr>
        <w:tc>
          <w:tcPr>
            <w:tcW w:w="512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Revenues:</w:t>
            </w:r>
          </w:p>
        </w:tc>
        <w:tc>
          <w:tcPr>
            <w:tcW w:w="34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560" w:type="dxa"/>
            <w:vAlign w:val="bottom"/>
            <w:tcBorders>
              <w:bottom w:val="single" w:sz="8" w:color="CCEEFF"/>
            </w:tcBorders>
            <w:shd w:val="clear" w:color="auto" w:fill="CCEEFF"/>
          </w:tcPr>
          <w:p>
            <w:pPr>
              <w:spacing w:after="0"/>
              <w:rPr>
                <w:sz w:val="21"/>
                <w:szCs w:val="21"/>
                <w:color w:val="auto"/>
              </w:rPr>
            </w:pPr>
          </w:p>
        </w:tc>
      </w:tr>
      <w:tr>
        <w:trPr>
          <w:trHeight w:val="243"/>
        </w:trPr>
        <w:tc>
          <w:tcPr>
            <w:tcW w:w="5120" w:type="dxa"/>
            <w:vAlign w:val="bottom"/>
            <w:gridSpan w:val="2"/>
          </w:tcPr>
          <w:p>
            <w:pPr>
              <w:ind w:left="40"/>
              <w:spacing w:after="0"/>
              <w:rPr>
                <w:sz w:val="20"/>
                <w:szCs w:val="20"/>
                <w:color w:val="auto"/>
              </w:rPr>
            </w:pPr>
            <w:r>
              <w:rPr>
                <w:rFonts w:ascii="Arial" w:cs="Arial" w:eastAsia="Arial" w:hAnsi="Arial"/>
                <w:sz w:val="18"/>
                <w:szCs w:val="18"/>
                <w:color w:val="auto"/>
              </w:rPr>
              <w:t>Technology development</w:t>
            </w:r>
          </w:p>
        </w:tc>
        <w:tc>
          <w:tcPr>
            <w:tcW w:w="340" w:type="dxa"/>
            <w:vAlign w:val="bottom"/>
          </w:tcPr>
          <w:p>
            <w:pPr>
              <w:jc w:val="right"/>
              <w:ind w:right="130"/>
              <w:spacing w:after="0"/>
              <w:rPr>
                <w:sz w:val="20"/>
                <w:szCs w:val="20"/>
                <w:color w:val="auto"/>
              </w:rPr>
            </w:pPr>
            <w:r>
              <w:rPr>
                <w:rFonts w:ascii="Arial" w:cs="Arial" w:eastAsia="Arial" w:hAnsi="Arial"/>
                <w:sz w:val="18"/>
                <w:szCs w:val="18"/>
                <w:color w:val="auto"/>
                <w:w w:val="99"/>
              </w:rPr>
              <w:t>$</w:t>
            </w:r>
          </w:p>
        </w:tc>
        <w:tc>
          <w:tcPr>
            <w:tcW w:w="1140" w:type="dxa"/>
            <w:vAlign w:val="bottom"/>
          </w:tcPr>
          <w:p>
            <w:pPr>
              <w:jc w:val="right"/>
              <w:ind w:right="17"/>
              <w:spacing w:after="0"/>
              <w:rPr>
                <w:sz w:val="20"/>
                <w:szCs w:val="20"/>
                <w:color w:val="auto"/>
              </w:rPr>
            </w:pPr>
            <w:r>
              <w:rPr>
                <w:rFonts w:ascii="Arial" w:cs="Arial" w:eastAsia="Arial" w:hAnsi="Arial"/>
                <w:sz w:val="18"/>
                <w:szCs w:val="18"/>
                <w:color w:val="auto"/>
              </w:rPr>
              <w:t>5,466,281</w:t>
            </w:r>
          </w:p>
        </w:tc>
        <w:tc>
          <w:tcPr>
            <w:tcW w:w="220" w:type="dxa"/>
            <w:vAlign w:val="bottom"/>
          </w:tcPr>
          <w:p>
            <w:pPr>
              <w:spacing w:after="0"/>
              <w:rPr>
                <w:sz w:val="21"/>
                <w:szCs w:val="21"/>
                <w:color w:val="auto"/>
              </w:rPr>
            </w:pPr>
          </w:p>
        </w:tc>
        <w:tc>
          <w:tcPr>
            <w:tcW w:w="280" w:type="dxa"/>
            <w:vAlign w:val="bottom"/>
          </w:tcPr>
          <w:p>
            <w:pPr>
              <w:jc w:val="right"/>
              <w:ind w:right="70"/>
              <w:spacing w:after="0"/>
              <w:rPr>
                <w:sz w:val="20"/>
                <w:szCs w:val="20"/>
                <w:color w:val="auto"/>
              </w:rPr>
            </w:pPr>
            <w:r>
              <w:rPr>
                <w:rFonts w:ascii="Arial" w:cs="Arial" w:eastAsia="Arial" w:hAnsi="Arial"/>
                <w:sz w:val="18"/>
                <w:szCs w:val="18"/>
                <w:color w:val="auto"/>
                <w:w w:val="99"/>
              </w:rPr>
              <w:t>$</w:t>
            </w:r>
          </w:p>
        </w:tc>
        <w:tc>
          <w:tcPr>
            <w:tcW w:w="1080" w:type="dxa"/>
            <w:vAlign w:val="bottom"/>
          </w:tcPr>
          <w:p>
            <w:pPr>
              <w:jc w:val="right"/>
              <w:ind w:right="14"/>
              <w:spacing w:after="0"/>
              <w:rPr>
                <w:sz w:val="20"/>
                <w:szCs w:val="20"/>
                <w:color w:val="auto"/>
              </w:rPr>
            </w:pPr>
            <w:r>
              <w:rPr>
                <w:rFonts w:ascii="Arial" w:cs="Arial" w:eastAsia="Arial" w:hAnsi="Arial"/>
                <w:sz w:val="18"/>
                <w:szCs w:val="18"/>
                <w:color w:val="auto"/>
              </w:rPr>
              <w:t>4,602,272</w:t>
            </w:r>
          </w:p>
        </w:tc>
        <w:tc>
          <w:tcPr>
            <w:tcW w:w="100" w:type="dxa"/>
            <w:vAlign w:val="bottom"/>
          </w:tcPr>
          <w:p>
            <w:pPr>
              <w:spacing w:after="0"/>
              <w:rPr>
                <w:sz w:val="21"/>
                <w:szCs w:val="21"/>
                <w:color w:val="auto"/>
              </w:rPr>
            </w:pPr>
          </w:p>
        </w:tc>
        <w:tc>
          <w:tcPr>
            <w:tcW w:w="240" w:type="dxa"/>
            <w:vAlign w:val="bottom"/>
          </w:tcPr>
          <w:p>
            <w:pPr>
              <w:jc w:val="right"/>
              <w:ind w:right="30"/>
              <w:spacing w:after="0"/>
              <w:rPr>
                <w:sz w:val="20"/>
                <w:szCs w:val="20"/>
                <w:color w:val="auto"/>
              </w:rPr>
            </w:pPr>
            <w:r>
              <w:rPr>
                <w:rFonts w:ascii="Arial" w:cs="Arial" w:eastAsia="Arial" w:hAnsi="Arial"/>
                <w:sz w:val="18"/>
                <w:szCs w:val="18"/>
                <w:color w:val="auto"/>
                <w:w w:val="99"/>
              </w:rPr>
              <w:t>$</w:t>
            </w:r>
          </w:p>
        </w:tc>
        <w:tc>
          <w:tcPr>
            <w:tcW w:w="1240" w:type="dxa"/>
            <w:vAlign w:val="bottom"/>
          </w:tcPr>
          <w:p>
            <w:pPr>
              <w:jc w:val="right"/>
              <w:ind w:right="14"/>
              <w:spacing w:after="0"/>
              <w:rPr>
                <w:sz w:val="20"/>
                <w:szCs w:val="20"/>
                <w:color w:val="auto"/>
              </w:rPr>
            </w:pPr>
            <w:r>
              <w:rPr>
                <w:rFonts w:ascii="Arial" w:cs="Arial" w:eastAsia="Arial" w:hAnsi="Arial"/>
                <w:sz w:val="18"/>
                <w:szCs w:val="18"/>
                <w:color w:val="auto"/>
              </w:rPr>
              <w:t>864,009</w:t>
            </w:r>
          </w:p>
        </w:tc>
        <w:tc>
          <w:tcPr>
            <w:tcW w:w="1660" w:type="dxa"/>
            <w:vAlign w:val="bottom"/>
            <w:gridSpan w:val="2"/>
          </w:tcPr>
          <w:p>
            <w:pPr>
              <w:jc w:val="right"/>
              <w:spacing w:after="0"/>
              <w:rPr>
                <w:sz w:val="20"/>
                <w:szCs w:val="20"/>
                <w:color w:val="auto"/>
              </w:rPr>
            </w:pPr>
            <w:r>
              <w:rPr>
                <w:rFonts w:ascii="Arial" w:cs="Arial" w:eastAsia="Arial" w:hAnsi="Arial"/>
                <w:sz w:val="18"/>
                <w:szCs w:val="18"/>
                <w:color w:val="auto"/>
              </w:rPr>
              <w:t>19%</w:t>
            </w:r>
          </w:p>
        </w:tc>
      </w:tr>
      <w:tr>
        <w:trPr>
          <w:trHeight w:val="27"/>
        </w:trPr>
        <w:tc>
          <w:tcPr>
            <w:tcW w:w="1100" w:type="dxa"/>
            <w:vAlign w:val="bottom"/>
          </w:tcPr>
          <w:p>
            <w:pPr>
              <w:spacing w:after="0"/>
              <w:rPr>
                <w:sz w:val="2"/>
                <w:szCs w:val="2"/>
                <w:color w:val="auto"/>
              </w:rPr>
            </w:pPr>
          </w:p>
        </w:tc>
        <w:tc>
          <w:tcPr>
            <w:tcW w:w="402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40" w:type="dxa"/>
            <w:vAlign w:val="bottom"/>
          </w:tcPr>
          <w:p>
            <w:pPr>
              <w:spacing w:after="0"/>
              <w:rPr>
                <w:sz w:val="2"/>
                <w:szCs w:val="2"/>
                <w:color w:val="auto"/>
              </w:rPr>
            </w:pPr>
          </w:p>
        </w:tc>
        <w:tc>
          <w:tcPr>
            <w:tcW w:w="220" w:type="dxa"/>
            <w:vAlign w:val="bottom"/>
          </w:tcPr>
          <w:p>
            <w:pPr>
              <w:spacing w:after="0"/>
              <w:rPr>
                <w:sz w:val="2"/>
                <w:szCs w:val="2"/>
                <w:color w:val="auto"/>
              </w:rPr>
            </w:pPr>
          </w:p>
        </w:tc>
        <w:tc>
          <w:tcPr>
            <w:tcW w:w="2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560" w:type="dxa"/>
            <w:vAlign w:val="bottom"/>
          </w:tcPr>
          <w:p>
            <w:pPr>
              <w:spacing w:after="0"/>
              <w:rPr>
                <w:sz w:val="2"/>
                <w:szCs w:val="2"/>
                <w:color w:val="auto"/>
              </w:rPr>
            </w:pPr>
          </w:p>
        </w:tc>
      </w:tr>
      <w:tr>
        <w:trPr>
          <w:trHeight w:val="270"/>
        </w:trPr>
        <w:tc>
          <w:tcPr>
            <w:tcW w:w="512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Products and licensing</w:t>
            </w:r>
          </w:p>
        </w:tc>
        <w:tc>
          <w:tcPr>
            <w:tcW w:w="340" w:type="dxa"/>
            <w:vAlign w:val="bottom"/>
            <w:tcBorders>
              <w:bottom w:val="single" w:sz="8" w:color="CCEEFF"/>
            </w:tcBorders>
            <w:shd w:val="clear" w:color="auto" w:fill="CCEEFF"/>
          </w:tcPr>
          <w:p>
            <w:pPr>
              <w:spacing w:after="0"/>
              <w:rPr>
                <w:sz w:val="23"/>
                <w:szCs w:val="23"/>
                <w:color w:val="auto"/>
              </w:rPr>
            </w:pPr>
          </w:p>
        </w:tc>
        <w:tc>
          <w:tcPr>
            <w:tcW w:w="1140" w:type="dxa"/>
            <w:vAlign w:val="bottom"/>
            <w:tcBorders>
              <w:bottom w:val="single" w:sz="8" w:color="CCEEFF"/>
            </w:tcBorders>
            <w:shd w:val="clear" w:color="auto" w:fill="CCEEFF"/>
          </w:tcPr>
          <w:p>
            <w:pPr>
              <w:jc w:val="right"/>
              <w:ind w:right="17"/>
              <w:spacing w:after="0"/>
              <w:rPr>
                <w:sz w:val="20"/>
                <w:szCs w:val="20"/>
                <w:color w:val="auto"/>
              </w:rPr>
            </w:pPr>
            <w:r>
              <w:rPr>
                <w:rFonts w:ascii="Arial" w:cs="Arial" w:eastAsia="Arial" w:hAnsi="Arial"/>
                <w:sz w:val="18"/>
                <w:szCs w:val="18"/>
                <w:color w:val="auto"/>
              </w:rPr>
              <w:t>8,306,367</w:t>
            </w:r>
          </w:p>
        </w:tc>
        <w:tc>
          <w:tcPr>
            <w:tcW w:w="220" w:type="dxa"/>
            <w:vAlign w:val="bottom"/>
            <w:tcBorders>
              <w:bottom w:val="single" w:sz="8" w:color="CCEEFF"/>
            </w:tcBorders>
            <w:shd w:val="clear" w:color="auto" w:fill="CCEEFF"/>
          </w:tcPr>
          <w:p>
            <w:pPr>
              <w:spacing w:after="0"/>
              <w:rPr>
                <w:sz w:val="23"/>
                <w:szCs w:val="23"/>
                <w:color w:val="auto"/>
              </w:rPr>
            </w:pPr>
          </w:p>
        </w:tc>
        <w:tc>
          <w:tcPr>
            <w:tcW w:w="280" w:type="dxa"/>
            <w:vAlign w:val="bottom"/>
            <w:tcBorders>
              <w:bottom w:val="single" w:sz="8" w:color="CCEEFF"/>
            </w:tcBorders>
            <w:shd w:val="clear" w:color="auto" w:fill="CCEEFF"/>
          </w:tcPr>
          <w:p>
            <w:pPr>
              <w:spacing w:after="0"/>
              <w:rPr>
                <w:sz w:val="23"/>
                <w:szCs w:val="23"/>
                <w:color w:val="auto"/>
              </w:rPr>
            </w:pPr>
          </w:p>
        </w:tc>
        <w:tc>
          <w:tcPr>
            <w:tcW w:w="108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6,690,759</w:t>
            </w:r>
          </w:p>
        </w:tc>
        <w:tc>
          <w:tcPr>
            <w:tcW w:w="100" w:type="dxa"/>
            <w:vAlign w:val="bottom"/>
            <w:tcBorders>
              <w:bottom w:val="single" w:sz="8" w:color="CCEEFF"/>
            </w:tcBorders>
            <w:shd w:val="clear" w:color="auto" w:fill="CCEEFF"/>
          </w:tcPr>
          <w:p>
            <w:pPr>
              <w:spacing w:after="0"/>
              <w:rPr>
                <w:sz w:val="23"/>
                <w:szCs w:val="23"/>
                <w:color w:val="auto"/>
              </w:rPr>
            </w:pPr>
          </w:p>
        </w:tc>
        <w:tc>
          <w:tcPr>
            <w:tcW w:w="240" w:type="dxa"/>
            <w:vAlign w:val="bottom"/>
            <w:tcBorders>
              <w:bottom w:val="single" w:sz="8" w:color="CCEEFF"/>
            </w:tcBorders>
            <w:shd w:val="clear" w:color="auto" w:fill="CCEEFF"/>
          </w:tcPr>
          <w:p>
            <w:pPr>
              <w:spacing w:after="0"/>
              <w:rPr>
                <w:sz w:val="23"/>
                <w:szCs w:val="23"/>
                <w:color w:val="auto"/>
              </w:rPr>
            </w:pPr>
          </w:p>
        </w:tc>
        <w:tc>
          <w:tcPr>
            <w:tcW w:w="124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1,615,608</w:t>
            </w:r>
          </w:p>
        </w:tc>
        <w:tc>
          <w:tcPr>
            <w:tcW w:w="1660" w:type="dxa"/>
            <w:vAlign w:val="bottom"/>
            <w:tcBorders>
              <w:bottom w:val="single" w:sz="8" w:color="CCEEFF"/>
            </w:tcBorders>
            <w:gridSpan w:val="2"/>
            <w:shd w:val="clear" w:color="auto" w:fill="CCEEFF"/>
          </w:tcPr>
          <w:p>
            <w:pPr>
              <w:jc w:val="right"/>
              <w:spacing w:after="0"/>
              <w:rPr>
                <w:sz w:val="20"/>
                <w:szCs w:val="20"/>
                <w:color w:val="auto"/>
              </w:rPr>
            </w:pPr>
            <w:r>
              <w:rPr>
                <w:rFonts w:ascii="Arial" w:cs="Arial" w:eastAsia="Arial" w:hAnsi="Arial"/>
                <w:sz w:val="18"/>
                <w:szCs w:val="18"/>
                <w:color w:val="auto"/>
              </w:rPr>
              <w:t>24%</w:t>
            </w:r>
          </w:p>
        </w:tc>
      </w:tr>
      <w:tr>
        <w:trPr>
          <w:trHeight w:val="257"/>
        </w:trPr>
        <w:tc>
          <w:tcPr>
            <w:tcW w:w="5120" w:type="dxa"/>
            <w:vAlign w:val="bottom"/>
            <w:gridSpan w:val="2"/>
          </w:tcPr>
          <w:p>
            <w:pPr>
              <w:ind w:left="40"/>
              <w:spacing w:after="0"/>
              <w:rPr>
                <w:sz w:val="20"/>
                <w:szCs w:val="20"/>
                <w:color w:val="auto"/>
              </w:rPr>
            </w:pPr>
            <w:r>
              <w:rPr>
                <w:rFonts w:ascii="Arial" w:cs="Arial" w:eastAsia="Arial" w:hAnsi="Arial"/>
                <w:sz w:val="18"/>
                <w:szCs w:val="18"/>
                <w:color w:val="auto"/>
              </w:rPr>
              <w:t>Total revenues</w:t>
            </w:r>
          </w:p>
        </w:tc>
        <w:tc>
          <w:tcPr>
            <w:tcW w:w="340" w:type="dxa"/>
            <w:vAlign w:val="bottom"/>
            <w:tcBorders>
              <w:top w:val="single" w:sz="8" w:color="auto"/>
              <w:bottom w:val="single" w:sz="8" w:color="auto"/>
            </w:tcBorders>
          </w:tcPr>
          <w:p>
            <w:pPr>
              <w:jc w:val="right"/>
              <w:ind w:right="130"/>
              <w:spacing w:after="0"/>
              <w:rPr>
                <w:sz w:val="20"/>
                <w:szCs w:val="20"/>
                <w:color w:val="auto"/>
              </w:rPr>
            </w:pPr>
            <w:r>
              <w:rPr>
                <w:rFonts w:ascii="Arial" w:cs="Arial" w:eastAsia="Arial" w:hAnsi="Arial"/>
                <w:sz w:val="18"/>
                <w:szCs w:val="18"/>
                <w:color w:val="auto"/>
                <w:w w:val="99"/>
              </w:rPr>
              <w:t>$</w:t>
            </w:r>
          </w:p>
        </w:tc>
        <w:tc>
          <w:tcPr>
            <w:tcW w:w="1140" w:type="dxa"/>
            <w:vAlign w:val="bottom"/>
            <w:tcBorders>
              <w:top w:val="single" w:sz="8" w:color="auto"/>
              <w:bottom w:val="single" w:sz="8" w:color="auto"/>
            </w:tcBorders>
          </w:tcPr>
          <w:p>
            <w:pPr>
              <w:jc w:val="right"/>
              <w:ind w:right="17"/>
              <w:spacing w:after="0"/>
              <w:rPr>
                <w:sz w:val="20"/>
                <w:szCs w:val="20"/>
                <w:color w:val="auto"/>
              </w:rPr>
            </w:pPr>
            <w:r>
              <w:rPr>
                <w:rFonts w:ascii="Arial" w:cs="Arial" w:eastAsia="Arial" w:hAnsi="Arial"/>
                <w:sz w:val="18"/>
                <w:szCs w:val="18"/>
                <w:color w:val="auto"/>
              </w:rPr>
              <w:t>13,772,648</w:t>
            </w:r>
          </w:p>
        </w:tc>
        <w:tc>
          <w:tcPr>
            <w:tcW w:w="220" w:type="dxa"/>
            <w:vAlign w:val="bottom"/>
          </w:tcPr>
          <w:p>
            <w:pPr>
              <w:spacing w:after="0"/>
              <w:rPr>
                <w:sz w:val="22"/>
                <w:szCs w:val="22"/>
                <w:color w:val="auto"/>
              </w:rPr>
            </w:pPr>
          </w:p>
        </w:tc>
        <w:tc>
          <w:tcPr>
            <w:tcW w:w="280" w:type="dxa"/>
            <w:vAlign w:val="bottom"/>
            <w:tcBorders>
              <w:top w:val="single" w:sz="8" w:color="auto"/>
              <w:bottom w:val="single" w:sz="8" w:color="auto"/>
            </w:tcBorders>
          </w:tcPr>
          <w:p>
            <w:pPr>
              <w:jc w:val="right"/>
              <w:ind w:right="70"/>
              <w:spacing w:after="0"/>
              <w:rPr>
                <w:sz w:val="20"/>
                <w:szCs w:val="20"/>
                <w:color w:val="auto"/>
              </w:rPr>
            </w:pPr>
            <w:r>
              <w:rPr>
                <w:rFonts w:ascii="Arial" w:cs="Arial" w:eastAsia="Arial" w:hAnsi="Arial"/>
                <w:sz w:val="18"/>
                <w:szCs w:val="18"/>
                <w:color w:val="auto"/>
                <w:w w:val="99"/>
              </w:rPr>
              <w:t>$</w:t>
            </w:r>
          </w:p>
        </w:tc>
        <w:tc>
          <w:tcPr>
            <w:tcW w:w="1080" w:type="dxa"/>
            <w:vAlign w:val="bottom"/>
            <w:tcBorders>
              <w:top w:val="single" w:sz="8" w:color="auto"/>
              <w:bottom w:val="single" w:sz="8" w:color="auto"/>
            </w:tcBorders>
          </w:tcPr>
          <w:p>
            <w:pPr>
              <w:jc w:val="right"/>
              <w:ind w:right="14"/>
              <w:spacing w:after="0"/>
              <w:rPr>
                <w:sz w:val="20"/>
                <w:szCs w:val="20"/>
                <w:color w:val="auto"/>
              </w:rPr>
            </w:pPr>
            <w:r>
              <w:rPr>
                <w:rFonts w:ascii="Arial" w:cs="Arial" w:eastAsia="Arial" w:hAnsi="Arial"/>
                <w:sz w:val="18"/>
                <w:szCs w:val="18"/>
                <w:color w:val="auto"/>
              </w:rPr>
              <w:t>11,293,031</w:t>
            </w:r>
          </w:p>
        </w:tc>
        <w:tc>
          <w:tcPr>
            <w:tcW w:w="100" w:type="dxa"/>
            <w:vAlign w:val="bottom"/>
          </w:tcPr>
          <w:p>
            <w:pPr>
              <w:spacing w:after="0"/>
              <w:rPr>
                <w:sz w:val="22"/>
                <w:szCs w:val="22"/>
                <w:color w:val="auto"/>
              </w:rPr>
            </w:pPr>
          </w:p>
        </w:tc>
        <w:tc>
          <w:tcPr>
            <w:tcW w:w="240" w:type="dxa"/>
            <w:vAlign w:val="bottom"/>
            <w:tcBorders>
              <w:top w:val="single" w:sz="8" w:color="auto"/>
              <w:bottom w:val="single" w:sz="8" w:color="auto"/>
            </w:tcBorders>
          </w:tcPr>
          <w:p>
            <w:pPr>
              <w:jc w:val="right"/>
              <w:ind w:right="30"/>
              <w:spacing w:after="0"/>
              <w:rPr>
                <w:sz w:val="20"/>
                <w:szCs w:val="20"/>
                <w:color w:val="auto"/>
              </w:rPr>
            </w:pPr>
            <w:r>
              <w:rPr>
                <w:rFonts w:ascii="Arial" w:cs="Arial" w:eastAsia="Arial" w:hAnsi="Arial"/>
                <w:sz w:val="18"/>
                <w:szCs w:val="18"/>
                <w:color w:val="auto"/>
                <w:w w:val="99"/>
              </w:rPr>
              <w:t>$</w:t>
            </w:r>
          </w:p>
        </w:tc>
        <w:tc>
          <w:tcPr>
            <w:tcW w:w="1240" w:type="dxa"/>
            <w:vAlign w:val="bottom"/>
            <w:tcBorders>
              <w:top w:val="single" w:sz="8" w:color="auto"/>
              <w:bottom w:val="single" w:sz="8" w:color="auto"/>
            </w:tcBorders>
          </w:tcPr>
          <w:p>
            <w:pPr>
              <w:jc w:val="right"/>
              <w:ind w:right="14"/>
              <w:spacing w:after="0"/>
              <w:rPr>
                <w:sz w:val="20"/>
                <w:szCs w:val="20"/>
                <w:color w:val="auto"/>
              </w:rPr>
            </w:pPr>
            <w:r>
              <w:rPr>
                <w:rFonts w:ascii="Arial" w:cs="Arial" w:eastAsia="Arial" w:hAnsi="Arial"/>
                <w:sz w:val="18"/>
                <w:szCs w:val="18"/>
                <w:color w:val="auto"/>
              </w:rPr>
              <w:t>2,479,617</w:t>
            </w:r>
          </w:p>
        </w:tc>
        <w:tc>
          <w:tcPr>
            <w:tcW w:w="1660" w:type="dxa"/>
            <w:vAlign w:val="bottom"/>
            <w:gridSpan w:val="2"/>
          </w:tcPr>
          <w:p>
            <w:pPr>
              <w:jc w:val="right"/>
              <w:spacing w:after="0"/>
              <w:rPr>
                <w:sz w:val="20"/>
                <w:szCs w:val="20"/>
                <w:color w:val="auto"/>
              </w:rPr>
            </w:pPr>
            <w:r>
              <w:rPr>
                <w:rFonts w:ascii="Arial" w:cs="Arial" w:eastAsia="Arial" w:hAnsi="Arial"/>
                <w:sz w:val="18"/>
                <w:szCs w:val="18"/>
                <w:color w:val="auto"/>
              </w:rPr>
              <w:t>22%</w:t>
            </w:r>
          </w:p>
        </w:tc>
      </w:tr>
      <w:tr>
        <w:trPr>
          <w:trHeight w:val="20"/>
        </w:trPr>
        <w:tc>
          <w:tcPr>
            <w:tcW w:w="1100" w:type="dxa"/>
            <w:vAlign w:val="bottom"/>
          </w:tcPr>
          <w:p>
            <w:pPr>
              <w:spacing w:after="0" w:line="20" w:lineRule="exact"/>
              <w:rPr>
                <w:sz w:val="1"/>
                <w:szCs w:val="1"/>
                <w:color w:val="auto"/>
              </w:rPr>
            </w:pPr>
          </w:p>
        </w:tc>
        <w:tc>
          <w:tcPr>
            <w:tcW w:w="402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2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560" w:type="dxa"/>
            <w:vAlign w:val="bottom"/>
          </w:tcPr>
          <w:p>
            <w:pPr>
              <w:spacing w:after="0" w:line="20" w:lineRule="exact"/>
              <w:rPr>
                <w:sz w:val="1"/>
                <w:szCs w:val="1"/>
                <w:color w:val="auto"/>
              </w:rPr>
            </w:pPr>
          </w:p>
        </w:tc>
      </w:tr>
    </w:tbl>
    <w:p>
      <w:pPr>
        <w:spacing w:after="0" w:line="202" w:lineRule="exact"/>
        <w:rPr>
          <w:sz w:val="20"/>
          <w:szCs w:val="20"/>
          <w:color w:val="auto"/>
        </w:rPr>
      </w:pPr>
    </w:p>
    <w:p>
      <w:pPr>
        <w:ind w:right="40" w:firstLine="432"/>
        <w:spacing w:after="0" w:line="276" w:lineRule="auto"/>
        <w:rPr>
          <w:sz w:val="20"/>
          <w:szCs w:val="20"/>
          <w:color w:val="auto"/>
        </w:rPr>
      </w:pPr>
      <w:r>
        <w:rPr>
          <w:rFonts w:ascii="Arial" w:cs="Arial" w:eastAsia="Arial" w:hAnsi="Arial"/>
          <w:sz w:val="17"/>
          <w:szCs w:val="17"/>
          <w:color w:val="auto"/>
        </w:rPr>
        <w:t>Revenues from our Technology Development segment for the three months ended June 30, 2018, increased $0.9 million, or 19%, to $5.5 million compared to $4.6 million for the three months ended June 30, 2017. The increase in Technology Development segment revenues continues a growth trend experienced over the past two years largely driven by successes in Phase 2 SBIR awards. The increase for the three months ended June 30, 2018, compared to the three months ended June 30, 2017, was realized primarily in our optical systems research and biomedical groups. As Phase 2 contracts generally have a performance period of a year or more, we currently expect revenues to remain at a similar level for the near term.</w:t>
      </w:r>
    </w:p>
    <w:p>
      <w:pPr>
        <w:spacing w:after="0" w:line="173" w:lineRule="exact"/>
        <w:rPr>
          <w:sz w:val="20"/>
          <w:szCs w:val="20"/>
          <w:color w:val="auto"/>
        </w:rPr>
      </w:pPr>
    </w:p>
    <w:p>
      <w:pPr>
        <w:ind w:right="60" w:firstLine="432"/>
        <w:spacing w:after="0" w:line="270" w:lineRule="auto"/>
        <w:rPr>
          <w:sz w:val="20"/>
          <w:szCs w:val="20"/>
          <w:color w:val="auto"/>
        </w:rPr>
      </w:pPr>
      <w:r>
        <w:rPr>
          <w:rFonts w:ascii="Arial" w:cs="Arial" w:eastAsia="Arial" w:hAnsi="Arial"/>
          <w:sz w:val="17"/>
          <w:szCs w:val="17"/>
          <w:color w:val="auto"/>
        </w:rPr>
        <w:t xml:space="preserve">Our Products and Licensing segment included revenues from sales of test and measurement systems, primarily representing sales of our ODiSI, Optical Vector Analyzer, and Optical Backscatter Reflectometer platforms, optical components and sub-assemblies and sales of Terahertz sensing systems. Products and Licensing segment revenues for the three months ended June 30, 2018 increased $1.6 million, or 24%, to $8.3 million compared to $6.7 million for the three months ended June 30, 2017. The increase for the three months ended June 30, 2018, compared to the three months ended June 30, 2017, was realized primarily in our ODiSI products directed toward the expanding use of composite materials and the need for improved means of testing their structural integrity and in sales of our optoelectronic components. The change in revenue for Products and Licensing segment also includes an increase in revenue of $0.2 million for the three months ended June 30, 2018 related to the adoption of </w:t>
      </w:r>
      <w:r>
        <w:rPr>
          <w:rFonts w:ascii="Arial" w:cs="Arial" w:eastAsia="Arial" w:hAnsi="Arial"/>
          <w:sz w:val="17"/>
          <w:szCs w:val="17"/>
          <w:i w:val="1"/>
          <w:iCs w:val="1"/>
          <w:color w:val="auto"/>
        </w:rPr>
        <w:t>Revenue from Contracts with Customers</w:t>
      </w:r>
      <w:r>
        <w:rPr>
          <w:rFonts w:ascii="Arial" w:cs="Arial" w:eastAsia="Arial" w:hAnsi="Arial"/>
          <w:sz w:val="17"/>
          <w:szCs w:val="17"/>
          <w:color w:val="auto"/>
        </w:rPr>
        <w:t xml:space="preserve"> (Topic 606). Revenues for the three months ended June 30, 2018 and 2017 associated with the optoelectronics business sold on July 31, 2018 and included in the table above, were $3,849,283 and $3,010,465, respectively.</w:t>
      </w:r>
    </w:p>
    <w:p>
      <w:pPr>
        <w:spacing w:after="0" w:line="222"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Cost of Revenues and Gross Profit</w:t>
      </w:r>
    </w:p>
    <w:p>
      <w:pPr>
        <w:spacing w:after="0" w:line="244"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578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2380" w:type="dxa"/>
            <w:vAlign w:val="bottom"/>
            <w:gridSpan w:val="5"/>
          </w:tcPr>
          <w:p>
            <w:pPr>
              <w:ind w:left="100"/>
              <w:spacing w:after="0"/>
              <w:rPr>
                <w:sz w:val="20"/>
                <w:szCs w:val="20"/>
                <w:color w:val="auto"/>
              </w:rPr>
            </w:pPr>
            <w:r>
              <w:rPr>
                <w:rFonts w:ascii="Arial" w:cs="Arial" w:eastAsia="Arial" w:hAnsi="Arial"/>
                <w:sz w:val="14"/>
                <w:szCs w:val="14"/>
                <w:b w:val="1"/>
                <w:bCs w:val="1"/>
                <w:color w:val="auto"/>
              </w:rPr>
              <w:t>Three Months Ended June 30,</w:t>
            </w:r>
          </w:p>
        </w:tc>
        <w:tc>
          <w:tcPr>
            <w:tcW w:w="200" w:type="dxa"/>
            <w:vAlign w:val="bottom"/>
          </w:tcPr>
          <w:p>
            <w:pPr>
              <w:spacing w:after="0"/>
              <w:rPr>
                <w:sz w:val="16"/>
                <w:szCs w:val="16"/>
                <w:color w:val="auto"/>
              </w:rPr>
            </w:pPr>
          </w:p>
        </w:tc>
        <w:tc>
          <w:tcPr>
            <w:tcW w:w="11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560" w:type="dxa"/>
            <w:vAlign w:val="bottom"/>
          </w:tcPr>
          <w:p>
            <w:pPr>
              <w:spacing w:after="0"/>
              <w:rPr>
                <w:sz w:val="16"/>
                <w:szCs w:val="16"/>
                <w:color w:val="auto"/>
              </w:rPr>
            </w:pPr>
          </w:p>
        </w:tc>
      </w:tr>
      <w:tr>
        <w:trPr>
          <w:trHeight w:val="264"/>
        </w:trPr>
        <w:tc>
          <w:tcPr>
            <w:tcW w:w="5780" w:type="dxa"/>
            <w:vAlign w:val="bottom"/>
            <w:tcBorders>
              <w:bottom w:val="single" w:sz="8" w:color="CCEEFF"/>
            </w:tcBorders>
          </w:tcPr>
          <w:p>
            <w:pPr>
              <w:spacing w:after="0"/>
              <w:rPr>
                <w:sz w:val="22"/>
                <w:szCs w:val="22"/>
                <w:color w:val="auto"/>
              </w:rPr>
            </w:pPr>
          </w:p>
        </w:tc>
        <w:tc>
          <w:tcPr>
            <w:tcW w:w="240" w:type="dxa"/>
            <w:vAlign w:val="bottom"/>
            <w:tcBorders>
              <w:top w:val="single" w:sz="8" w:color="auto"/>
              <w:bottom w:val="single" w:sz="8" w:color="auto"/>
            </w:tcBorders>
          </w:tcPr>
          <w:p>
            <w:pPr>
              <w:spacing w:after="0"/>
              <w:rPr>
                <w:sz w:val="22"/>
                <w:szCs w:val="22"/>
                <w:color w:val="auto"/>
              </w:rPr>
            </w:pPr>
          </w:p>
        </w:tc>
        <w:tc>
          <w:tcPr>
            <w:tcW w:w="1020" w:type="dxa"/>
            <w:vAlign w:val="bottom"/>
            <w:tcBorders>
              <w:top w:val="single" w:sz="8" w:color="auto"/>
              <w:bottom w:val="single" w:sz="8" w:color="auto"/>
            </w:tcBorders>
          </w:tcPr>
          <w:p>
            <w:pPr>
              <w:jc w:val="right"/>
              <w:ind w:right="396"/>
              <w:spacing w:after="0"/>
              <w:rPr>
                <w:sz w:val="20"/>
                <w:szCs w:val="20"/>
                <w:color w:val="auto"/>
              </w:rPr>
            </w:pPr>
            <w:r>
              <w:rPr>
                <w:rFonts w:ascii="Arial" w:cs="Arial" w:eastAsia="Arial" w:hAnsi="Arial"/>
                <w:sz w:val="14"/>
                <w:szCs w:val="14"/>
                <w:b w:val="1"/>
                <w:bCs w:val="1"/>
                <w:color w:val="auto"/>
              </w:rPr>
              <w:t>2018</w:t>
            </w:r>
          </w:p>
        </w:tc>
        <w:tc>
          <w:tcPr>
            <w:tcW w:w="120" w:type="dxa"/>
            <w:vAlign w:val="bottom"/>
            <w:tcBorders>
              <w:top w:val="single" w:sz="8" w:color="auto"/>
              <w:bottom w:val="single" w:sz="8" w:color="CCEEFF"/>
            </w:tcBorders>
          </w:tcPr>
          <w:p>
            <w:pPr>
              <w:spacing w:after="0"/>
              <w:rPr>
                <w:sz w:val="22"/>
                <w:szCs w:val="22"/>
                <w:color w:val="auto"/>
              </w:rPr>
            </w:pPr>
          </w:p>
        </w:tc>
        <w:tc>
          <w:tcPr>
            <w:tcW w:w="200" w:type="dxa"/>
            <w:vAlign w:val="bottom"/>
            <w:tcBorders>
              <w:top w:val="single" w:sz="8" w:color="auto"/>
              <w:bottom w:val="single" w:sz="8" w:color="auto"/>
            </w:tcBorders>
          </w:tcPr>
          <w:p>
            <w:pPr>
              <w:spacing w:after="0"/>
              <w:rPr>
                <w:sz w:val="22"/>
                <w:szCs w:val="22"/>
                <w:color w:val="auto"/>
              </w:rPr>
            </w:pPr>
          </w:p>
        </w:tc>
        <w:tc>
          <w:tcPr>
            <w:tcW w:w="920" w:type="dxa"/>
            <w:vAlign w:val="bottom"/>
            <w:tcBorders>
              <w:top w:val="single" w:sz="8" w:color="auto"/>
              <w:bottom w:val="single" w:sz="8" w:color="auto"/>
            </w:tcBorders>
          </w:tcPr>
          <w:p>
            <w:pPr>
              <w:jc w:val="right"/>
              <w:ind w:right="334"/>
              <w:spacing w:after="0"/>
              <w:rPr>
                <w:sz w:val="20"/>
                <w:szCs w:val="20"/>
                <w:color w:val="auto"/>
              </w:rPr>
            </w:pPr>
            <w:r>
              <w:rPr>
                <w:rFonts w:ascii="Arial" w:cs="Arial" w:eastAsia="Arial" w:hAnsi="Arial"/>
                <w:sz w:val="14"/>
                <w:szCs w:val="14"/>
                <w:b w:val="1"/>
                <w:bCs w:val="1"/>
                <w:color w:val="auto"/>
              </w:rPr>
              <w:t>2017</w:t>
            </w:r>
          </w:p>
        </w:tc>
        <w:tc>
          <w:tcPr>
            <w:tcW w:w="120" w:type="dxa"/>
            <w:vAlign w:val="bottom"/>
            <w:tcBorders>
              <w:bottom w:val="single" w:sz="8" w:color="CCEEFF"/>
            </w:tcBorders>
          </w:tcPr>
          <w:p>
            <w:pPr>
              <w:spacing w:after="0"/>
              <w:rPr>
                <w:sz w:val="22"/>
                <w:szCs w:val="22"/>
                <w:color w:val="auto"/>
              </w:rPr>
            </w:pPr>
          </w:p>
        </w:tc>
        <w:tc>
          <w:tcPr>
            <w:tcW w:w="200" w:type="dxa"/>
            <w:vAlign w:val="bottom"/>
            <w:tcBorders>
              <w:bottom w:val="single" w:sz="8" w:color="auto"/>
            </w:tcBorders>
          </w:tcPr>
          <w:p>
            <w:pPr>
              <w:spacing w:after="0"/>
              <w:rPr>
                <w:sz w:val="22"/>
                <w:szCs w:val="22"/>
                <w:color w:val="auto"/>
              </w:rPr>
            </w:pPr>
          </w:p>
        </w:tc>
        <w:tc>
          <w:tcPr>
            <w:tcW w:w="1160" w:type="dxa"/>
            <w:vAlign w:val="bottom"/>
            <w:tcBorders>
              <w:bottom w:val="single" w:sz="8" w:color="auto"/>
            </w:tcBorders>
          </w:tcPr>
          <w:p>
            <w:pPr>
              <w:jc w:val="right"/>
              <w:ind w:right="234"/>
              <w:spacing w:after="0"/>
              <w:rPr>
                <w:sz w:val="20"/>
                <w:szCs w:val="20"/>
                <w:color w:val="auto"/>
              </w:rPr>
            </w:pPr>
            <w:r>
              <w:rPr>
                <w:rFonts w:ascii="Arial" w:cs="Arial" w:eastAsia="Arial" w:hAnsi="Arial"/>
                <w:sz w:val="14"/>
                <w:szCs w:val="14"/>
                <w:b w:val="1"/>
                <w:bCs w:val="1"/>
                <w:color w:val="auto"/>
              </w:rPr>
              <w:t>$ Difference</w:t>
            </w:r>
          </w:p>
        </w:tc>
        <w:tc>
          <w:tcPr>
            <w:tcW w:w="100" w:type="dxa"/>
            <w:vAlign w:val="bottom"/>
            <w:tcBorders>
              <w:bottom w:val="single" w:sz="8" w:color="CCEEFF"/>
            </w:tcBorders>
          </w:tcPr>
          <w:p>
            <w:pPr>
              <w:spacing w:after="0"/>
              <w:rPr>
                <w:sz w:val="22"/>
                <w:szCs w:val="22"/>
                <w:color w:val="auto"/>
              </w:rPr>
            </w:pPr>
          </w:p>
        </w:tc>
        <w:tc>
          <w:tcPr>
            <w:tcW w:w="1560" w:type="dxa"/>
            <w:vAlign w:val="bottom"/>
            <w:tcBorders>
              <w:bottom w:val="single" w:sz="8" w:color="auto"/>
            </w:tcBorders>
          </w:tcPr>
          <w:p>
            <w:pPr>
              <w:jc w:val="right"/>
              <w:ind w:right="288"/>
              <w:spacing w:after="0"/>
              <w:rPr>
                <w:sz w:val="20"/>
                <w:szCs w:val="20"/>
                <w:color w:val="auto"/>
              </w:rPr>
            </w:pPr>
            <w:r>
              <w:rPr>
                <w:rFonts w:ascii="Arial" w:cs="Arial" w:eastAsia="Arial" w:hAnsi="Arial"/>
                <w:sz w:val="14"/>
                <w:szCs w:val="14"/>
                <w:b w:val="1"/>
                <w:bCs w:val="1"/>
                <w:color w:val="auto"/>
              </w:rPr>
              <w:t>% Difference</w:t>
            </w:r>
          </w:p>
        </w:tc>
      </w:tr>
      <w:tr>
        <w:trPr>
          <w:trHeight w:val="250"/>
        </w:trPr>
        <w:tc>
          <w:tcPr>
            <w:tcW w:w="57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Cost of revenues:</w:t>
            </w:r>
          </w:p>
        </w:tc>
        <w:tc>
          <w:tcPr>
            <w:tcW w:w="24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560" w:type="dxa"/>
            <w:vAlign w:val="bottom"/>
            <w:tcBorders>
              <w:bottom w:val="single" w:sz="8" w:color="CCEEFF"/>
            </w:tcBorders>
            <w:shd w:val="clear" w:color="auto" w:fill="CCEEFF"/>
          </w:tcPr>
          <w:p>
            <w:pPr>
              <w:spacing w:after="0"/>
              <w:rPr>
                <w:sz w:val="21"/>
                <w:szCs w:val="21"/>
                <w:color w:val="auto"/>
              </w:rPr>
            </w:pPr>
          </w:p>
        </w:tc>
      </w:tr>
      <w:tr>
        <w:trPr>
          <w:trHeight w:val="243"/>
        </w:trPr>
        <w:tc>
          <w:tcPr>
            <w:tcW w:w="5780" w:type="dxa"/>
            <w:vAlign w:val="bottom"/>
          </w:tcPr>
          <w:p>
            <w:pPr>
              <w:ind w:left="40"/>
              <w:spacing w:after="0"/>
              <w:rPr>
                <w:sz w:val="20"/>
                <w:szCs w:val="20"/>
                <w:color w:val="auto"/>
              </w:rPr>
            </w:pPr>
            <w:r>
              <w:rPr>
                <w:rFonts w:ascii="Arial" w:cs="Arial" w:eastAsia="Arial" w:hAnsi="Arial"/>
                <w:sz w:val="18"/>
                <w:szCs w:val="18"/>
                <w:color w:val="auto"/>
              </w:rPr>
              <w:t>Technology development</w:t>
            </w:r>
          </w:p>
        </w:tc>
        <w:tc>
          <w:tcPr>
            <w:tcW w:w="240" w:type="dxa"/>
            <w:vAlign w:val="bottom"/>
          </w:tcPr>
          <w:p>
            <w:pPr>
              <w:jc w:val="right"/>
              <w:ind w:right="30"/>
              <w:spacing w:after="0"/>
              <w:rPr>
                <w:sz w:val="20"/>
                <w:szCs w:val="20"/>
                <w:color w:val="auto"/>
              </w:rPr>
            </w:pPr>
            <w:r>
              <w:rPr>
                <w:rFonts w:ascii="Arial" w:cs="Arial" w:eastAsia="Arial" w:hAnsi="Arial"/>
                <w:sz w:val="18"/>
                <w:szCs w:val="18"/>
                <w:color w:val="auto"/>
                <w:w w:val="99"/>
              </w:rPr>
              <w:t>$</w:t>
            </w:r>
          </w:p>
        </w:tc>
        <w:tc>
          <w:tcPr>
            <w:tcW w:w="1020" w:type="dxa"/>
            <w:vAlign w:val="bottom"/>
          </w:tcPr>
          <w:p>
            <w:pPr>
              <w:jc w:val="right"/>
              <w:ind w:right="16"/>
              <w:spacing w:after="0"/>
              <w:rPr>
                <w:sz w:val="20"/>
                <w:szCs w:val="20"/>
                <w:color w:val="auto"/>
              </w:rPr>
            </w:pPr>
            <w:r>
              <w:rPr>
                <w:rFonts w:ascii="Arial" w:cs="Arial" w:eastAsia="Arial" w:hAnsi="Arial"/>
                <w:sz w:val="18"/>
                <w:szCs w:val="18"/>
                <w:color w:val="auto"/>
              </w:rPr>
              <w:t>3,945,126</w:t>
            </w:r>
          </w:p>
        </w:tc>
        <w:tc>
          <w:tcPr>
            <w:tcW w:w="120" w:type="dxa"/>
            <w:vAlign w:val="bottom"/>
          </w:tcPr>
          <w:p>
            <w:pPr>
              <w:spacing w:after="0"/>
              <w:rPr>
                <w:sz w:val="21"/>
                <w:szCs w:val="21"/>
                <w:color w:val="auto"/>
              </w:rPr>
            </w:pPr>
          </w:p>
        </w:tc>
        <w:tc>
          <w:tcPr>
            <w:tcW w:w="200" w:type="dxa"/>
            <w:vAlign w:val="bottom"/>
          </w:tcPr>
          <w:p>
            <w:pPr>
              <w:jc w:val="right"/>
              <w:ind w:right="10"/>
              <w:spacing w:after="0"/>
              <w:rPr>
                <w:sz w:val="20"/>
                <w:szCs w:val="20"/>
                <w:color w:val="auto"/>
              </w:rPr>
            </w:pPr>
            <w:r>
              <w:rPr>
                <w:rFonts w:ascii="Arial" w:cs="Arial" w:eastAsia="Arial" w:hAnsi="Arial"/>
                <w:sz w:val="18"/>
                <w:szCs w:val="18"/>
                <w:color w:val="auto"/>
                <w:w w:val="79"/>
              </w:rPr>
              <w:t>$</w:t>
            </w:r>
          </w:p>
        </w:tc>
        <w:tc>
          <w:tcPr>
            <w:tcW w:w="920" w:type="dxa"/>
            <w:vAlign w:val="bottom"/>
          </w:tcPr>
          <w:p>
            <w:pPr>
              <w:jc w:val="right"/>
              <w:ind w:right="14"/>
              <w:spacing w:after="0"/>
              <w:rPr>
                <w:sz w:val="20"/>
                <w:szCs w:val="20"/>
                <w:color w:val="auto"/>
              </w:rPr>
            </w:pPr>
            <w:r>
              <w:rPr>
                <w:rFonts w:ascii="Arial" w:cs="Arial" w:eastAsia="Arial" w:hAnsi="Arial"/>
                <w:sz w:val="18"/>
                <w:szCs w:val="18"/>
                <w:color w:val="auto"/>
                <w:w w:val="99"/>
              </w:rPr>
              <w:t>3,443,954</w:t>
            </w:r>
          </w:p>
        </w:tc>
        <w:tc>
          <w:tcPr>
            <w:tcW w:w="120" w:type="dxa"/>
            <w:vAlign w:val="bottom"/>
          </w:tcPr>
          <w:p>
            <w:pPr>
              <w:spacing w:after="0"/>
              <w:rPr>
                <w:sz w:val="21"/>
                <w:szCs w:val="21"/>
                <w:color w:val="auto"/>
              </w:rPr>
            </w:pPr>
          </w:p>
        </w:tc>
        <w:tc>
          <w:tcPr>
            <w:tcW w:w="20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160" w:type="dxa"/>
            <w:vAlign w:val="bottom"/>
          </w:tcPr>
          <w:p>
            <w:pPr>
              <w:jc w:val="right"/>
              <w:ind w:right="14"/>
              <w:spacing w:after="0"/>
              <w:rPr>
                <w:sz w:val="20"/>
                <w:szCs w:val="20"/>
                <w:color w:val="auto"/>
              </w:rPr>
            </w:pPr>
            <w:r>
              <w:rPr>
                <w:rFonts w:ascii="Arial" w:cs="Arial" w:eastAsia="Arial" w:hAnsi="Arial"/>
                <w:sz w:val="18"/>
                <w:szCs w:val="18"/>
                <w:color w:val="auto"/>
              </w:rPr>
              <w:t>501,172</w:t>
            </w:r>
          </w:p>
        </w:tc>
        <w:tc>
          <w:tcPr>
            <w:tcW w:w="1660" w:type="dxa"/>
            <w:vAlign w:val="bottom"/>
            <w:gridSpan w:val="2"/>
          </w:tcPr>
          <w:p>
            <w:pPr>
              <w:jc w:val="right"/>
              <w:spacing w:after="0"/>
              <w:rPr>
                <w:sz w:val="20"/>
                <w:szCs w:val="20"/>
                <w:color w:val="auto"/>
              </w:rPr>
            </w:pPr>
            <w:r>
              <w:rPr>
                <w:rFonts w:ascii="Arial" w:cs="Arial" w:eastAsia="Arial" w:hAnsi="Arial"/>
                <w:sz w:val="18"/>
                <w:szCs w:val="18"/>
                <w:color w:val="auto"/>
              </w:rPr>
              <w:t>15%</w:t>
            </w:r>
          </w:p>
        </w:tc>
      </w:tr>
      <w:tr>
        <w:trPr>
          <w:trHeight w:val="27"/>
        </w:trPr>
        <w:tc>
          <w:tcPr>
            <w:tcW w:w="5780" w:type="dxa"/>
            <w:vAlign w:val="bottom"/>
          </w:tcPr>
          <w:p>
            <w:pPr>
              <w:spacing w:after="0"/>
              <w:rPr>
                <w:sz w:val="2"/>
                <w:szCs w:val="2"/>
                <w:color w:val="auto"/>
              </w:rPr>
            </w:pPr>
          </w:p>
        </w:tc>
        <w:tc>
          <w:tcPr>
            <w:tcW w:w="24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9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560" w:type="dxa"/>
            <w:vAlign w:val="bottom"/>
          </w:tcPr>
          <w:p>
            <w:pPr>
              <w:spacing w:after="0"/>
              <w:rPr>
                <w:sz w:val="2"/>
                <w:szCs w:val="2"/>
                <w:color w:val="auto"/>
              </w:rPr>
            </w:pPr>
          </w:p>
        </w:tc>
      </w:tr>
      <w:tr>
        <w:trPr>
          <w:trHeight w:val="270"/>
        </w:trPr>
        <w:tc>
          <w:tcPr>
            <w:tcW w:w="57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Products and licensing</w:t>
            </w:r>
          </w:p>
        </w:tc>
        <w:tc>
          <w:tcPr>
            <w:tcW w:w="240" w:type="dxa"/>
            <w:vAlign w:val="bottom"/>
            <w:tcBorders>
              <w:bottom w:val="single" w:sz="8" w:color="CCEEFF"/>
            </w:tcBorders>
            <w:shd w:val="clear" w:color="auto" w:fill="CCEEFF"/>
          </w:tcPr>
          <w:p>
            <w:pPr>
              <w:spacing w:after="0"/>
              <w:rPr>
                <w:sz w:val="23"/>
                <w:szCs w:val="23"/>
                <w:color w:val="auto"/>
              </w:rPr>
            </w:pPr>
          </w:p>
        </w:tc>
        <w:tc>
          <w:tcPr>
            <w:tcW w:w="1020" w:type="dxa"/>
            <w:vAlign w:val="bottom"/>
            <w:tcBorders>
              <w:bottom w:val="single" w:sz="8" w:color="CCEEFF"/>
            </w:tcBorders>
            <w:shd w:val="clear" w:color="auto" w:fill="CCEEFF"/>
          </w:tcPr>
          <w:p>
            <w:pPr>
              <w:jc w:val="right"/>
              <w:ind w:right="16"/>
              <w:spacing w:after="0"/>
              <w:rPr>
                <w:sz w:val="20"/>
                <w:szCs w:val="20"/>
                <w:color w:val="auto"/>
              </w:rPr>
            </w:pPr>
            <w:r>
              <w:rPr>
                <w:rFonts w:ascii="Arial" w:cs="Arial" w:eastAsia="Arial" w:hAnsi="Arial"/>
                <w:sz w:val="18"/>
                <w:szCs w:val="18"/>
                <w:color w:val="auto"/>
              </w:rPr>
              <w:t>4,155,054</w:t>
            </w:r>
          </w:p>
        </w:tc>
        <w:tc>
          <w:tcPr>
            <w:tcW w:w="120" w:type="dxa"/>
            <w:vAlign w:val="bottom"/>
            <w:tcBorders>
              <w:bottom w:val="single" w:sz="8" w:color="CCEEFF"/>
            </w:tcBorders>
            <w:shd w:val="clear" w:color="auto" w:fill="CCEEFF"/>
          </w:tcPr>
          <w:p>
            <w:pPr>
              <w:spacing w:after="0"/>
              <w:rPr>
                <w:sz w:val="23"/>
                <w:szCs w:val="23"/>
                <w:color w:val="auto"/>
              </w:rPr>
            </w:pPr>
          </w:p>
        </w:tc>
        <w:tc>
          <w:tcPr>
            <w:tcW w:w="200" w:type="dxa"/>
            <w:vAlign w:val="bottom"/>
            <w:tcBorders>
              <w:bottom w:val="single" w:sz="8" w:color="CCEEFF"/>
            </w:tcBorders>
            <w:shd w:val="clear" w:color="auto" w:fill="CCEEFF"/>
          </w:tcPr>
          <w:p>
            <w:pPr>
              <w:spacing w:after="0"/>
              <w:rPr>
                <w:sz w:val="23"/>
                <w:szCs w:val="23"/>
                <w:color w:val="auto"/>
              </w:rPr>
            </w:pPr>
          </w:p>
        </w:tc>
        <w:tc>
          <w:tcPr>
            <w:tcW w:w="92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w w:val="99"/>
              </w:rPr>
              <w:t>3,482,867</w:t>
            </w:r>
          </w:p>
        </w:tc>
        <w:tc>
          <w:tcPr>
            <w:tcW w:w="120" w:type="dxa"/>
            <w:vAlign w:val="bottom"/>
            <w:tcBorders>
              <w:bottom w:val="single" w:sz="8" w:color="CCEEFF"/>
            </w:tcBorders>
            <w:shd w:val="clear" w:color="auto" w:fill="CCEEFF"/>
          </w:tcPr>
          <w:p>
            <w:pPr>
              <w:spacing w:after="0"/>
              <w:rPr>
                <w:sz w:val="23"/>
                <w:szCs w:val="23"/>
                <w:color w:val="auto"/>
              </w:rPr>
            </w:pPr>
          </w:p>
        </w:tc>
        <w:tc>
          <w:tcPr>
            <w:tcW w:w="200" w:type="dxa"/>
            <w:vAlign w:val="bottom"/>
            <w:tcBorders>
              <w:bottom w:val="single" w:sz="8" w:color="CCEEFF"/>
            </w:tcBorders>
            <w:shd w:val="clear" w:color="auto" w:fill="CCEEFF"/>
          </w:tcPr>
          <w:p>
            <w:pPr>
              <w:spacing w:after="0"/>
              <w:rPr>
                <w:sz w:val="23"/>
                <w:szCs w:val="23"/>
                <w:color w:val="auto"/>
              </w:rPr>
            </w:pPr>
          </w:p>
        </w:tc>
        <w:tc>
          <w:tcPr>
            <w:tcW w:w="116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672,187</w:t>
            </w:r>
          </w:p>
        </w:tc>
        <w:tc>
          <w:tcPr>
            <w:tcW w:w="1660" w:type="dxa"/>
            <w:vAlign w:val="bottom"/>
            <w:tcBorders>
              <w:bottom w:val="single" w:sz="8" w:color="CCEEFF"/>
            </w:tcBorders>
            <w:gridSpan w:val="2"/>
            <w:shd w:val="clear" w:color="auto" w:fill="CCEEFF"/>
          </w:tcPr>
          <w:p>
            <w:pPr>
              <w:jc w:val="right"/>
              <w:spacing w:after="0"/>
              <w:rPr>
                <w:sz w:val="20"/>
                <w:szCs w:val="20"/>
                <w:color w:val="auto"/>
              </w:rPr>
            </w:pPr>
            <w:r>
              <w:rPr>
                <w:rFonts w:ascii="Arial" w:cs="Arial" w:eastAsia="Arial" w:hAnsi="Arial"/>
                <w:sz w:val="18"/>
                <w:szCs w:val="18"/>
                <w:color w:val="auto"/>
              </w:rPr>
              <w:t>19%</w:t>
            </w:r>
          </w:p>
        </w:tc>
      </w:tr>
      <w:tr>
        <w:trPr>
          <w:trHeight w:val="237"/>
        </w:trPr>
        <w:tc>
          <w:tcPr>
            <w:tcW w:w="5780" w:type="dxa"/>
            <w:vAlign w:val="bottom"/>
          </w:tcPr>
          <w:p>
            <w:pPr>
              <w:ind w:left="40"/>
              <w:spacing w:after="0"/>
              <w:rPr>
                <w:sz w:val="20"/>
                <w:szCs w:val="20"/>
                <w:color w:val="auto"/>
              </w:rPr>
            </w:pPr>
            <w:r>
              <w:rPr>
                <w:rFonts w:ascii="Arial" w:cs="Arial" w:eastAsia="Arial" w:hAnsi="Arial"/>
                <w:sz w:val="18"/>
                <w:szCs w:val="18"/>
                <w:color w:val="auto"/>
              </w:rPr>
              <w:t>Total cost of revenues</w:t>
            </w:r>
          </w:p>
        </w:tc>
        <w:tc>
          <w:tcPr>
            <w:tcW w:w="240" w:type="dxa"/>
            <w:vAlign w:val="bottom"/>
            <w:tcBorders>
              <w:top w:val="single" w:sz="8" w:color="auto"/>
            </w:tcBorders>
          </w:tcPr>
          <w:p>
            <w:pPr>
              <w:spacing w:after="0"/>
              <w:rPr>
                <w:sz w:val="20"/>
                <w:szCs w:val="20"/>
                <w:color w:val="auto"/>
              </w:rPr>
            </w:pPr>
          </w:p>
        </w:tc>
        <w:tc>
          <w:tcPr>
            <w:tcW w:w="1020" w:type="dxa"/>
            <w:vAlign w:val="bottom"/>
            <w:tcBorders>
              <w:top w:val="single" w:sz="8" w:color="auto"/>
            </w:tcBorders>
          </w:tcPr>
          <w:p>
            <w:pPr>
              <w:jc w:val="right"/>
              <w:ind w:right="16"/>
              <w:spacing w:after="0"/>
              <w:rPr>
                <w:sz w:val="20"/>
                <w:szCs w:val="20"/>
                <w:color w:val="auto"/>
              </w:rPr>
            </w:pPr>
            <w:r>
              <w:rPr>
                <w:rFonts w:ascii="Arial" w:cs="Arial" w:eastAsia="Arial" w:hAnsi="Arial"/>
                <w:sz w:val="18"/>
                <w:szCs w:val="18"/>
                <w:color w:val="auto"/>
              </w:rPr>
              <w:t>8,100,180</w:t>
            </w:r>
          </w:p>
        </w:tc>
        <w:tc>
          <w:tcPr>
            <w:tcW w:w="120" w:type="dxa"/>
            <w:vAlign w:val="bottom"/>
          </w:tcPr>
          <w:p>
            <w:pPr>
              <w:spacing w:after="0"/>
              <w:rPr>
                <w:sz w:val="20"/>
                <w:szCs w:val="20"/>
                <w:color w:val="auto"/>
              </w:rPr>
            </w:pPr>
          </w:p>
        </w:tc>
        <w:tc>
          <w:tcPr>
            <w:tcW w:w="200" w:type="dxa"/>
            <w:vAlign w:val="bottom"/>
            <w:tcBorders>
              <w:top w:val="single" w:sz="8" w:color="auto"/>
            </w:tcBorders>
          </w:tcPr>
          <w:p>
            <w:pPr>
              <w:spacing w:after="0"/>
              <w:rPr>
                <w:sz w:val="20"/>
                <w:szCs w:val="20"/>
                <w:color w:val="auto"/>
              </w:rPr>
            </w:pPr>
          </w:p>
        </w:tc>
        <w:tc>
          <w:tcPr>
            <w:tcW w:w="920" w:type="dxa"/>
            <w:vAlign w:val="bottom"/>
            <w:tcBorders>
              <w:top w:val="single" w:sz="8" w:color="auto"/>
            </w:tcBorders>
          </w:tcPr>
          <w:p>
            <w:pPr>
              <w:jc w:val="right"/>
              <w:ind w:right="14"/>
              <w:spacing w:after="0"/>
              <w:rPr>
                <w:sz w:val="20"/>
                <w:szCs w:val="20"/>
                <w:color w:val="auto"/>
              </w:rPr>
            </w:pPr>
            <w:r>
              <w:rPr>
                <w:rFonts w:ascii="Arial" w:cs="Arial" w:eastAsia="Arial" w:hAnsi="Arial"/>
                <w:sz w:val="18"/>
                <w:szCs w:val="18"/>
                <w:color w:val="auto"/>
                <w:w w:val="99"/>
              </w:rPr>
              <w:t>6,926,821</w:t>
            </w:r>
          </w:p>
        </w:tc>
        <w:tc>
          <w:tcPr>
            <w:tcW w:w="120" w:type="dxa"/>
            <w:vAlign w:val="bottom"/>
          </w:tcPr>
          <w:p>
            <w:pPr>
              <w:spacing w:after="0"/>
              <w:rPr>
                <w:sz w:val="20"/>
                <w:szCs w:val="20"/>
                <w:color w:val="auto"/>
              </w:rPr>
            </w:pPr>
          </w:p>
        </w:tc>
        <w:tc>
          <w:tcPr>
            <w:tcW w:w="200" w:type="dxa"/>
            <w:vAlign w:val="bottom"/>
            <w:tcBorders>
              <w:top w:val="single" w:sz="8" w:color="auto"/>
            </w:tcBorders>
          </w:tcPr>
          <w:p>
            <w:pPr>
              <w:spacing w:after="0"/>
              <w:rPr>
                <w:sz w:val="20"/>
                <w:szCs w:val="20"/>
                <w:color w:val="auto"/>
              </w:rPr>
            </w:pPr>
          </w:p>
        </w:tc>
        <w:tc>
          <w:tcPr>
            <w:tcW w:w="1160" w:type="dxa"/>
            <w:vAlign w:val="bottom"/>
            <w:tcBorders>
              <w:top w:val="single" w:sz="8" w:color="auto"/>
            </w:tcBorders>
          </w:tcPr>
          <w:p>
            <w:pPr>
              <w:jc w:val="right"/>
              <w:ind w:right="14"/>
              <w:spacing w:after="0"/>
              <w:rPr>
                <w:sz w:val="20"/>
                <w:szCs w:val="20"/>
                <w:color w:val="auto"/>
              </w:rPr>
            </w:pPr>
            <w:r>
              <w:rPr>
                <w:rFonts w:ascii="Arial" w:cs="Arial" w:eastAsia="Arial" w:hAnsi="Arial"/>
                <w:sz w:val="18"/>
                <w:szCs w:val="18"/>
                <w:color w:val="auto"/>
              </w:rPr>
              <w:t>1,173,359</w:t>
            </w:r>
          </w:p>
        </w:tc>
        <w:tc>
          <w:tcPr>
            <w:tcW w:w="1660" w:type="dxa"/>
            <w:vAlign w:val="bottom"/>
            <w:gridSpan w:val="2"/>
          </w:tcPr>
          <w:p>
            <w:pPr>
              <w:jc w:val="right"/>
              <w:spacing w:after="0"/>
              <w:rPr>
                <w:sz w:val="20"/>
                <w:szCs w:val="20"/>
                <w:color w:val="auto"/>
              </w:rPr>
            </w:pPr>
            <w:r>
              <w:rPr>
                <w:rFonts w:ascii="Arial" w:cs="Arial" w:eastAsia="Arial" w:hAnsi="Arial"/>
                <w:sz w:val="18"/>
                <w:szCs w:val="18"/>
                <w:color w:val="auto"/>
              </w:rPr>
              <w:t>17%</w:t>
            </w:r>
          </w:p>
        </w:tc>
      </w:tr>
      <w:tr>
        <w:trPr>
          <w:trHeight w:val="27"/>
        </w:trPr>
        <w:tc>
          <w:tcPr>
            <w:tcW w:w="578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560" w:type="dxa"/>
            <w:vAlign w:val="bottom"/>
            <w:tcBorders>
              <w:bottom w:val="single" w:sz="8" w:color="CCEEFF"/>
            </w:tcBorders>
          </w:tcPr>
          <w:p>
            <w:pPr>
              <w:spacing w:after="0"/>
              <w:rPr>
                <w:sz w:val="2"/>
                <w:szCs w:val="2"/>
                <w:color w:val="auto"/>
              </w:rPr>
            </w:pPr>
          </w:p>
        </w:tc>
      </w:tr>
      <w:tr>
        <w:trPr>
          <w:trHeight w:val="257"/>
        </w:trPr>
        <w:tc>
          <w:tcPr>
            <w:tcW w:w="57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Gross profit</w:t>
            </w:r>
          </w:p>
        </w:tc>
        <w:tc>
          <w:tcPr>
            <w:tcW w:w="24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w w:val="99"/>
              </w:rPr>
              <w:t>$</w:t>
            </w:r>
          </w:p>
        </w:tc>
        <w:tc>
          <w:tcPr>
            <w:tcW w:w="1020" w:type="dxa"/>
            <w:vAlign w:val="bottom"/>
            <w:tcBorders>
              <w:bottom w:val="single" w:sz="8" w:color="auto"/>
            </w:tcBorders>
            <w:shd w:val="clear" w:color="auto" w:fill="CCEEFF"/>
          </w:tcPr>
          <w:p>
            <w:pPr>
              <w:jc w:val="right"/>
              <w:ind w:right="16"/>
              <w:spacing w:after="0"/>
              <w:rPr>
                <w:sz w:val="20"/>
                <w:szCs w:val="20"/>
                <w:color w:val="auto"/>
              </w:rPr>
            </w:pPr>
            <w:r>
              <w:rPr>
                <w:rFonts w:ascii="Arial" w:cs="Arial" w:eastAsia="Arial" w:hAnsi="Arial"/>
                <w:sz w:val="18"/>
                <w:szCs w:val="18"/>
                <w:color w:val="auto"/>
              </w:rPr>
              <w:t>5,672,468</w:t>
            </w:r>
          </w:p>
        </w:tc>
        <w:tc>
          <w:tcPr>
            <w:tcW w:w="120" w:type="dxa"/>
            <w:vAlign w:val="bottom"/>
            <w:tcBorders>
              <w:bottom w:val="single" w:sz="8" w:color="CCEEFF"/>
            </w:tcBorders>
            <w:shd w:val="clear" w:color="auto" w:fill="CCEEFF"/>
          </w:tcPr>
          <w:p>
            <w:pPr>
              <w:spacing w:after="0"/>
              <w:rPr>
                <w:sz w:val="22"/>
                <w:szCs w:val="22"/>
                <w:color w:val="auto"/>
              </w:rPr>
            </w:pPr>
          </w:p>
        </w:tc>
        <w:tc>
          <w:tcPr>
            <w:tcW w:w="20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w w:val="79"/>
              </w:rPr>
              <w:t>$</w:t>
            </w:r>
          </w:p>
        </w:tc>
        <w:tc>
          <w:tcPr>
            <w:tcW w:w="920" w:type="dxa"/>
            <w:vAlign w:val="bottom"/>
            <w:tcBorders>
              <w:bottom w:val="single" w:sz="8" w:color="auto"/>
            </w:tcBorders>
            <w:shd w:val="clear" w:color="auto" w:fill="CCEEFF"/>
          </w:tcPr>
          <w:p>
            <w:pPr>
              <w:jc w:val="right"/>
              <w:ind w:right="14"/>
              <w:spacing w:after="0"/>
              <w:rPr>
                <w:sz w:val="20"/>
                <w:szCs w:val="20"/>
                <w:color w:val="auto"/>
              </w:rPr>
            </w:pPr>
            <w:r>
              <w:rPr>
                <w:rFonts w:ascii="Arial" w:cs="Arial" w:eastAsia="Arial" w:hAnsi="Arial"/>
                <w:sz w:val="18"/>
                <w:szCs w:val="18"/>
                <w:color w:val="auto"/>
                <w:w w:val="99"/>
              </w:rPr>
              <w:t>4,366,210</w:t>
            </w:r>
          </w:p>
        </w:tc>
        <w:tc>
          <w:tcPr>
            <w:tcW w:w="120" w:type="dxa"/>
            <w:vAlign w:val="bottom"/>
            <w:tcBorders>
              <w:bottom w:val="single" w:sz="8" w:color="CCEEFF"/>
            </w:tcBorders>
            <w:shd w:val="clear" w:color="auto" w:fill="CCEEFF"/>
          </w:tcPr>
          <w:p>
            <w:pPr>
              <w:spacing w:after="0"/>
              <w:rPr>
                <w:sz w:val="22"/>
                <w:szCs w:val="22"/>
                <w:color w:val="auto"/>
              </w:rPr>
            </w:pPr>
          </w:p>
        </w:tc>
        <w:tc>
          <w:tcPr>
            <w:tcW w:w="2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160" w:type="dxa"/>
            <w:vAlign w:val="bottom"/>
            <w:tcBorders>
              <w:bottom w:val="single" w:sz="8" w:color="auto"/>
            </w:tcBorders>
            <w:shd w:val="clear" w:color="auto" w:fill="CCEEFF"/>
          </w:tcPr>
          <w:p>
            <w:pPr>
              <w:jc w:val="right"/>
              <w:ind w:right="14"/>
              <w:spacing w:after="0"/>
              <w:rPr>
                <w:sz w:val="20"/>
                <w:szCs w:val="20"/>
                <w:color w:val="auto"/>
              </w:rPr>
            </w:pPr>
            <w:r>
              <w:rPr>
                <w:rFonts w:ascii="Arial" w:cs="Arial" w:eastAsia="Arial" w:hAnsi="Arial"/>
                <w:sz w:val="18"/>
                <w:szCs w:val="18"/>
                <w:color w:val="auto"/>
              </w:rPr>
              <w:t>1,306,258</w:t>
            </w:r>
          </w:p>
        </w:tc>
        <w:tc>
          <w:tcPr>
            <w:tcW w:w="1660" w:type="dxa"/>
            <w:vAlign w:val="bottom"/>
            <w:tcBorders>
              <w:bottom w:val="single" w:sz="8" w:color="CCEEFF"/>
            </w:tcBorders>
            <w:gridSpan w:val="2"/>
            <w:shd w:val="clear" w:color="auto" w:fill="CCEEFF"/>
          </w:tcPr>
          <w:p>
            <w:pPr>
              <w:jc w:val="right"/>
              <w:spacing w:after="0"/>
              <w:rPr>
                <w:sz w:val="20"/>
                <w:szCs w:val="20"/>
                <w:color w:val="auto"/>
              </w:rPr>
            </w:pPr>
            <w:r>
              <w:rPr>
                <w:rFonts w:ascii="Arial" w:cs="Arial" w:eastAsia="Arial" w:hAnsi="Arial"/>
                <w:sz w:val="18"/>
                <w:szCs w:val="18"/>
                <w:color w:val="auto"/>
              </w:rPr>
              <w:t>30%</w:t>
            </w:r>
          </w:p>
        </w:tc>
      </w:tr>
      <w:tr>
        <w:trPr>
          <w:trHeight w:val="20"/>
        </w:trPr>
        <w:tc>
          <w:tcPr>
            <w:tcW w:w="578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560" w:type="dxa"/>
            <w:vAlign w:val="bottom"/>
          </w:tcPr>
          <w:p>
            <w:pPr>
              <w:spacing w:after="0" w:line="20" w:lineRule="exact"/>
              <w:rPr>
                <w:sz w:val="1"/>
                <w:szCs w:val="1"/>
                <w:color w:val="auto"/>
              </w:rPr>
            </w:pPr>
          </w:p>
        </w:tc>
      </w:tr>
    </w:tbl>
    <w:p>
      <w:pPr>
        <w:spacing w:after="0" w:line="202" w:lineRule="exact"/>
        <w:rPr>
          <w:sz w:val="20"/>
          <w:szCs w:val="20"/>
          <w:color w:val="auto"/>
        </w:rPr>
      </w:pPr>
    </w:p>
    <w:p>
      <w:pPr>
        <w:ind w:right="240" w:firstLine="432"/>
        <w:spacing w:after="0" w:line="286" w:lineRule="auto"/>
        <w:rPr>
          <w:sz w:val="20"/>
          <w:szCs w:val="20"/>
          <w:color w:val="auto"/>
        </w:rPr>
      </w:pPr>
      <w:r>
        <w:rPr>
          <w:rFonts w:ascii="Arial" w:cs="Arial" w:eastAsia="Arial" w:hAnsi="Arial"/>
          <w:sz w:val="17"/>
          <w:szCs w:val="17"/>
          <w:color w:val="auto"/>
        </w:rPr>
        <w:t>The cost of Technology Development segment revenues for the three months ended June 30, 2018, increased $0.5 million, or 15%, to $3.9 million compared to $3.4 million for the three months ended June 30, 2017. The increase in cost of Technology Development segment revenues was attributable to additional headcount and the increased utilization of subcontractors to support the growth in our research contracts.</w:t>
      </w:r>
    </w:p>
    <w:p>
      <w:pPr>
        <w:spacing w:after="0" w:line="166" w:lineRule="exact"/>
        <w:rPr>
          <w:sz w:val="20"/>
          <w:szCs w:val="20"/>
          <w:color w:val="auto"/>
        </w:rPr>
      </w:pPr>
    </w:p>
    <w:p>
      <w:pPr>
        <w:ind w:right="60" w:firstLine="432"/>
        <w:spacing w:after="0" w:line="270" w:lineRule="auto"/>
        <w:rPr>
          <w:sz w:val="20"/>
          <w:szCs w:val="20"/>
          <w:color w:val="auto"/>
        </w:rPr>
      </w:pPr>
      <w:r>
        <w:rPr>
          <w:rFonts w:ascii="Arial" w:cs="Arial" w:eastAsia="Arial" w:hAnsi="Arial"/>
          <w:sz w:val="17"/>
          <w:szCs w:val="17"/>
          <w:color w:val="auto"/>
        </w:rPr>
        <w:t xml:space="preserve">The cost of revenues associated with our Products and Licensing segment increased by $0.7 million, or 19%, to $4.2 million for the three months ended June 30, 2018, compared to $3.5 million for the three months ended June 30, 2017. This increase in cost of revenues resulted from an increase in sales volume. Cost of revenues increased at a lower rate than our revenues increased due to improved overhead absorption rates during the quarter for our optoelectronic components products and to reductions in the time and materials required to build our Terahertz instruments. Our overall gross margin increased to 41% for the three months ended June 30, 2018, compared to 39% for the three months ended June 30, 2017 primarily as a result of our revenue mix, with product sales representing a larger portion of our revenues during the three months ended June 30, 2018. The change in cost for our Products and Licensing segment also includes an increase in cost of $0.1 million for the three months ended June 30, 2018 related to the adoption of </w:t>
      </w:r>
      <w:r>
        <w:rPr>
          <w:rFonts w:ascii="Arial" w:cs="Arial" w:eastAsia="Arial" w:hAnsi="Arial"/>
          <w:sz w:val="17"/>
          <w:szCs w:val="17"/>
          <w:i w:val="1"/>
          <w:iCs w:val="1"/>
          <w:color w:val="auto"/>
        </w:rPr>
        <w:t>Revenue from</w:t>
      </w:r>
      <w:r>
        <w:rPr>
          <w:rFonts w:ascii="Arial" w:cs="Arial" w:eastAsia="Arial" w:hAnsi="Arial"/>
          <w:sz w:val="17"/>
          <w:szCs w:val="17"/>
          <w:color w:val="auto"/>
        </w:rPr>
        <w:t xml:space="preserve"> </w:t>
      </w:r>
      <w:r>
        <w:rPr>
          <w:rFonts w:ascii="Arial" w:cs="Arial" w:eastAsia="Arial" w:hAnsi="Arial"/>
          <w:sz w:val="17"/>
          <w:szCs w:val="17"/>
          <w:i w:val="1"/>
          <w:iCs w:val="1"/>
          <w:color w:val="auto"/>
        </w:rPr>
        <w:t xml:space="preserve">Contracts with Customers </w:t>
      </w:r>
      <w:r>
        <w:rPr>
          <w:rFonts w:ascii="Arial" w:cs="Arial" w:eastAsia="Arial" w:hAnsi="Arial"/>
          <w:sz w:val="17"/>
          <w:szCs w:val="17"/>
          <w:color w:val="auto"/>
        </w:rPr>
        <w:t>(Topic 606). Cost of revenues for the three months ended June 30, 2018 and 2017 associated with the optoelectronics business sold</w:t>
      </w:r>
      <w:r>
        <w:rPr>
          <w:rFonts w:ascii="Arial" w:cs="Arial" w:eastAsia="Arial" w:hAnsi="Arial"/>
          <w:sz w:val="17"/>
          <w:szCs w:val="17"/>
          <w:i w:val="1"/>
          <w:iCs w:val="1"/>
          <w:color w:val="auto"/>
        </w:rPr>
        <w:t xml:space="preserve"> </w:t>
      </w:r>
      <w:r>
        <w:rPr>
          <w:rFonts w:ascii="Arial" w:cs="Arial" w:eastAsia="Arial" w:hAnsi="Arial"/>
          <w:sz w:val="17"/>
          <w:szCs w:val="17"/>
          <w:color w:val="auto"/>
        </w:rPr>
        <w:t>on July 31, 2018 and included in the table above, were $2,407,467 and $1,953,967, respectively.</w:t>
      </w:r>
    </w:p>
    <w:p>
      <w:pPr>
        <w:spacing w:after="0" w:line="200" w:lineRule="exact"/>
        <w:rPr>
          <w:sz w:val="20"/>
          <w:szCs w:val="20"/>
          <w:color w:val="auto"/>
        </w:rPr>
      </w:pPr>
    </w:p>
    <w:p>
      <w:pPr>
        <w:spacing w:after="0" w:line="200" w:lineRule="exact"/>
        <w:rPr>
          <w:sz w:val="20"/>
          <w:szCs w:val="20"/>
          <w:color w:val="auto"/>
        </w:rPr>
      </w:pPr>
    </w:p>
    <w:p>
      <w:pPr>
        <w:spacing w:after="0" w:line="34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27</w:t>
      </w:r>
    </w:p>
    <w:p>
      <w:pPr>
        <w:sectPr>
          <w:pgSz w:w="11900" w:h="16838" w:orient="portrait"/>
          <w:cols w:equalWidth="0" w:num="1">
            <w:col w:w="11420"/>
          </w:cols>
          <w:pgMar w:left="240" w:top="114" w:right="239" w:bottom="1440" w:gutter="0" w:footer="0" w:header="0"/>
        </w:sectPr>
      </w:pPr>
    </w:p>
    <w:bookmarkStart w:id="27" w:name="page28"/>
    <w:bookmarkEnd w:id="27"/>
    <w:p>
      <w:pPr>
        <w:spacing w:after="0"/>
        <w:rPr>
          <w:rFonts w:ascii="Arial" w:cs="Arial" w:eastAsia="Arial" w:hAnsi="Arial"/>
          <w:sz w:val="14"/>
          <w:szCs w:val="14"/>
          <w:b w:val="1"/>
          <w:bCs w:val="1"/>
          <w:u w:val="single" w:color="auto"/>
          <w:color w:val="0000EE"/>
        </w:rPr>
      </w:pPr>
      <w:hyperlink w:anchor="page2">
        <w:r>
          <w:rPr>
            <w:rFonts w:ascii="Arial" w:cs="Arial" w:eastAsia="Arial" w:hAnsi="Arial"/>
            <w:sz w:val="14"/>
            <w:szCs w:val="14"/>
            <w:b w:val="1"/>
            <w:bCs w:val="1"/>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6"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Operating Expense</w:t>
      </w:r>
    </w:p>
    <w:p>
      <w:pPr>
        <w:spacing w:after="0" w:line="230"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5800" w:type="dxa"/>
            <w:vAlign w:val="bottom"/>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2380" w:type="dxa"/>
            <w:vAlign w:val="bottom"/>
            <w:tcBorders>
              <w:bottom w:val="single" w:sz="8" w:color="auto"/>
            </w:tcBorders>
            <w:gridSpan w:val="5"/>
          </w:tcPr>
          <w:p>
            <w:pPr>
              <w:ind w:left="100"/>
              <w:spacing w:after="0"/>
              <w:rPr>
                <w:sz w:val="20"/>
                <w:szCs w:val="20"/>
                <w:color w:val="auto"/>
              </w:rPr>
            </w:pPr>
            <w:r>
              <w:rPr>
                <w:rFonts w:ascii="Arial" w:cs="Arial" w:eastAsia="Arial" w:hAnsi="Arial"/>
                <w:sz w:val="14"/>
                <w:szCs w:val="14"/>
                <w:b w:val="1"/>
                <w:bCs w:val="1"/>
                <w:color w:val="auto"/>
              </w:rPr>
              <w:t>Three Months Ended June 30,</w:t>
            </w:r>
          </w:p>
        </w:tc>
        <w:tc>
          <w:tcPr>
            <w:tcW w:w="200" w:type="dxa"/>
            <w:vAlign w:val="bottom"/>
          </w:tcPr>
          <w:p>
            <w:pPr>
              <w:spacing w:after="0"/>
              <w:rPr>
                <w:sz w:val="16"/>
                <w:szCs w:val="16"/>
                <w:color w:val="auto"/>
              </w:rPr>
            </w:pPr>
          </w:p>
        </w:tc>
        <w:tc>
          <w:tcPr>
            <w:tcW w:w="11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560" w:type="dxa"/>
            <w:vAlign w:val="bottom"/>
          </w:tcPr>
          <w:p>
            <w:pPr>
              <w:spacing w:after="0"/>
              <w:rPr>
                <w:sz w:val="16"/>
                <w:szCs w:val="16"/>
                <w:color w:val="auto"/>
              </w:rPr>
            </w:pPr>
          </w:p>
        </w:tc>
      </w:tr>
      <w:tr>
        <w:trPr>
          <w:trHeight w:val="264"/>
        </w:trPr>
        <w:tc>
          <w:tcPr>
            <w:tcW w:w="5800" w:type="dxa"/>
            <w:vAlign w:val="bottom"/>
            <w:tcBorders>
              <w:bottom w:val="single" w:sz="8" w:color="CCEEFF"/>
            </w:tcBorders>
          </w:tcPr>
          <w:p>
            <w:pPr>
              <w:spacing w:after="0"/>
              <w:rPr>
                <w:sz w:val="22"/>
                <w:szCs w:val="22"/>
                <w:color w:val="auto"/>
              </w:rPr>
            </w:pPr>
          </w:p>
        </w:tc>
        <w:tc>
          <w:tcPr>
            <w:tcW w:w="220" w:type="dxa"/>
            <w:vAlign w:val="bottom"/>
            <w:tcBorders>
              <w:bottom w:val="single" w:sz="8" w:color="auto"/>
            </w:tcBorders>
          </w:tcPr>
          <w:p>
            <w:pPr>
              <w:spacing w:after="0"/>
              <w:rPr>
                <w:sz w:val="22"/>
                <w:szCs w:val="22"/>
                <w:color w:val="auto"/>
              </w:rPr>
            </w:pPr>
          </w:p>
        </w:tc>
        <w:tc>
          <w:tcPr>
            <w:tcW w:w="920" w:type="dxa"/>
            <w:vAlign w:val="bottom"/>
            <w:tcBorders>
              <w:bottom w:val="single" w:sz="8" w:color="auto"/>
            </w:tcBorders>
          </w:tcPr>
          <w:p>
            <w:pPr>
              <w:jc w:val="right"/>
              <w:ind w:right="337"/>
              <w:spacing w:after="0"/>
              <w:rPr>
                <w:sz w:val="20"/>
                <w:szCs w:val="20"/>
                <w:color w:val="auto"/>
              </w:rPr>
            </w:pPr>
            <w:r>
              <w:rPr>
                <w:rFonts w:ascii="Arial" w:cs="Arial" w:eastAsia="Arial" w:hAnsi="Arial"/>
                <w:sz w:val="14"/>
                <w:szCs w:val="14"/>
                <w:b w:val="1"/>
                <w:bCs w:val="1"/>
                <w:color w:val="auto"/>
              </w:rPr>
              <w:t>2018</w:t>
            </w:r>
          </w:p>
        </w:tc>
        <w:tc>
          <w:tcPr>
            <w:tcW w:w="220" w:type="dxa"/>
            <w:vAlign w:val="bottom"/>
            <w:tcBorders>
              <w:bottom w:val="single" w:sz="8" w:color="CCEEFF"/>
            </w:tcBorders>
          </w:tcPr>
          <w:p>
            <w:pPr>
              <w:spacing w:after="0"/>
              <w:rPr>
                <w:sz w:val="22"/>
                <w:szCs w:val="22"/>
                <w:color w:val="auto"/>
              </w:rPr>
            </w:pPr>
          </w:p>
        </w:tc>
        <w:tc>
          <w:tcPr>
            <w:tcW w:w="200" w:type="dxa"/>
            <w:vAlign w:val="bottom"/>
            <w:tcBorders>
              <w:bottom w:val="single" w:sz="8" w:color="auto"/>
            </w:tcBorders>
          </w:tcPr>
          <w:p>
            <w:pPr>
              <w:spacing w:after="0"/>
              <w:rPr>
                <w:sz w:val="22"/>
                <w:szCs w:val="22"/>
                <w:color w:val="auto"/>
              </w:rPr>
            </w:pPr>
          </w:p>
        </w:tc>
        <w:tc>
          <w:tcPr>
            <w:tcW w:w="920" w:type="dxa"/>
            <w:vAlign w:val="bottom"/>
            <w:tcBorders>
              <w:bottom w:val="single" w:sz="8" w:color="auto"/>
            </w:tcBorders>
          </w:tcPr>
          <w:p>
            <w:pPr>
              <w:jc w:val="right"/>
              <w:ind w:right="334"/>
              <w:spacing w:after="0"/>
              <w:rPr>
                <w:sz w:val="20"/>
                <w:szCs w:val="20"/>
                <w:color w:val="auto"/>
              </w:rPr>
            </w:pPr>
            <w:r>
              <w:rPr>
                <w:rFonts w:ascii="Arial" w:cs="Arial" w:eastAsia="Arial" w:hAnsi="Arial"/>
                <w:sz w:val="14"/>
                <w:szCs w:val="14"/>
                <w:b w:val="1"/>
                <w:bCs w:val="1"/>
                <w:color w:val="auto"/>
              </w:rPr>
              <w:t>2017</w:t>
            </w:r>
          </w:p>
        </w:tc>
        <w:tc>
          <w:tcPr>
            <w:tcW w:w="120" w:type="dxa"/>
            <w:vAlign w:val="bottom"/>
            <w:tcBorders>
              <w:bottom w:val="single" w:sz="8" w:color="CCEEFF"/>
            </w:tcBorders>
          </w:tcPr>
          <w:p>
            <w:pPr>
              <w:spacing w:after="0"/>
              <w:rPr>
                <w:sz w:val="22"/>
                <w:szCs w:val="22"/>
                <w:color w:val="auto"/>
              </w:rPr>
            </w:pPr>
          </w:p>
        </w:tc>
        <w:tc>
          <w:tcPr>
            <w:tcW w:w="200" w:type="dxa"/>
            <w:vAlign w:val="bottom"/>
            <w:tcBorders>
              <w:bottom w:val="single" w:sz="8" w:color="auto"/>
            </w:tcBorders>
          </w:tcPr>
          <w:p>
            <w:pPr>
              <w:spacing w:after="0"/>
              <w:rPr>
                <w:sz w:val="22"/>
                <w:szCs w:val="22"/>
                <w:color w:val="auto"/>
              </w:rPr>
            </w:pPr>
          </w:p>
        </w:tc>
        <w:tc>
          <w:tcPr>
            <w:tcW w:w="1160" w:type="dxa"/>
            <w:vAlign w:val="bottom"/>
            <w:tcBorders>
              <w:bottom w:val="single" w:sz="8" w:color="auto"/>
            </w:tcBorders>
          </w:tcPr>
          <w:p>
            <w:pPr>
              <w:jc w:val="right"/>
              <w:ind w:right="234"/>
              <w:spacing w:after="0"/>
              <w:rPr>
                <w:sz w:val="20"/>
                <w:szCs w:val="20"/>
                <w:color w:val="auto"/>
              </w:rPr>
            </w:pPr>
            <w:r>
              <w:rPr>
                <w:rFonts w:ascii="Arial" w:cs="Arial" w:eastAsia="Arial" w:hAnsi="Arial"/>
                <w:sz w:val="14"/>
                <w:szCs w:val="14"/>
                <w:b w:val="1"/>
                <w:bCs w:val="1"/>
                <w:color w:val="auto"/>
              </w:rPr>
              <w:t>$ Difference</w:t>
            </w:r>
          </w:p>
        </w:tc>
        <w:tc>
          <w:tcPr>
            <w:tcW w:w="100" w:type="dxa"/>
            <w:vAlign w:val="bottom"/>
            <w:tcBorders>
              <w:bottom w:val="single" w:sz="8" w:color="CCEEFF"/>
            </w:tcBorders>
          </w:tcPr>
          <w:p>
            <w:pPr>
              <w:spacing w:after="0"/>
              <w:rPr>
                <w:sz w:val="22"/>
                <w:szCs w:val="22"/>
                <w:color w:val="auto"/>
              </w:rPr>
            </w:pPr>
          </w:p>
        </w:tc>
        <w:tc>
          <w:tcPr>
            <w:tcW w:w="1560" w:type="dxa"/>
            <w:vAlign w:val="bottom"/>
            <w:tcBorders>
              <w:bottom w:val="single" w:sz="8" w:color="auto"/>
            </w:tcBorders>
          </w:tcPr>
          <w:p>
            <w:pPr>
              <w:jc w:val="right"/>
              <w:ind w:right="288"/>
              <w:spacing w:after="0"/>
              <w:rPr>
                <w:sz w:val="20"/>
                <w:szCs w:val="20"/>
                <w:color w:val="auto"/>
              </w:rPr>
            </w:pPr>
            <w:r>
              <w:rPr>
                <w:rFonts w:ascii="Arial" w:cs="Arial" w:eastAsia="Arial" w:hAnsi="Arial"/>
                <w:sz w:val="14"/>
                <w:szCs w:val="14"/>
                <w:b w:val="1"/>
                <w:bCs w:val="1"/>
                <w:color w:val="auto"/>
              </w:rPr>
              <w:t>% Difference</w:t>
            </w:r>
          </w:p>
        </w:tc>
      </w:tr>
      <w:tr>
        <w:trPr>
          <w:trHeight w:val="250"/>
        </w:trPr>
        <w:tc>
          <w:tcPr>
            <w:tcW w:w="58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Operating expense:</w:t>
            </w:r>
          </w:p>
        </w:tc>
        <w:tc>
          <w:tcPr>
            <w:tcW w:w="22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560" w:type="dxa"/>
            <w:vAlign w:val="bottom"/>
            <w:tcBorders>
              <w:bottom w:val="single" w:sz="8" w:color="CCEEFF"/>
            </w:tcBorders>
            <w:shd w:val="clear" w:color="auto" w:fill="CCEEFF"/>
          </w:tcPr>
          <w:p>
            <w:pPr>
              <w:spacing w:after="0"/>
              <w:rPr>
                <w:sz w:val="21"/>
                <w:szCs w:val="21"/>
                <w:color w:val="auto"/>
              </w:rPr>
            </w:pPr>
          </w:p>
        </w:tc>
      </w:tr>
      <w:tr>
        <w:trPr>
          <w:trHeight w:val="243"/>
        </w:trPr>
        <w:tc>
          <w:tcPr>
            <w:tcW w:w="5800" w:type="dxa"/>
            <w:vAlign w:val="bottom"/>
          </w:tcPr>
          <w:p>
            <w:pPr>
              <w:ind w:left="380"/>
              <w:spacing w:after="0"/>
              <w:rPr>
                <w:sz w:val="20"/>
                <w:szCs w:val="20"/>
                <w:color w:val="auto"/>
              </w:rPr>
            </w:pPr>
            <w:r>
              <w:rPr>
                <w:rFonts w:ascii="Arial" w:cs="Arial" w:eastAsia="Arial" w:hAnsi="Arial"/>
                <w:sz w:val="18"/>
                <w:szCs w:val="18"/>
                <w:color w:val="auto"/>
              </w:rPr>
              <w:t>Selling, general and administrative</w:t>
            </w:r>
          </w:p>
        </w:tc>
        <w:tc>
          <w:tcPr>
            <w:tcW w:w="220" w:type="dxa"/>
            <w:vAlign w:val="bottom"/>
          </w:tcPr>
          <w:p>
            <w:pPr>
              <w:jc w:val="right"/>
              <w:ind w:right="10"/>
              <w:spacing w:after="0"/>
              <w:rPr>
                <w:sz w:val="20"/>
                <w:szCs w:val="20"/>
                <w:color w:val="auto"/>
              </w:rPr>
            </w:pPr>
            <w:r>
              <w:rPr>
                <w:rFonts w:ascii="Arial" w:cs="Arial" w:eastAsia="Arial" w:hAnsi="Arial"/>
                <w:sz w:val="18"/>
                <w:szCs w:val="18"/>
                <w:color w:val="auto"/>
                <w:w w:val="99"/>
              </w:rPr>
              <w:t>$</w:t>
            </w:r>
          </w:p>
        </w:tc>
        <w:tc>
          <w:tcPr>
            <w:tcW w:w="920" w:type="dxa"/>
            <w:vAlign w:val="bottom"/>
          </w:tcPr>
          <w:p>
            <w:pPr>
              <w:jc w:val="right"/>
              <w:ind w:right="37"/>
              <w:spacing w:after="0"/>
              <w:rPr>
                <w:sz w:val="20"/>
                <w:szCs w:val="20"/>
                <w:color w:val="auto"/>
              </w:rPr>
            </w:pPr>
            <w:r>
              <w:rPr>
                <w:rFonts w:ascii="Arial" w:cs="Arial" w:eastAsia="Arial" w:hAnsi="Arial"/>
                <w:sz w:val="18"/>
                <w:szCs w:val="18"/>
                <w:color w:val="auto"/>
                <w:w w:val="97"/>
              </w:rPr>
              <w:t>3,767,456</w:t>
            </w:r>
          </w:p>
        </w:tc>
        <w:tc>
          <w:tcPr>
            <w:tcW w:w="220" w:type="dxa"/>
            <w:vAlign w:val="bottom"/>
          </w:tcPr>
          <w:p>
            <w:pPr>
              <w:spacing w:after="0"/>
              <w:rPr>
                <w:sz w:val="21"/>
                <w:szCs w:val="21"/>
                <w:color w:val="auto"/>
              </w:rPr>
            </w:pPr>
          </w:p>
        </w:tc>
        <w:tc>
          <w:tcPr>
            <w:tcW w:w="200" w:type="dxa"/>
            <w:vAlign w:val="bottom"/>
          </w:tcPr>
          <w:p>
            <w:pPr>
              <w:jc w:val="right"/>
              <w:ind w:right="10"/>
              <w:spacing w:after="0"/>
              <w:rPr>
                <w:sz w:val="20"/>
                <w:szCs w:val="20"/>
                <w:color w:val="auto"/>
              </w:rPr>
            </w:pPr>
            <w:r>
              <w:rPr>
                <w:rFonts w:ascii="Arial" w:cs="Arial" w:eastAsia="Arial" w:hAnsi="Arial"/>
                <w:sz w:val="18"/>
                <w:szCs w:val="18"/>
                <w:color w:val="auto"/>
                <w:w w:val="79"/>
              </w:rPr>
              <w:t>$</w:t>
            </w:r>
          </w:p>
        </w:tc>
        <w:tc>
          <w:tcPr>
            <w:tcW w:w="920" w:type="dxa"/>
            <w:vAlign w:val="bottom"/>
          </w:tcPr>
          <w:p>
            <w:pPr>
              <w:jc w:val="right"/>
              <w:ind w:right="14"/>
              <w:spacing w:after="0"/>
              <w:rPr>
                <w:sz w:val="20"/>
                <w:szCs w:val="20"/>
                <w:color w:val="auto"/>
              </w:rPr>
            </w:pPr>
            <w:r>
              <w:rPr>
                <w:rFonts w:ascii="Arial" w:cs="Arial" w:eastAsia="Arial" w:hAnsi="Arial"/>
                <w:sz w:val="18"/>
                <w:szCs w:val="18"/>
                <w:color w:val="auto"/>
                <w:w w:val="99"/>
              </w:rPr>
              <w:t>3,367,716</w:t>
            </w:r>
          </w:p>
        </w:tc>
        <w:tc>
          <w:tcPr>
            <w:tcW w:w="120" w:type="dxa"/>
            <w:vAlign w:val="bottom"/>
          </w:tcPr>
          <w:p>
            <w:pPr>
              <w:spacing w:after="0"/>
              <w:rPr>
                <w:sz w:val="21"/>
                <w:szCs w:val="21"/>
                <w:color w:val="auto"/>
              </w:rPr>
            </w:pPr>
          </w:p>
        </w:tc>
        <w:tc>
          <w:tcPr>
            <w:tcW w:w="20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160" w:type="dxa"/>
            <w:vAlign w:val="bottom"/>
          </w:tcPr>
          <w:p>
            <w:pPr>
              <w:jc w:val="right"/>
              <w:ind w:right="14"/>
              <w:spacing w:after="0"/>
              <w:rPr>
                <w:sz w:val="20"/>
                <w:szCs w:val="20"/>
                <w:color w:val="auto"/>
              </w:rPr>
            </w:pPr>
            <w:r>
              <w:rPr>
                <w:rFonts w:ascii="Arial" w:cs="Arial" w:eastAsia="Arial" w:hAnsi="Arial"/>
                <w:sz w:val="18"/>
                <w:szCs w:val="18"/>
                <w:color w:val="auto"/>
              </w:rPr>
              <w:t>399,740</w:t>
            </w:r>
          </w:p>
        </w:tc>
        <w:tc>
          <w:tcPr>
            <w:tcW w:w="1660" w:type="dxa"/>
            <w:vAlign w:val="bottom"/>
            <w:gridSpan w:val="2"/>
          </w:tcPr>
          <w:p>
            <w:pPr>
              <w:jc w:val="right"/>
              <w:spacing w:after="0"/>
              <w:rPr>
                <w:sz w:val="20"/>
                <w:szCs w:val="20"/>
                <w:color w:val="auto"/>
              </w:rPr>
            </w:pPr>
            <w:r>
              <w:rPr>
                <w:rFonts w:ascii="Arial" w:cs="Arial" w:eastAsia="Arial" w:hAnsi="Arial"/>
                <w:sz w:val="18"/>
                <w:szCs w:val="18"/>
                <w:color w:val="auto"/>
              </w:rPr>
              <w:t>12%</w:t>
            </w:r>
          </w:p>
        </w:tc>
      </w:tr>
      <w:tr>
        <w:trPr>
          <w:trHeight w:val="27"/>
        </w:trPr>
        <w:tc>
          <w:tcPr>
            <w:tcW w:w="5800" w:type="dxa"/>
            <w:vAlign w:val="bottom"/>
          </w:tcPr>
          <w:p>
            <w:pPr>
              <w:spacing w:after="0"/>
              <w:rPr>
                <w:sz w:val="2"/>
                <w:szCs w:val="2"/>
                <w:color w:val="auto"/>
              </w:rPr>
            </w:pPr>
          </w:p>
        </w:tc>
        <w:tc>
          <w:tcPr>
            <w:tcW w:w="220" w:type="dxa"/>
            <w:vAlign w:val="bottom"/>
          </w:tcPr>
          <w:p>
            <w:pPr>
              <w:spacing w:after="0"/>
              <w:rPr>
                <w:sz w:val="2"/>
                <w:szCs w:val="2"/>
                <w:color w:val="auto"/>
              </w:rPr>
            </w:pPr>
          </w:p>
        </w:tc>
        <w:tc>
          <w:tcPr>
            <w:tcW w:w="920" w:type="dxa"/>
            <w:vAlign w:val="bottom"/>
          </w:tcPr>
          <w:p>
            <w:pPr>
              <w:spacing w:after="0"/>
              <w:rPr>
                <w:sz w:val="2"/>
                <w:szCs w:val="2"/>
                <w:color w:val="auto"/>
              </w:rPr>
            </w:pPr>
          </w:p>
        </w:tc>
        <w:tc>
          <w:tcPr>
            <w:tcW w:w="220" w:type="dxa"/>
            <w:vAlign w:val="bottom"/>
          </w:tcPr>
          <w:p>
            <w:pPr>
              <w:spacing w:after="0"/>
              <w:rPr>
                <w:sz w:val="2"/>
                <w:szCs w:val="2"/>
                <w:color w:val="auto"/>
              </w:rPr>
            </w:pPr>
          </w:p>
        </w:tc>
        <w:tc>
          <w:tcPr>
            <w:tcW w:w="200" w:type="dxa"/>
            <w:vAlign w:val="bottom"/>
          </w:tcPr>
          <w:p>
            <w:pPr>
              <w:spacing w:after="0"/>
              <w:rPr>
                <w:sz w:val="2"/>
                <w:szCs w:val="2"/>
                <w:color w:val="auto"/>
              </w:rPr>
            </w:pPr>
          </w:p>
        </w:tc>
        <w:tc>
          <w:tcPr>
            <w:tcW w:w="9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560" w:type="dxa"/>
            <w:vAlign w:val="bottom"/>
          </w:tcPr>
          <w:p>
            <w:pPr>
              <w:spacing w:after="0"/>
              <w:rPr>
                <w:sz w:val="2"/>
                <w:szCs w:val="2"/>
                <w:color w:val="auto"/>
              </w:rPr>
            </w:pPr>
          </w:p>
        </w:tc>
      </w:tr>
      <w:tr>
        <w:trPr>
          <w:trHeight w:val="270"/>
        </w:trPr>
        <w:tc>
          <w:tcPr>
            <w:tcW w:w="580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Research, development and engineering</w:t>
            </w:r>
          </w:p>
        </w:tc>
        <w:tc>
          <w:tcPr>
            <w:tcW w:w="220" w:type="dxa"/>
            <w:vAlign w:val="bottom"/>
            <w:tcBorders>
              <w:bottom w:val="single" w:sz="8" w:color="CCEEFF"/>
            </w:tcBorders>
            <w:shd w:val="clear" w:color="auto" w:fill="CCEEFF"/>
          </w:tcPr>
          <w:p>
            <w:pPr>
              <w:spacing w:after="0"/>
              <w:rPr>
                <w:sz w:val="23"/>
                <w:szCs w:val="23"/>
                <w:color w:val="auto"/>
              </w:rPr>
            </w:pPr>
          </w:p>
        </w:tc>
        <w:tc>
          <w:tcPr>
            <w:tcW w:w="920" w:type="dxa"/>
            <w:vAlign w:val="bottom"/>
            <w:tcBorders>
              <w:bottom w:val="single" w:sz="8" w:color="CCEEFF"/>
            </w:tcBorders>
            <w:shd w:val="clear" w:color="auto" w:fill="CCEEFF"/>
          </w:tcPr>
          <w:p>
            <w:pPr>
              <w:jc w:val="right"/>
              <w:ind w:right="37"/>
              <w:spacing w:after="0"/>
              <w:rPr>
                <w:sz w:val="20"/>
                <w:szCs w:val="20"/>
                <w:color w:val="auto"/>
              </w:rPr>
            </w:pPr>
            <w:r>
              <w:rPr>
                <w:rFonts w:ascii="Arial" w:cs="Arial" w:eastAsia="Arial" w:hAnsi="Arial"/>
                <w:sz w:val="18"/>
                <w:szCs w:val="18"/>
                <w:color w:val="auto"/>
                <w:w w:val="97"/>
              </w:rPr>
              <w:t>1,003,863</w:t>
            </w:r>
          </w:p>
        </w:tc>
        <w:tc>
          <w:tcPr>
            <w:tcW w:w="220" w:type="dxa"/>
            <w:vAlign w:val="bottom"/>
            <w:tcBorders>
              <w:bottom w:val="single" w:sz="8" w:color="CCEEFF"/>
            </w:tcBorders>
            <w:shd w:val="clear" w:color="auto" w:fill="CCEEFF"/>
          </w:tcPr>
          <w:p>
            <w:pPr>
              <w:spacing w:after="0"/>
              <w:rPr>
                <w:sz w:val="23"/>
                <w:szCs w:val="23"/>
                <w:color w:val="auto"/>
              </w:rPr>
            </w:pPr>
          </w:p>
        </w:tc>
        <w:tc>
          <w:tcPr>
            <w:tcW w:w="200" w:type="dxa"/>
            <w:vAlign w:val="bottom"/>
            <w:tcBorders>
              <w:bottom w:val="single" w:sz="8" w:color="CCEEFF"/>
            </w:tcBorders>
            <w:shd w:val="clear" w:color="auto" w:fill="CCEEFF"/>
          </w:tcPr>
          <w:p>
            <w:pPr>
              <w:spacing w:after="0"/>
              <w:rPr>
                <w:sz w:val="23"/>
                <w:szCs w:val="23"/>
                <w:color w:val="auto"/>
              </w:rPr>
            </w:pPr>
          </w:p>
        </w:tc>
        <w:tc>
          <w:tcPr>
            <w:tcW w:w="92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818,891</w:t>
            </w:r>
          </w:p>
        </w:tc>
        <w:tc>
          <w:tcPr>
            <w:tcW w:w="120" w:type="dxa"/>
            <w:vAlign w:val="bottom"/>
            <w:tcBorders>
              <w:bottom w:val="single" w:sz="8" w:color="CCEEFF"/>
            </w:tcBorders>
            <w:shd w:val="clear" w:color="auto" w:fill="CCEEFF"/>
          </w:tcPr>
          <w:p>
            <w:pPr>
              <w:spacing w:after="0"/>
              <w:rPr>
                <w:sz w:val="23"/>
                <w:szCs w:val="23"/>
                <w:color w:val="auto"/>
              </w:rPr>
            </w:pPr>
          </w:p>
        </w:tc>
        <w:tc>
          <w:tcPr>
            <w:tcW w:w="200" w:type="dxa"/>
            <w:vAlign w:val="bottom"/>
            <w:tcBorders>
              <w:bottom w:val="single" w:sz="8" w:color="CCEEFF"/>
            </w:tcBorders>
            <w:shd w:val="clear" w:color="auto" w:fill="CCEEFF"/>
          </w:tcPr>
          <w:p>
            <w:pPr>
              <w:spacing w:after="0"/>
              <w:rPr>
                <w:sz w:val="23"/>
                <w:szCs w:val="23"/>
                <w:color w:val="auto"/>
              </w:rPr>
            </w:pPr>
          </w:p>
        </w:tc>
        <w:tc>
          <w:tcPr>
            <w:tcW w:w="116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184,972</w:t>
            </w:r>
          </w:p>
        </w:tc>
        <w:tc>
          <w:tcPr>
            <w:tcW w:w="1660" w:type="dxa"/>
            <w:vAlign w:val="bottom"/>
            <w:tcBorders>
              <w:bottom w:val="single" w:sz="8" w:color="CCEEFF"/>
            </w:tcBorders>
            <w:gridSpan w:val="2"/>
            <w:shd w:val="clear" w:color="auto" w:fill="CCEEFF"/>
          </w:tcPr>
          <w:p>
            <w:pPr>
              <w:jc w:val="right"/>
              <w:spacing w:after="0"/>
              <w:rPr>
                <w:sz w:val="20"/>
                <w:szCs w:val="20"/>
                <w:color w:val="auto"/>
              </w:rPr>
            </w:pPr>
            <w:r>
              <w:rPr>
                <w:rFonts w:ascii="Arial" w:cs="Arial" w:eastAsia="Arial" w:hAnsi="Arial"/>
                <w:sz w:val="18"/>
                <w:szCs w:val="18"/>
                <w:color w:val="auto"/>
              </w:rPr>
              <w:t>23%</w:t>
            </w:r>
          </w:p>
        </w:tc>
      </w:tr>
      <w:tr>
        <w:trPr>
          <w:trHeight w:val="257"/>
        </w:trPr>
        <w:tc>
          <w:tcPr>
            <w:tcW w:w="5800" w:type="dxa"/>
            <w:vAlign w:val="bottom"/>
          </w:tcPr>
          <w:p>
            <w:pPr>
              <w:ind w:left="40"/>
              <w:spacing w:after="0"/>
              <w:rPr>
                <w:sz w:val="20"/>
                <w:szCs w:val="20"/>
                <w:color w:val="auto"/>
              </w:rPr>
            </w:pPr>
            <w:r>
              <w:rPr>
                <w:rFonts w:ascii="Arial" w:cs="Arial" w:eastAsia="Arial" w:hAnsi="Arial"/>
                <w:sz w:val="18"/>
                <w:szCs w:val="18"/>
                <w:color w:val="auto"/>
              </w:rPr>
              <w:t>Total operating expense</w:t>
            </w:r>
          </w:p>
        </w:tc>
        <w:tc>
          <w:tcPr>
            <w:tcW w:w="22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18"/>
                <w:szCs w:val="18"/>
                <w:color w:val="auto"/>
                <w:w w:val="99"/>
              </w:rPr>
              <w:t>$</w:t>
            </w:r>
          </w:p>
        </w:tc>
        <w:tc>
          <w:tcPr>
            <w:tcW w:w="920" w:type="dxa"/>
            <w:vAlign w:val="bottom"/>
            <w:tcBorders>
              <w:top w:val="single" w:sz="8" w:color="auto"/>
              <w:bottom w:val="single" w:sz="8" w:color="auto"/>
            </w:tcBorders>
          </w:tcPr>
          <w:p>
            <w:pPr>
              <w:jc w:val="right"/>
              <w:ind w:right="37"/>
              <w:spacing w:after="0"/>
              <w:rPr>
                <w:sz w:val="20"/>
                <w:szCs w:val="20"/>
                <w:color w:val="auto"/>
              </w:rPr>
            </w:pPr>
            <w:r>
              <w:rPr>
                <w:rFonts w:ascii="Arial" w:cs="Arial" w:eastAsia="Arial" w:hAnsi="Arial"/>
                <w:sz w:val="18"/>
                <w:szCs w:val="18"/>
                <w:color w:val="auto"/>
                <w:w w:val="97"/>
              </w:rPr>
              <w:t>4,771,319</w:t>
            </w:r>
          </w:p>
        </w:tc>
        <w:tc>
          <w:tcPr>
            <w:tcW w:w="220" w:type="dxa"/>
            <w:vAlign w:val="bottom"/>
          </w:tcPr>
          <w:p>
            <w:pPr>
              <w:spacing w:after="0"/>
              <w:rPr>
                <w:sz w:val="22"/>
                <w:szCs w:val="22"/>
                <w:color w:val="auto"/>
              </w:rPr>
            </w:pPr>
          </w:p>
        </w:tc>
        <w:tc>
          <w:tcPr>
            <w:tcW w:w="20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18"/>
                <w:szCs w:val="18"/>
                <w:color w:val="auto"/>
                <w:w w:val="79"/>
              </w:rPr>
              <w:t>$</w:t>
            </w:r>
          </w:p>
        </w:tc>
        <w:tc>
          <w:tcPr>
            <w:tcW w:w="920" w:type="dxa"/>
            <w:vAlign w:val="bottom"/>
            <w:tcBorders>
              <w:top w:val="single" w:sz="8" w:color="auto"/>
              <w:bottom w:val="single" w:sz="8" w:color="auto"/>
            </w:tcBorders>
          </w:tcPr>
          <w:p>
            <w:pPr>
              <w:jc w:val="right"/>
              <w:ind w:right="14"/>
              <w:spacing w:after="0"/>
              <w:rPr>
                <w:sz w:val="20"/>
                <w:szCs w:val="20"/>
                <w:color w:val="auto"/>
              </w:rPr>
            </w:pPr>
            <w:r>
              <w:rPr>
                <w:rFonts w:ascii="Arial" w:cs="Arial" w:eastAsia="Arial" w:hAnsi="Arial"/>
                <w:sz w:val="18"/>
                <w:szCs w:val="18"/>
                <w:color w:val="auto"/>
                <w:w w:val="99"/>
              </w:rPr>
              <w:t>4,186,607</w:t>
            </w:r>
          </w:p>
        </w:tc>
        <w:tc>
          <w:tcPr>
            <w:tcW w:w="120" w:type="dxa"/>
            <w:vAlign w:val="bottom"/>
          </w:tcPr>
          <w:p>
            <w:pPr>
              <w:spacing w:after="0"/>
              <w:rPr>
                <w:sz w:val="22"/>
                <w:szCs w:val="22"/>
                <w:color w:val="auto"/>
              </w:rPr>
            </w:pPr>
          </w:p>
        </w:tc>
        <w:tc>
          <w:tcPr>
            <w:tcW w:w="2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160" w:type="dxa"/>
            <w:vAlign w:val="bottom"/>
            <w:tcBorders>
              <w:top w:val="single" w:sz="8" w:color="auto"/>
              <w:bottom w:val="single" w:sz="8" w:color="auto"/>
            </w:tcBorders>
          </w:tcPr>
          <w:p>
            <w:pPr>
              <w:jc w:val="right"/>
              <w:ind w:right="14"/>
              <w:spacing w:after="0"/>
              <w:rPr>
                <w:sz w:val="20"/>
                <w:szCs w:val="20"/>
                <w:color w:val="auto"/>
              </w:rPr>
            </w:pPr>
            <w:r>
              <w:rPr>
                <w:rFonts w:ascii="Arial" w:cs="Arial" w:eastAsia="Arial" w:hAnsi="Arial"/>
                <w:sz w:val="18"/>
                <w:szCs w:val="18"/>
                <w:color w:val="auto"/>
              </w:rPr>
              <w:t>584,712</w:t>
            </w:r>
          </w:p>
        </w:tc>
        <w:tc>
          <w:tcPr>
            <w:tcW w:w="1660" w:type="dxa"/>
            <w:vAlign w:val="bottom"/>
            <w:gridSpan w:val="2"/>
          </w:tcPr>
          <w:p>
            <w:pPr>
              <w:jc w:val="right"/>
              <w:spacing w:after="0"/>
              <w:rPr>
                <w:sz w:val="20"/>
                <w:szCs w:val="20"/>
                <w:color w:val="auto"/>
              </w:rPr>
            </w:pPr>
            <w:r>
              <w:rPr>
                <w:rFonts w:ascii="Arial" w:cs="Arial" w:eastAsia="Arial" w:hAnsi="Arial"/>
                <w:sz w:val="18"/>
                <w:szCs w:val="18"/>
                <w:color w:val="auto"/>
              </w:rPr>
              <w:t>14%</w:t>
            </w:r>
          </w:p>
        </w:tc>
      </w:tr>
      <w:tr>
        <w:trPr>
          <w:trHeight w:val="20"/>
        </w:trPr>
        <w:tc>
          <w:tcPr>
            <w:tcW w:w="580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560" w:type="dxa"/>
            <w:vAlign w:val="bottom"/>
          </w:tcPr>
          <w:p>
            <w:pPr>
              <w:spacing w:after="0" w:line="20" w:lineRule="exact"/>
              <w:rPr>
                <w:sz w:val="1"/>
                <w:szCs w:val="1"/>
                <w:color w:val="auto"/>
              </w:rPr>
            </w:pPr>
          </w:p>
        </w:tc>
      </w:tr>
    </w:tbl>
    <w:p>
      <w:pPr>
        <w:spacing w:after="0" w:line="202" w:lineRule="exact"/>
        <w:rPr>
          <w:sz w:val="20"/>
          <w:szCs w:val="20"/>
          <w:color w:val="auto"/>
        </w:rPr>
      </w:pPr>
    </w:p>
    <w:p>
      <w:pPr>
        <w:ind w:right="120" w:firstLine="432"/>
        <w:spacing w:after="0" w:line="302" w:lineRule="auto"/>
        <w:rPr>
          <w:sz w:val="20"/>
          <w:szCs w:val="20"/>
          <w:color w:val="auto"/>
        </w:rPr>
      </w:pPr>
      <w:r>
        <w:rPr>
          <w:rFonts w:ascii="Arial" w:cs="Arial" w:eastAsia="Arial" w:hAnsi="Arial"/>
          <w:sz w:val="16"/>
          <w:szCs w:val="16"/>
          <w:color w:val="auto"/>
        </w:rPr>
        <w:t>Our selling, general and administrative expense increased $0.4 million, or 12%, to $3.8 million for the three months ended June 30, 2018 compared to $3.4 million for the three months ended June 30, 2017. Selling, general and administrative expense increased primarily due to the addition of sales personnel to market our fiber optic test and measurement products. Selling, general and administrative expense for the three months ended June 30, 2018 and 2017 associated with the optoelectronics business sold on July 31, 2018 and included in the table above, were $502,047 and $420,270, respectively.</w:t>
      </w:r>
    </w:p>
    <w:p>
      <w:pPr>
        <w:spacing w:after="0" w:line="154" w:lineRule="exact"/>
        <w:rPr>
          <w:sz w:val="20"/>
          <w:szCs w:val="20"/>
          <w:color w:val="auto"/>
        </w:rPr>
      </w:pPr>
    </w:p>
    <w:p>
      <w:pPr>
        <w:ind w:right="40" w:firstLine="432"/>
        <w:spacing w:after="0" w:line="279" w:lineRule="auto"/>
        <w:rPr>
          <w:sz w:val="20"/>
          <w:szCs w:val="20"/>
          <w:color w:val="auto"/>
        </w:rPr>
      </w:pPr>
      <w:r>
        <w:rPr>
          <w:rFonts w:ascii="Arial" w:cs="Arial" w:eastAsia="Arial" w:hAnsi="Arial"/>
          <w:sz w:val="17"/>
          <w:szCs w:val="17"/>
          <w:color w:val="auto"/>
        </w:rPr>
        <w:t>Research, development and engineering expense increased $0.2 million, or 23%, to $1.0 million for the three months ended June 30, 2018, compared to $0.8 million for the three months ended June 30, 2017 due to increased engineering personnel and development costs associated with our fiber optic test and measurement products. Research, development and engineering expense for the three months ended June 30, 2018 and 2017 associated with the optoelectronics business sold on July 31, 2018 and included in the table above, were $243,588 and $219,291, respectively.</w:t>
      </w:r>
    </w:p>
    <w:p>
      <w:pPr>
        <w:spacing w:after="0" w:line="280"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Investment Income</w:t>
      </w:r>
    </w:p>
    <w:p>
      <w:pPr>
        <w:spacing w:after="0" w:line="117" w:lineRule="exact"/>
        <w:rPr>
          <w:sz w:val="20"/>
          <w:szCs w:val="20"/>
          <w:color w:val="auto"/>
        </w:rPr>
      </w:pPr>
    </w:p>
    <w:p>
      <w:pPr>
        <w:jc w:val="both"/>
        <w:ind w:right="140" w:firstLine="432"/>
        <w:spacing w:after="0" w:line="308" w:lineRule="auto"/>
        <w:rPr>
          <w:sz w:val="20"/>
          <w:szCs w:val="20"/>
          <w:color w:val="auto"/>
        </w:rPr>
      </w:pPr>
      <w:r>
        <w:rPr>
          <w:rFonts w:ascii="Arial" w:cs="Arial" w:eastAsia="Arial" w:hAnsi="Arial"/>
          <w:sz w:val="17"/>
          <w:szCs w:val="17"/>
          <w:color w:val="auto"/>
        </w:rPr>
        <w:t>Investment income was $0.1 million for the three months ended June 30, 2018. During the three months ended June 30, 2018, we invested a portion of our cash in funds holding U.S. treasury instruments. We did not have any investment income for the three months ended June 30, 2017.</w:t>
      </w:r>
    </w:p>
    <w:p>
      <w:pPr>
        <w:spacing w:after="0" w:line="255"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Income Tax Benefit</w:t>
      </w:r>
    </w:p>
    <w:p>
      <w:pPr>
        <w:spacing w:after="0" w:line="117" w:lineRule="exact"/>
        <w:rPr>
          <w:sz w:val="20"/>
          <w:szCs w:val="20"/>
          <w:color w:val="auto"/>
        </w:rPr>
      </w:pPr>
    </w:p>
    <w:p>
      <w:pPr>
        <w:jc w:val="both"/>
        <w:ind w:right="140" w:firstLine="405"/>
        <w:spacing w:after="0" w:line="277" w:lineRule="auto"/>
        <w:rPr>
          <w:sz w:val="20"/>
          <w:szCs w:val="20"/>
          <w:color w:val="auto"/>
        </w:rPr>
      </w:pPr>
      <w:r>
        <w:rPr>
          <w:rFonts w:ascii="Arial" w:cs="Arial" w:eastAsia="Arial" w:hAnsi="Arial"/>
          <w:sz w:val="18"/>
          <w:szCs w:val="18"/>
          <w:color w:val="auto"/>
        </w:rPr>
        <w:t>For the three months ended June 30, 2018, we recognized an income tax benefit of 0.1 million due to the utilization of net operating loss carryforwards to offset taxable income during the period.</w:t>
      </w:r>
    </w:p>
    <w:p>
      <w:pPr>
        <w:spacing w:after="0" w:line="279"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Net Income From Continuing Operations</w:t>
      </w:r>
    </w:p>
    <w:p>
      <w:pPr>
        <w:spacing w:after="0" w:line="360" w:lineRule="exact"/>
        <w:rPr>
          <w:sz w:val="20"/>
          <w:szCs w:val="20"/>
          <w:color w:val="auto"/>
        </w:rPr>
      </w:pPr>
    </w:p>
    <w:p>
      <w:pPr>
        <w:jc w:val="both"/>
        <w:ind w:right="120" w:firstLine="432"/>
        <w:spacing w:after="0" w:line="286" w:lineRule="auto"/>
        <w:rPr>
          <w:sz w:val="20"/>
          <w:szCs w:val="20"/>
          <w:color w:val="auto"/>
        </w:rPr>
      </w:pPr>
      <w:r>
        <w:rPr>
          <w:rFonts w:ascii="Arial" w:cs="Arial" w:eastAsia="Arial" w:hAnsi="Arial"/>
          <w:sz w:val="17"/>
          <w:szCs w:val="17"/>
          <w:color w:val="auto"/>
        </w:rPr>
        <w:t>During the three months ended June 30, 2018, we recognized income from continuing operations before income taxes of $1.0 million and $0.1 million for the three months ended June 30, 2018 and 2017, respectively. After tax, our net income from continuing operations was $1.1 million for the three months ended June 30, 2018, compared to a net income from continuing operations of $0.1 million for the three months ended June 30, 2017.</w:t>
      </w:r>
    </w:p>
    <w:p>
      <w:pPr>
        <w:spacing w:after="0" w:line="274"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Net Loss From Discontinued Operations</w:t>
      </w:r>
    </w:p>
    <w:p>
      <w:pPr>
        <w:spacing w:after="0" w:line="360" w:lineRule="exact"/>
        <w:rPr>
          <w:sz w:val="20"/>
          <w:szCs w:val="20"/>
          <w:color w:val="auto"/>
        </w:rPr>
      </w:pPr>
    </w:p>
    <w:p>
      <w:pPr>
        <w:ind w:right="80" w:firstLine="432"/>
        <w:spacing w:after="0" w:line="342" w:lineRule="auto"/>
        <w:rPr>
          <w:sz w:val="20"/>
          <w:szCs w:val="20"/>
          <w:color w:val="auto"/>
        </w:rPr>
      </w:pPr>
      <w:r>
        <w:rPr>
          <w:rFonts w:ascii="Arial" w:cs="Arial" w:eastAsia="Arial" w:hAnsi="Arial"/>
          <w:sz w:val="16"/>
          <w:szCs w:val="16"/>
          <w:color w:val="auto"/>
        </w:rPr>
        <w:t>For the three months ended June 30, 2017, our net loss from discontinued operations of $0.3 million represented the operating results of our high speed optical receivers business, which was sold in August 2017. There were no results from discontinued operations for the three months ended June 30, 2018.</w:t>
      </w:r>
    </w:p>
    <w:p>
      <w:pPr>
        <w:spacing w:after="0" w:line="340" w:lineRule="exact"/>
        <w:rPr>
          <w:sz w:val="20"/>
          <w:szCs w:val="20"/>
          <w:color w:val="auto"/>
        </w:rPr>
      </w:pPr>
    </w:p>
    <w:p>
      <w:pPr>
        <w:ind w:right="5420"/>
        <w:spacing w:after="0" w:line="402" w:lineRule="auto"/>
        <w:rPr>
          <w:sz w:val="20"/>
          <w:szCs w:val="20"/>
          <w:color w:val="auto"/>
        </w:rPr>
      </w:pPr>
      <w:r>
        <w:rPr>
          <w:rFonts w:ascii="Arial" w:cs="Arial" w:eastAsia="Arial" w:hAnsi="Arial"/>
          <w:sz w:val="18"/>
          <w:szCs w:val="18"/>
          <w:b w:val="1"/>
          <w:bCs w:val="1"/>
          <w:i w:val="1"/>
          <w:iCs w:val="1"/>
          <w:color w:val="auto"/>
        </w:rPr>
        <w:t xml:space="preserve">Six Months Ended June 30, 2018 Compared to Six Months Ended June 30, 2017 </w:t>
      </w:r>
      <w:r>
        <w:rPr>
          <w:rFonts w:ascii="Arial" w:cs="Arial" w:eastAsia="Arial" w:hAnsi="Arial"/>
          <w:sz w:val="18"/>
          <w:szCs w:val="18"/>
          <w:i w:val="1"/>
          <w:iCs w:val="1"/>
          <w:color w:val="auto"/>
        </w:rPr>
        <w:t>Revenues</w:t>
      </w:r>
    </w:p>
    <w:p>
      <w:pPr>
        <w:spacing w:after="0" w:line="34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28</w:t>
      </w:r>
    </w:p>
    <w:p>
      <w:pPr>
        <w:sectPr>
          <w:pgSz w:w="11900" w:h="16838" w:orient="portrait"/>
          <w:cols w:equalWidth="0" w:num="1">
            <w:col w:w="11420"/>
          </w:cols>
          <w:pgMar w:left="240" w:top="118" w:right="239" w:bottom="1440" w:gutter="0" w:footer="0" w:header="0"/>
        </w:sectPr>
      </w:pPr>
    </w:p>
    <w:bookmarkStart w:id="28" w:name="page29"/>
    <w:bookmarkEnd w:id="28"/>
    <w:tbl>
      <w:tblPr>
        <w:tblLayout w:type="fixed"/>
        <w:tblInd w:w="0" w:type="dxa"/>
        <w:tblCellMar>
          <w:top w:w="0" w:type="dxa"/>
          <w:left w:w="0" w:type="dxa"/>
          <w:bottom w:w="0" w:type="dxa"/>
          <w:right w:w="0" w:type="dxa"/>
        </w:tblCellMar>
      </w:tblPr>
      <w:tr>
        <w:trPr>
          <w:trHeight w:val="161"/>
        </w:trPr>
        <w:tc>
          <w:tcPr>
            <w:tcW w:w="5100" w:type="dxa"/>
            <w:vAlign w:val="bottom"/>
            <w:gridSpan w:val="2"/>
          </w:tcPr>
          <w:p>
            <w:pPr>
              <w:spacing w:after="0"/>
              <w:rPr>
                <w:rFonts w:ascii="Arial" w:cs="Arial" w:eastAsia="Arial" w:hAnsi="Arial"/>
                <w:sz w:val="14"/>
                <w:szCs w:val="14"/>
                <w:b w:val="1"/>
                <w:bCs w:val="1"/>
                <w:color w:val="0000EE"/>
              </w:rPr>
            </w:pPr>
            <w:hyperlink w:anchor="page2">
              <w:r>
                <w:rPr>
                  <w:rFonts w:ascii="Arial" w:cs="Arial" w:eastAsia="Arial" w:hAnsi="Arial"/>
                  <w:sz w:val="14"/>
                  <w:szCs w:val="14"/>
                  <w:b w:val="1"/>
                  <w:bCs w:val="1"/>
                  <w:color w:val="0000EE"/>
                </w:rPr>
                <w:t>Table of Contents</w:t>
              </w:r>
            </w:hyperlink>
          </w:p>
        </w:tc>
        <w:tc>
          <w:tcPr>
            <w:tcW w:w="34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11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13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440" w:type="dxa"/>
            <w:vAlign w:val="bottom"/>
          </w:tcPr>
          <w:p>
            <w:pPr>
              <w:spacing w:after="0"/>
              <w:rPr>
                <w:sz w:val="14"/>
                <w:szCs w:val="14"/>
                <w:color w:val="auto"/>
              </w:rPr>
            </w:pPr>
          </w:p>
        </w:tc>
      </w:tr>
      <w:tr>
        <w:trPr>
          <w:trHeight w:val="649"/>
        </w:trPr>
        <w:tc>
          <w:tcPr>
            <w:tcW w:w="1100" w:type="dxa"/>
            <w:vAlign w:val="bottom"/>
            <w:tcBorders>
              <w:top w:val="single" w:sz="8" w:color="0000EE"/>
            </w:tcBorders>
          </w:tcPr>
          <w:p>
            <w:pPr>
              <w:spacing w:after="0"/>
              <w:rPr>
                <w:sz w:val="24"/>
                <w:szCs w:val="24"/>
                <w:color w:val="auto"/>
              </w:rPr>
            </w:pPr>
          </w:p>
        </w:tc>
        <w:tc>
          <w:tcPr>
            <w:tcW w:w="4000" w:type="dxa"/>
            <w:vAlign w:val="bottom"/>
          </w:tcPr>
          <w:p>
            <w:pPr>
              <w:spacing w:after="0"/>
              <w:rPr>
                <w:sz w:val="24"/>
                <w:szCs w:val="24"/>
                <w:color w:val="auto"/>
              </w:rPr>
            </w:pPr>
          </w:p>
        </w:tc>
        <w:tc>
          <w:tcPr>
            <w:tcW w:w="340" w:type="dxa"/>
            <w:vAlign w:val="bottom"/>
            <w:tcBorders>
              <w:bottom w:val="single" w:sz="8" w:color="auto"/>
            </w:tcBorders>
          </w:tcPr>
          <w:p>
            <w:pPr>
              <w:spacing w:after="0"/>
              <w:rPr>
                <w:sz w:val="24"/>
                <w:szCs w:val="24"/>
                <w:color w:val="auto"/>
              </w:rPr>
            </w:pPr>
          </w:p>
        </w:tc>
        <w:tc>
          <w:tcPr>
            <w:tcW w:w="2820" w:type="dxa"/>
            <w:vAlign w:val="bottom"/>
            <w:tcBorders>
              <w:bottom w:val="single" w:sz="8" w:color="auto"/>
            </w:tcBorders>
            <w:gridSpan w:val="5"/>
          </w:tcPr>
          <w:p>
            <w:pPr>
              <w:ind w:left="360"/>
              <w:spacing w:after="0"/>
              <w:rPr>
                <w:sz w:val="20"/>
                <w:szCs w:val="20"/>
                <w:color w:val="auto"/>
              </w:rPr>
            </w:pPr>
            <w:r>
              <w:rPr>
                <w:rFonts w:ascii="Arial" w:cs="Arial" w:eastAsia="Arial" w:hAnsi="Arial"/>
                <w:sz w:val="14"/>
                <w:szCs w:val="14"/>
                <w:b w:val="1"/>
                <w:bCs w:val="1"/>
                <w:color w:val="auto"/>
              </w:rPr>
              <w:t>Six Months Ended June 30,</w:t>
            </w:r>
          </w:p>
        </w:tc>
        <w:tc>
          <w:tcPr>
            <w:tcW w:w="280" w:type="dxa"/>
            <w:vAlign w:val="bottom"/>
          </w:tcPr>
          <w:p>
            <w:pPr>
              <w:spacing w:after="0"/>
              <w:rPr>
                <w:sz w:val="24"/>
                <w:szCs w:val="24"/>
                <w:color w:val="auto"/>
              </w:rPr>
            </w:pPr>
          </w:p>
        </w:tc>
        <w:tc>
          <w:tcPr>
            <w:tcW w:w="13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440" w:type="dxa"/>
            <w:vAlign w:val="bottom"/>
          </w:tcPr>
          <w:p>
            <w:pPr>
              <w:spacing w:after="0"/>
              <w:rPr>
                <w:sz w:val="24"/>
                <w:szCs w:val="24"/>
                <w:color w:val="auto"/>
              </w:rPr>
            </w:pPr>
          </w:p>
        </w:tc>
      </w:tr>
      <w:tr>
        <w:trPr>
          <w:trHeight w:val="264"/>
        </w:trPr>
        <w:tc>
          <w:tcPr>
            <w:tcW w:w="1100" w:type="dxa"/>
            <w:vAlign w:val="bottom"/>
            <w:tcBorders>
              <w:bottom w:val="single" w:sz="8" w:color="CCEEFF"/>
            </w:tcBorders>
          </w:tcPr>
          <w:p>
            <w:pPr>
              <w:spacing w:after="0"/>
              <w:rPr>
                <w:sz w:val="22"/>
                <w:szCs w:val="22"/>
                <w:color w:val="auto"/>
              </w:rPr>
            </w:pPr>
          </w:p>
        </w:tc>
        <w:tc>
          <w:tcPr>
            <w:tcW w:w="4000" w:type="dxa"/>
            <w:vAlign w:val="bottom"/>
            <w:tcBorders>
              <w:bottom w:val="single" w:sz="8" w:color="CCEEFF"/>
            </w:tcBorders>
          </w:tcPr>
          <w:p>
            <w:pPr>
              <w:spacing w:after="0"/>
              <w:rPr>
                <w:sz w:val="22"/>
                <w:szCs w:val="22"/>
                <w:color w:val="auto"/>
              </w:rPr>
            </w:pPr>
          </w:p>
        </w:tc>
        <w:tc>
          <w:tcPr>
            <w:tcW w:w="340" w:type="dxa"/>
            <w:vAlign w:val="bottom"/>
            <w:tcBorders>
              <w:bottom w:val="single" w:sz="8" w:color="auto"/>
            </w:tcBorders>
          </w:tcPr>
          <w:p>
            <w:pPr>
              <w:spacing w:after="0"/>
              <w:rPr>
                <w:sz w:val="22"/>
                <w:szCs w:val="22"/>
                <w:color w:val="auto"/>
              </w:rPr>
            </w:pPr>
          </w:p>
        </w:tc>
        <w:tc>
          <w:tcPr>
            <w:tcW w:w="1140" w:type="dxa"/>
            <w:vAlign w:val="bottom"/>
            <w:tcBorders>
              <w:bottom w:val="single" w:sz="8" w:color="auto"/>
            </w:tcBorders>
          </w:tcPr>
          <w:p>
            <w:pPr>
              <w:jc w:val="right"/>
              <w:ind w:right="517"/>
              <w:spacing w:after="0"/>
              <w:rPr>
                <w:sz w:val="20"/>
                <w:szCs w:val="20"/>
                <w:color w:val="auto"/>
              </w:rPr>
            </w:pPr>
            <w:r>
              <w:rPr>
                <w:rFonts w:ascii="Arial" w:cs="Arial" w:eastAsia="Arial" w:hAnsi="Arial"/>
                <w:sz w:val="14"/>
                <w:szCs w:val="14"/>
                <w:b w:val="1"/>
                <w:bCs w:val="1"/>
                <w:color w:val="auto"/>
              </w:rPr>
              <w:t>2018</w:t>
            </w:r>
          </w:p>
        </w:tc>
        <w:tc>
          <w:tcPr>
            <w:tcW w:w="200" w:type="dxa"/>
            <w:vAlign w:val="bottom"/>
            <w:tcBorders>
              <w:bottom w:val="single" w:sz="8" w:color="CCEEFF"/>
            </w:tcBorders>
          </w:tcPr>
          <w:p>
            <w:pPr>
              <w:spacing w:after="0"/>
              <w:rPr>
                <w:sz w:val="22"/>
                <w:szCs w:val="22"/>
                <w:color w:val="auto"/>
              </w:rPr>
            </w:pPr>
          </w:p>
        </w:tc>
        <w:tc>
          <w:tcPr>
            <w:tcW w:w="280" w:type="dxa"/>
            <w:vAlign w:val="bottom"/>
            <w:tcBorders>
              <w:bottom w:val="single" w:sz="8" w:color="auto"/>
            </w:tcBorders>
          </w:tcPr>
          <w:p>
            <w:pPr>
              <w:spacing w:after="0"/>
              <w:rPr>
                <w:sz w:val="22"/>
                <w:szCs w:val="22"/>
                <w:color w:val="auto"/>
              </w:rPr>
            </w:pPr>
          </w:p>
        </w:tc>
        <w:tc>
          <w:tcPr>
            <w:tcW w:w="1100" w:type="dxa"/>
            <w:vAlign w:val="bottom"/>
            <w:tcBorders>
              <w:bottom w:val="single" w:sz="8" w:color="auto"/>
            </w:tcBorders>
          </w:tcPr>
          <w:p>
            <w:pPr>
              <w:jc w:val="right"/>
              <w:ind w:right="454"/>
              <w:spacing w:after="0"/>
              <w:rPr>
                <w:sz w:val="20"/>
                <w:szCs w:val="20"/>
                <w:color w:val="auto"/>
              </w:rPr>
            </w:pPr>
            <w:r>
              <w:rPr>
                <w:rFonts w:ascii="Arial" w:cs="Arial" w:eastAsia="Arial" w:hAnsi="Arial"/>
                <w:sz w:val="14"/>
                <w:szCs w:val="14"/>
                <w:b w:val="1"/>
                <w:bCs w:val="1"/>
                <w:color w:val="auto"/>
              </w:rPr>
              <w:t>2017</w:t>
            </w:r>
          </w:p>
        </w:tc>
        <w:tc>
          <w:tcPr>
            <w:tcW w:w="100" w:type="dxa"/>
            <w:vAlign w:val="bottom"/>
            <w:tcBorders>
              <w:bottom w:val="single" w:sz="8" w:color="CCEEFF"/>
            </w:tcBorders>
          </w:tcPr>
          <w:p>
            <w:pPr>
              <w:spacing w:after="0"/>
              <w:rPr>
                <w:sz w:val="22"/>
                <w:szCs w:val="22"/>
                <w:color w:val="auto"/>
              </w:rPr>
            </w:pPr>
          </w:p>
        </w:tc>
        <w:tc>
          <w:tcPr>
            <w:tcW w:w="280" w:type="dxa"/>
            <w:vAlign w:val="bottom"/>
            <w:tcBorders>
              <w:bottom w:val="single" w:sz="8" w:color="auto"/>
            </w:tcBorders>
          </w:tcPr>
          <w:p>
            <w:pPr>
              <w:spacing w:after="0"/>
              <w:rPr>
                <w:sz w:val="22"/>
                <w:szCs w:val="22"/>
                <w:color w:val="auto"/>
              </w:rPr>
            </w:pPr>
          </w:p>
        </w:tc>
        <w:tc>
          <w:tcPr>
            <w:tcW w:w="1320" w:type="dxa"/>
            <w:vAlign w:val="bottom"/>
            <w:tcBorders>
              <w:bottom w:val="single" w:sz="8" w:color="auto"/>
            </w:tcBorders>
          </w:tcPr>
          <w:p>
            <w:pPr>
              <w:jc w:val="right"/>
              <w:ind w:right="354"/>
              <w:spacing w:after="0"/>
              <w:rPr>
                <w:sz w:val="20"/>
                <w:szCs w:val="20"/>
                <w:color w:val="auto"/>
              </w:rPr>
            </w:pPr>
            <w:r>
              <w:rPr>
                <w:rFonts w:ascii="Arial" w:cs="Arial" w:eastAsia="Arial" w:hAnsi="Arial"/>
                <w:sz w:val="14"/>
                <w:szCs w:val="14"/>
                <w:b w:val="1"/>
                <w:bCs w:val="1"/>
                <w:color w:val="auto"/>
              </w:rPr>
              <w:t>$ Difference</w:t>
            </w:r>
          </w:p>
        </w:tc>
        <w:tc>
          <w:tcPr>
            <w:tcW w:w="100" w:type="dxa"/>
            <w:vAlign w:val="bottom"/>
            <w:tcBorders>
              <w:bottom w:val="single" w:sz="8" w:color="CCEEFF"/>
            </w:tcBorders>
          </w:tcPr>
          <w:p>
            <w:pPr>
              <w:spacing w:after="0"/>
              <w:rPr>
                <w:sz w:val="22"/>
                <w:szCs w:val="22"/>
                <w:color w:val="auto"/>
              </w:rPr>
            </w:pPr>
          </w:p>
        </w:tc>
        <w:tc>
          <w:tcPr>
            <w:tcW w:w="1440" w:type="dxa"/>
            <w:vAlign w:val="bottom"/>
            <w:tcBorders>
              <w:bottom w:val="single" w:sz="8" w:color="auto"/>
            </w:tcBorders>
          </w:tcPr>
          <w:p>
            <w:pPr>
              <w:jc w:val="right"/>
              <w:ind w:right="248"/>
              <w:spacing w:after="0"/>
              <w:rPr>
                <w:sz w:val="20"/>
                <w:szCs w:val="20"/>
                <w:color w:val="auto"/>
              </w:rPr>
            </w:pPr>
            <w:r>
              <w:rPr>
                <w:rFonts w:ascii="Arial" w:cs="Arial" w:eastAsia="Arial" w:hAnsi="Arial"/>
                <w:sz w:val="14"/>
                <w:szCs w:val="14"/>
                <w:b w:val="1"/>
                <w:bCs w:val="1"/>
                <w:color w:val="auto"/>
              </w:rPr>
              <w:t>% Difference</w:t>
            </w:r>
          </w:p>
        </w:tc>
      </w:tr>
      <w:tr>
        <w:trPr>
          <w:trHeight w:val="250"/>
        </w:trPr>
        <w:tc>
          <w:tcPr>
            <w:tcW w:w="510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Revenues:</w:t>
            </w:r>
          </w:p>
        </w:tc>
        <w:tc>
          <w:tcPr>
            <w:tcW w:w="34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440" w:type="dxa"/>
            <w:vAlign w:val="bottom"/>
            <w:tcBorders>
              <w:bottom w:val="single" w:sz="8" w:color="CCEEFF"/>
            </w:tcBorders>
            <w:shd w:val="clear" w:color="auto" w:fill="CCEEFF"/>
          </w:tcPr>
          <w:p>
            <w:pPr>
              <w:spacing w:after="0"/>
              <w:rPr>
                <w:sz w:val="21"/>
                <w:szCs w:val="21"/>
                <w:color w:val="auto"/>
              </w:rPr>
            </w:pPr>
          </w:p>
        </w:tc>
      </w:tr>
      <w:tr>
        <w:trPr>
          <w:trHeight w:val="243"/>
        </w:trPr>
        <w:tc>
          <w:tcPr>
            <w:tcW w:w="5100" w:type="dxa"/>
            <w:vAlign w:val="bottom"/>
            <w:gridSpan w:val="2"/>
          </w:tcPr>
          <w:p>
            <w:pPr>
              <w:ind w:left="40"/>
              <w:spacing w:after="0"/>
              <w:rPr>
                <w:sz w:val="20"/>
                <w:szCs w:val="20"/>
                <w:color w:val="auto"/>
              </w:rPr>
            </w:pPr>
            <w:r>
              <w:rPr>
                <w:rFonts w:ascii="Arial" w:cs="Arial" w:eastAsia="Arial" w:hAnsi="Arial"/>
                <w:sz w:val="18"/>
                <w:szCs w:val="18"/>
                <w:color w:val="auto"/>
              </w:rPr>
              <w:t>Technology development</w:t>
            </w:r>
          </w:p>
        </w:tc>
        <w:tc>
          <w:tcPr>
            <w:tcW w:w="340" w:type="dxa"/>
            <w:vAlign w:val="bottom"/>
          </w:tcPr>
          <w:p>
            <w:pPr>
              <w:jc w:val="right"/>
              <w:ind w:right="130"/>
              <w:spacing w:after="0"/>
              <w:rPr>
                <w:sz w:val="20"/>
                <w:szCs w:val="20"/>
                <w:color w:val="auto"/>
              </w:rPr>
            </w:pPr>
            <w:r>
              <w:rPr>
                <w:rFonts w:ascii="Arial" w:cs="Arial" w:eastAsia="Arial" w:hAnsi="Arial"/>
                <w:sz w:val="18"/>
                <w:szCs w:val="18"/>
                <w:color w:val="auto"/>
                <w:w w:val="99"/>
              </w:rPr>
              <w:t>$</w:t>
            </w:r>
          </w:p>
        </w:tc>
        <w:tc>
          <w:tcPr>
            <w:tcW w:w="1140" w:type="dxa"/>
            <w:vAlign w:val="bottom"/>
          </w:tcPr>
          <w:p>
            <w:pPr>
              <w:jc w:val="right"/>
              <w:ind w:right="37"/>
              <w:spacing w:after="0"/>
              <w:rPr>
                <w:sz w:val="20"/>
                <w:szCs w:val="20"/>
                <w:color w:val="auto"/>
              </w:rPr>
            </w:pPr>
            <w:r>
              <w:rPr>
                <w:rFonts w:ascii="Arial" w:cs="Arial" w:eastAsia="Arial" w:hAnsi="Arial"/>
                <w:sz w:val="18"/>
                <w:szCs w:val="18"/>
                <w:color w:val="auto"/>
              </w:rPr>
              <w:t>10,103,056</w:t>
            </w:r>
          </w:p>
        </w:tc>
        <w:tc>
          <w:tcPr>
            <w:tcW w:w="200" w:type="dxa"/>
            <w:vAlign w:val="bottom"/>
          </w:tcPr>
          <w:p>
            <w:pPr>
              <w:spacing w:after="0"/>
              <w:rPr>
                <w:sz w:val="21"/>
                <w:szCs w:val="21"/>
                <w:color w:val="auto"/>
              </w:rPr>
            </w:pPr>
          </w:p>
        </w:tc>
        <w:tc>
          <w:tcPr>
            <w:tcW w:w="280" w:type="dxa"/>
            <w:vAlign w:val="bottom"/>
          </w:tcPr>
          <w:p>
            <w:pPr>
              <w:jc w:val="right"/>
              <w:ind w:right="70"/>
              <w:spacing w:after="0"/>
              <w:rPr>
                <w:sz w:val="20"/>
                <w:szCs w:val="20"/>
                <w:color w:val="auto"/>
              </w:rPr>
            </w:pPr>
            <w:r>
              <w:rPr>
                <w:rFonts w:ascii="Arial" w:cs="Arial" w:eastAsia="Arial" w:hAnsi="Arial"/>
                <w:sz w:val="18"/>
                <w:szCs w:val="18"/>
                <w:color w:val="auto"/>
                <w:w w:val="99"/>
              </w:rPr>
              <w:t>$</w:t>
            </w:r>
          </w:p>
        </w:tc>
        <w:tc>
          <w:tcPr>
            <w:tcW w:w="1100" w:type="dxa"/>
            <w:vAlign w:val="bottom"/>
          </w:tcPr>
          <w:p>
            <w:pPr>
              <w:jc w:val="right"/>
              <w:ind w:right="34"/>
              <w:spacing w:after="0"/>
              <w:rPr>
                <w:sz w:val="20"/>
                <w:szCs w:val="20"/>
                <w:color w:val="auto"/>
              </w:rPr>
            </w:pPr>
            <w:r>
              <w:rPr>
                <w:rFonts w:ascii="Arial" w:cs="Arial" w:eastAsia="Arial" w:hAnsi="Arial"/>
                <w:sz w:val="18"/>
                <w:szCs w:val="18"/>
                <w:color w:val="auto"/>
              </w:rPr>
              <w:t>8,838,375</w:t>
            </w:r>
          </w:p>
        </w:tc>
        <w:tc>
          <w:tcPr>
            <w:tcW w:w="100" w:type="dxa"/>
            <w:vAlign w:val="bottom"/>
          </w:tcPr>
          <w:p>
            <w:pPr>
              <w:spacing w:after="0"/>
              <w:rPr>
                <w:sz w:val="21"/>
                <w:szCs w:val="21"/>
                <w:color w:val="auto"/>
              </w:rPr>
            </w:pPr>
          </w:p>
        </w:tc>
        <w:tc>
          <w:tcPr>
            <w:tcW w:w="280" w:type="dxa"/>
            <w:vAlign w:val="bottom"/>
          </w:tcPr>
          <w:p>
            <w:pPr>
              <w:jc w:val="right"/>
              <w:ind w:right="70"/>
              <w:spacing w:after="0"/>
              <w:rPr>
                <w:sz w:val="20"/>
                <w:szCs w:val="20"/>
                <w:color w:val="auto"/>
              </w:rPr>
            </w:pPr>
            <w:r>
              <w:rPr>
                <w:rFonts w:ascii="Arial" w:cs="Arial" w:eastAsia="Arial" w:hAnsi="Arial"/>
                <w:sz w:val="18"/>
                <w:szCs w:val="18"/>
                <w:color w:val="auto"/>
                <w:w w:val="99"/>
              </w:rPr>
              <w:t>$</w:t>
            </w:r>
          </w:p>
        </w:tc>
        <w:tc>
          <w:tcPr>
            <w:tcW w:w="1320" w:type="dxa"/>
            <w:vAlign w:val="bottom"/>
          </w:tcPr>
          <w:p>
            <w:pPr>
              <w:jc w:val="right"/>
              <w:ind w:right="34"/>
              <w:spacing w:after="0"/>
              <w:rPr>
                <w:sz w:val="20"/>
                <w:szCs w:val="20"/>
                <w:color w:val="auto"/>
              </w:rPr>
            </w:pPr>
            <w:r>
              <w:rPr>
                <w:rFonts w:ascii="Arial" w:cs="Arial" w:eastAsia="Arial" w:hAnsi="Arial"/>
                <w:sz w:val="18"/>
                <w:szCs w:val="18"/>
                <w:color w:val="auto"/>
              </w:rPr>
              <w:t>1,264,681</w:t>
            </w:r>
          </w:p>
        </w:tc>
        <w:tc>
          <w:tcPr>
            <w:tcW w:w="1540" w:type="dxa"/>
            <w:vAlign w:val="bottom"/>
            <w:gridSpan w:val="2"/>
          </w:tcPr>
          <w:p>
            <w:pPr>
              <w:jc w:val="right"/>
              <w:spacing w:after="0"/>
              <w:rPr>
                <w:sz w:val="20"/>
                <w:szCs w:val="20"/>
                <w:color w:val="auto"/>
              </w:rPr>
            </w:pPr>
            <w:r>
              <w:rPr>
                <w:rFonts w:ascii="Arial" w:cs="Arial" w:eastAsia="Arial" w:hAnsi="Arial"/>
                <w:sz w:val="18"/>
                <w:szCs w:val="18"/>
                <w:color w:val="auto"/>
              </w:rPr>
              <w:t>14%</w:t>
            </w:r>
          </w:p>
        </w:tc>
      </w:tr>
      <w:tr>
        <w:trPr>
          <w:trHeight w:val="27"/>
        </w:trPr>
        <w:tc>
          <w:tcPr>
            <w:tcW w:w="1100" w:type="dxa"/>
            <w:vAlign w:val="bottom"/>
          </w:tcPr>
          <w:p>
            <w:pPr>
              <w:spacing w:after="0"/>
              <w:rPr>
                <w:sz w:val="2"/>
                <w:szCs w:val="2"/>
                <w:color w:val="auto"/>
              </w:rPr>
            </w:pPr>
          </w:p>
        </w:tc>
        <w:tc>
          <w:tcPr>
            <w:tcW w:w="40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40" w:type="dxa"/>
            <w:vAlign w:val="bottom"/>
          </w:tcPr>
          <w:p>
            <w:pPr>
              <w:spacing w:after="0"/>
              <w:rPr>
                <w:sz w:val="2"/>
                <w:szCs w:val="2"/>
                <w:color w:val="auto"/>
              </w:rPr>
            </w:pPr>
          </w:p>
        </w:tc>
        <w:tc>
          <w:tcPr>
            <w:tcW w:w="200" w:type="dxa"/>
            <w:vAlign w:val="bottom"/>
          </w:tcPr>
          <w:p>
            <w:pPr>
              <w:spacing w:after="0"/>
              <w:rPr>
                <w:sz w:val="2"/>
                <w:szCs w:val="2"/>
                <w:color w:val="auto"/>
              </w:rPr>
            </w:pPr>
          </w:p>
        </w:tc>
        <w:tc>
          <w:tcPr>
            <w:tcW w:w="28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Pr>
          <w:p>
            <w:pPr>
              <w:spacing w:after="0"/>
              <w:rPr>
                <w:sz w:val="2"/>
                <w:szCs w:val="2"/>
                <w:color w:val="auto"/>
              </w:rPr>
            </w:pPr>
          </w:p>
        </w:tc>
        <w:tc>
          <w:tcPr>
            <w:tcW w:w="13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40" w:type="dxa"/>
            <w:vAlign w:val="bottom"/>
          </w:tcPr>
          <w:p>
            <w:pPr>
              <w:spacing w:after="0"/>
              <w:rPr>
                <w:sz w:val="2"/>
                <w:szCs w:val="2"/>
                <w:color w:val="auto"/>
              </w:rPr>
            </w:pPr>
          </w:p>
        </w:tc>
      </w:tr>
      <w:tr>
        <w:trPr>
          <w:trHeight w:val="270"/>
        </w:trPr>
        <w:tc>
          <w:tcPr>
            <w:tcW w:w="510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Products and licensing</w:t>
            </w:r>
          </w:p>
        </w:tc>
        <w:tc>
          <w:tcPr>
            <w:tcW w:w="340" w:type="dxa"/>
            <w:vAlign w:val="bottom"/>
            <w:tcBorders>
              <w:bottom w:val="single" w:sz="8" w:color="CCEEFF"/>
            </w:tcBorders>
            <w:shd w:val="clear" w:color="auto" w:fill="CCEEFF"/>
          </w:tcPr>
          <w:p>
            <w:pPr>
              <w:spacing w:after="0"/>
              <w:rPr>
                <w:sz w:val="23"/>
                <w:szCs w:val="23"/>
                <w:color w:val="auto"/>
              </w:rPr>
            </w:pPr>
          </w:p>
        </w:tc>
        <w:tc>
          <w:tcPr>
            <w:tcW w:w="1140" w:type="dxa"/>
            <w:vAlign w:val="bottom"/>
            <w:tcBorders>
              <w:bottom w:val="single" w:sz="8" w:color="CCEEFF"/>
            </w:tcBorders>
            <w:shd w:val="clear" w:color="auto" w:fill="CCEEFF"/>
          </w:tcPr>
          <w:p>
            <w:pPr>
              <w:jc w:val="right"/>
              <w:ind w:right="37"/>
              <w:spacing w:after="0"/>
              <w:rPr>
                <w:sz w:val="20"/>
                <w:szCs w:val="20"/>
                <w:color w:val="auto"/>
              </w:rPr>
            </w:pPr>
            <w:r>
              <w:rPr>
                <w:rFonts w:ascii="Arial" w:cs="Arial" w:eastAsia="Arial" w:hAnsi="Arial"/>
                <w:sz w:val="18"/>
                <w:szCs w:val="18"/>
                <w:color w:val="auto"/>
              </w:rPr>
              <w:t>15,862,763</w:t>
            </w:r>
          </w:p>
        </w:tc>
        <w:tc>
          <w:tcPr>
            <w:tcW w:w="200" w:type="dxa"/>
            <w:vAlign w:val="bottom"/>
            <w:tcBorders>
              <w:bottom w:val="single" w:sz="8" w:color="CCEEFF"/>
            </w:tcBorders>
            <w:shd w:val="clear" w:color="auto" w:fill="CCEEFF"/>
          </w:tcPr>
          <w:p>
            <w:pPr>
              <w:spacing w:after="0"/>
              <w:rPr>
                <w:sz w:val="23"/>
                <w:szCs w:val="23"/>
                <w:color w:val="auto"/>
              </w:rPr>
            </w:pPr>
          </w:p>
        </w:tc>
        <w:tc>
          <w:tcPr>
            <w:tcW w:w="280" w:type="dxa"/>
            <w:vAlign w:val="bottom"/>
            <w:tcBorders>
              <w:bottom w:val="single" w:sz="8" w:color="CCEEFF"/>
            </w:tcBorders>
            <w:shd w:val="clear" w:color="auto" w:fill="CCEEFF"/>
          </w:tcPr>
          <w:p>
            <w:pPr>
              <w:spacing w:after="0"/>
              <w:rPr>
                <w:sz w:val="23"/>
                <w:szCs w:val="23"/>
                <w:color w:val="auto"/>
              </w:rPr>
            </w:pPr>
          </w:p>
        </w:tc>
        <w:tc>
          <w:tcPr>
            <w:tcW w:w="1100" w:type="dxa"/>
            <w:vAlign w:val="bottom"/>
            <w:tcBorders>
              <w:bottom w:val="single" w:sz="8" w:color="CCEEFF"/>
            </w:tcBorders>
            <w:shd w:val="clear" w:color="auto" w:fill="CCEEFF"/>
          </w:tcPr>
          <w:p>
            <w:pPr>
              <w:jc w:val="right"/>
              <w:ind w:right="34"/>
              <w:spacing w:after="0"/>
              <w:rPr>
                <w:sz w:val="20"/>
                <w:szCs w:val="20"/>
                <w:color w:val="auto"/>
              </w:rPr>
            </w:pPr>
            <w:r>
              <w:rPr>
                <w:rFonts w:ascii="Arial" w:cs="Arial" w:eastAsia="Arial" w:hAnsi="Arial"/>
                <w:sz w:val="18"/>
                <w:szCs w:val="18"/>
                <w:color w:val="auto"/>
              </w:rPr>
              <w:t>12,541,554</w:t>
            </w:r>
          </w:p>
        </w:tc>
        <w:tc>
          <w:tcPr>
            <w:tcW w:w="100" w:type="dxa"/>
            <w:vAlign w:val="bottom"/>
            <w:tcBorders>
              <w:bottom w:val="single" w:sz="8" w:color="CCEEFF"/>
            </w:tcBorders>
            <w:shd w:val="clear" w:color="auto" w:fill="CCEEFF"/>
          </w:tcPr>
          <w:p>
            <w:pPr>
              <w:spacing w:after="0"/>
              <w:rPr>
                <w:sz w:val="23"/>
                <w:szCs w:val="23"/>
                <w:color w:val="auto"/>
              </w:rPr>
            </w:pPr>
          </w:p>
        </w:tc>
        <w:tc>
          <w:tcPr>
            <w:tcW w:w="280" w:type="dxa"/>
            <w:vAlign w:val="bottom"/>
            <w:tcBorders>
              <w:bottom w:val="single" w:sz="8" w:color="CCEEFF"/>
            </w:tcBorders>
            <w:shd w:val="clear" w:color="auto" w:fill="CCEEFF"/>
          </w:tcPr>
          <w:p>
            <w:pPr>
              <w:spacing w:after="0"/>
              <w:rPr>
                <w:sz w:val="23"/>
                <w:szCs w:val="23"/>
                <w:color w:val="auto"/>
              </w:rPr>
            </w:pPr>
          </w:p>
        </w:tc>
        <w:tc>
          <w:tcPr>
            <w:tcW w:w="1320" w:type="dxa"/>
            <w:vAlign w:val="bottom"/>
            <w:tcBorders>
              <w:bottom w:val="single" w:sz="8" w:color="CCEEFF"/>
            </w:tcBorders>
            <w:shd w:val="clear" w:color="auto" w:fill="CCEEFF"/>
          </w:tcPr>
          <w:p>
            <w:pPr>
              <w:jc w:val="right"/>
              <w:ind w:right="34"/>
              <w:spacing w:after="0"/>
              <w:rPr>
                <w:sz w:val="20"/>
                <w:szCs w:val="20"/>
                <w:color w:val="auto"/>
              </w:rPr>
            </w:pPr>
            <w:r>
              <w:rPr>
                <w:rFonts w:ascii="Arial" w:cs="Arial" w:eastAsia="Arial" w:hAnsi="Arial"/>
                <w:sz w:val="18"/>
                <w:szCs w:val="18"/>
                <w:color w:val="auto"/>
              </w:rPr>
              <w:t>3,321,209</w:t>
            </w:r>
          </w:p>
        </w:tc>
        <w:tc>
          <w:tcPr>
            <w:tcW w:w="1540" w:type="dxa"/>
            <w:vAlign w:val="bottom"/>
            <w:tcBorders>
              <w:bottom w:val="single" w:sz="8" w:color="CCEEFF"/>
            </w:tcBorders>
            <w:gridSpan w:val="2"/>
            <w:shd w:val="clear" w:color="auto" w:fill="CCEEFF"/>
          </w:tcPr>
          <w:p>
            <w:pPr>
              <w:jc w:val="right"/>
              <w:spacing w:after="0"/>
              <w:rPr>
                <w:sz w:val="20"/>
                <w:szCs w:val="20"/>
                <w:color w:val="auto"/>
              </w:rPr>
            </w:pPr>
            <w:r>
              <w:rPr>
                <w:rFonts w:ascii="Arial" w:cs="Arial" w:eastAsia="Arial" w:hAnsi="Arial"/>
                <w:sz w:val="18"/>
                <w:szCs w:val="18"/>
                <w:color w:val="auto"/>
              </w:rPr>
              <w:t>26%</w:t>
            </w:r>
          </w:p>
        </w:tc>
      </w:tr>
      <w:tr>
        <w:trPr>
          <w:trHeight w:val="257"/>
        </w:trPr>
        <w:tc>
          <w:tcPr>
            <w:tcW w:w="5100" w:type="dxa"/>
            <w:vAlign w:val="bottom"/>
            <w:gridSpan w:val="2"/>
          </w:tcPr>
          <w:p>
            <w:pPr>
              <w:ind w:left="40"/>
              <w:spacing w:after="0"/>
              <w:rPr>
                <w:sz w:val="20"/>
                <w:szCs w:val="20"/>
                <w:color w:val="auto"/>
              </w:rPr>
            </w:pPr>
            <w:r>
              <w:rPr>
                <w:rFonts w:ascii="Arial" w:cs="Arial" w:eastAsia="Arial" w:hAnsi="Arial"/>
                <w:sz w:val="18"/>
                <w:szCs w:val="18"/>
                <w:color w:val="auto"/>
              </w:rPr>
              <w:t>Total revenues</w:t>
            </w:r>
          </w:p>
        </w:tc>
        <w:tc>
          <w:tcPr>
            <w:tcW w:w="340" w:type="dxa"/>
            <w:vAlign w:val="bottom"/>
            <w:tcBorders>
              <w:top w:val="single" w:sz="8" w:color="auto"/>
              <w:bottom w:val="single" w:sz="8" w:color="auto"/>
            </w:tcBorders>
          </w:tcPr>
          <w:p>
            <w:pPr>
              <w:jc w:val="right"/>
              <w:ind w:right="130"/>
              <w:spacing w:after="0"/>
              <w:rPr>
                <w:sz w:val="20"/>
                <w:szCs w:val="20"/>
                <w:color w:val="auto"/>
              </w:rPr>
            </w:pPr>
            <w:r>
              <w:rPr>
                <w:rFonts w:ascii="Arial" w:cs="Arial" w:eastAsia="Arial" w:hAnsi="Arial"/>
                <w:sz w:val="18"/>
                <w:szCs w:val="18"/>
                <w:color w:val="auto"/>
                <w:w w:val="99"/>
              </w:rPr>
              <w:t>$</w:t>
            </w:r>
          </w:p>
        </w:tc>
        <w:tc>
          <w:tcPr>
            <w:tcW w:w="1140" w:type="dxa"/>
            <w:vAlign w:val="bottom"/>
            <w:tcBorders>
              <w:top w:val="single" w:sz="8" w:color="auto"/>
              <w:bottom w:val="single" w:sz="8" w:color="auto"/>
            </w:tcBorders>
          </w:tcPr>
          <w:p>
            <w:pPr>
              <w:jc w:val="right"/>
              <w:ind w:right="37"/>
              <w:spacing w:after="0"/>
              <w:rPr>
                <w:sz w:val="20"/>
                <w:szCs w:val="20"/>
                <w:color w:val="auto"/>
              </w:rPr>
            </w:pPr>
            <w:r>
              <w:rPr>
                <w:rFonts w:ascii="Arial" w:cs="Arial" w:eastAsia="Arial" w:hAnsi="Arial"/>
                <w:sz w:val="18"/>
                <w:szCs w:val="18"/>
                <w:color w:val="auto"/>
              </w:rPr>
              <w:t>25,965,819</w:t>
            </w:r>
          </w:p>
        </w:tc>
        <w:tc>
          <w:tcPr>
            <w:tcW w:w="200" w:type="dxa"/>
            <w:vAlign w:val="bottom"/>
          </w:tcPr>
          <w:p>
            <w:pPr>
              <w:spacing w:after="0"/>
              <w:rPr>
                <w:sz w:val="22"/>
                <w:szCs w:val="22"/>
                <w:color w:val="auto"/>
              </w:rPr>
            </w:pPr>
          </w:p>
        </w:tc>
        <w:tc>
          <w:tcPr>
            <w:tcW w:w="280" w:type="dxa"/>
            <w:vAlign w:val="bottom"/>
            <w:tcBorders>
              <w:top w:val="single" w:sz="8" w:color="auto"/>
              <w:bottom w:val="single" w:sz="8" w:color="auto"/>
            </w:tcBorders>
          </w:tcPr>
          <w:p>
            <w:pPr>
              <w:jc w:val="right"/>
              <w:ind w:right="70"/>
              <w:spacing w:after="0"/>
              <w:rPr>
                <w:sz w:val="20"/>
                <w:szCs w:val="20"/>
                <w:color w:val="auto"/>
              </w:rPr>
            </w:pPr>
            <w:r>
              <w:rPr>
                <w:rFonts w:ascii="Arial" w:cs="Arial" w:eastAsia="Arial" w:hAnsi="Arial"/>
                <w:sz w:val="18"/>
                <w:szCs w:val="18"/>
                <w:color w:val="auto"/>
                <w:w w:val="99"/>
              </w:rPr>
              <w:t>$</w:t>
            </w:r>
          </w:p>
        </w:tc>
        <w:tc>
          <w:tcPr>
            <w:tcW w:w="1100" w:type="dxa"/>
            <w:vAlign w:val="bottom"/>
            <w:tcBorders>
              <w:top w:val="single" w:sz="8" w:color="auto"/>
              <w:bottom w:val="single" w:sz="8" w:color="auto"/>
            </w:tcBorders>
          </w:tcPr>
          <w:p>
            <w:pPr>
              <w:jc w:val="right"/>
              <w:ind w:right="34"/>
              <w:spacing w:after="0"/>
              <w:rPr>
                <w:sz w:val="20"/>
                <w:szCs w:val="20"/>
                <w:color w:val="auto"/>
              </w:rPr>
            </w:pPr>
            <w:r>
              <w:rPr>
                <w:rFonts w:ascii="Arial" w:cs="Arial" w:eastAsia="Arial" w:hAnsi="Arial"/>
                <w:sz w:val="18"/>
                <w:szCs w:val="18"/>
                <w:color w:val="auto"/>
              </w:rPr>
              <w:t>21,379,929</w:t>
            </w:r>
          </w:p>
        </w:tc>
        <w:tc>
          <w:tcPr>
            <w:tcW w:w="100" w:type="dxa"/>
            <w:vAlign w:val="bottom"/>
          </w:tcPr>
          <w:p>
            <w:pPr>
              <w:spacing w:after="0"/>
              <w:rPr>
                <w:sz w:val="22"/>
                <w:szCs w:val="22"/>
                <w:color w:val="auto"/>
              </w:rPr>
            </w:pPr>
          </w:p>
        </w:tc>
        <w:tc>
          <w:tcPr>
            <w:tcW w:w="280" w:type="dxa"/>
            <w:vAlign w:val="bottom"/>
            <w:tcBorders>
              <w:top w:val="single" w:sz="8" w:color="auto"/>
              <w:bottom w:val="single" w:sz="8" w:color="auto"/>
            </w:tcBorders>
          </w:tcPr>
          <w:p>
            <w:pPr>
              <w:jc w:val="right"/>
              <w:ind w:right="70"/>
              <w:spacing w:after="0"/>
              <w:rPr>
                <w:sz w:val="20"/>
                <w:szCs w:val="20"/>
                <w:color w:val="auto"/>
              </w:rPr>
            </w:pPr>
            <w:r>
              <w:rPr>
                <w:rFonts w:ascii="Arial" w:cs="Arial" w:eastAsia="Arial" w:hAnsi="Arial"/>
                <w:sz w:val="18"/>
                <w:szCs w:val="18"/>
                <w:color w:val="auto"/>
                <w:w w:val="99"/>
              </w:rPr>
              <w:t>$</w:t>
            </w:r>
          </w:p>
        </w:tc>
        <w:tc>
          <w:tcPr>
            <w:tcW w:w="1320" w:type="dxa"/>
            <w:vAlign w:val="bottom"/>
            <w:tcBorders>
              <w:top w:val="single" w:sz="8" w:color="auto"/>
              <w:bottom w:val="single" w:sz="8" w:color="auto"/>
            </w:tcBorders>
          </w:tcPr>
          <w:p>
            <w:pPr>
              <w:jc w:val="right"/>
              <w:ind w:right="34"/>
              <w:spacing w:after="0"/>
              <w:rPr>
                <w:sz w:val="20"/>
                <w:szCs w:val="20"/>
                <w:color w:val="auto"/>
              </w:rPr>
            </w:pPr>
            <w:r>
              <w:rPr>
                <w:rFonts w:ascii="Arial" w:cs="Arial" w:eastAsia="Arial" w:hAnsi="Arial"/>
                <w:sz w:val="18"/>
                <w:szCs w:val="18"/>
                <w:color w:val="auto"/>
              </w:rPr>
              <w:t>4,585,890</w:t>
            </w:r>
          </w:p>
        </w:tc>
        <w:tc>
          <w:tcPr>
            <w:tcW w:w="1540" w:type="dxa"/>
            <w:vAlign w:val="bottom"/>
            <w:gridSpan w:val="2"/>
          </w:tcPr>
          <w:p>
            <w:pPr>
              <w:jc w:val="right"/>
              <w:spacing w:after="0"/>
              <w:rPr>
                <w:sz w:val="20"/>
                <w:szCs w:val="20"/>
                <w:color w:val="auto"/>
              </w:rPr>
            </w:pPr>
            <w:r>
              <w:rPr>
                <w:rFonts w:ascii="Arial" w:cs="Arial" w:eastAsia="Arial" w:hAnsi="Arial"/>
                <w:sz w:val="18"/>
                <w:szCs w:val="18"/>
                <w:color w:val="auto"/>
              </w:rPr>
              <w:t>21%</w:t>
            </w:r>
          </w:p>
        </w:tc>
      </w:tr>
      <w:tr>
        <w:trPr>
          <w:trHeight w:val="20"/>
        </w:trPr>
        <w:tc>
          <w:tcPr>
            <w:tcW w:w="1100" w:type="dxa"/>
            <w:vAlign w:val="bottom"/>
          </w:tcPr>
          <w:p>
            <w:pPr>
              <w:spacing w:after="0" w:line="20" w:lineRule="exact"/>
              <w:rPr>
                <w:sz w:val="1"/>
                <w:szCs w:val="1"/>
                <w:color w:val="auto"/>
              </w:rPr>
            </w:pPr>
          </w:p>
        </w:tc>
        <w:tc>
          <w:tcPr>
            <w:tcW w:w="400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3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4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18" w:lineRule="exact"/>
        <w:rPr>
          <w:sz w:val="20"/>
          <w:szCs w:val="20"/>
          <w:color w:val="auto"/>
        </w:rPr>
      </w:pPr>
    </w:p>
    <w:p>
      <w:pPr>
        <w:ind w:right="20" w:firstLine="648"/>
        <w:spacing w:after="0" w:line="257" w:lineRule="auto"/>
        <w:rPr>
          <w:sz w:val="20"/>
          <w:szCs w:val="20"/>
          <w:color w:val="auto"/>
        </w:rPr>
      </w:pPr>
      <w:r>
        <w:rPr>
          <w:rFonts w:ascii="Arial" w:cs="Arial" w:eastAsia="Arial" w:hAnsi="Arial"/>
          <w:sz w:val="18"/>
          <w:szCs w:val="18"/>
          <w:color w:val="auto"/>
        </w:rPr>
        <w:t>Technology Development segment revenues increased $1.3 million, or 14%, to $10.1 million for the six months ended June 30, 2018 compared to $8.8 million for the six months ended June 30, 2017. The increase for the six months ended June 30, 2018 compared to the six months ended June 30, 2017 continues a growth trend experienced over the past two years largely driven by successes in Phase 2 SBIR awards. The increase was realized primarily in our optical systems and biomedical research groups. As Phase 2 contracts generally have a performance period of a year or more, we currently expect revenues to remain at a similar level for the near term.</w:t>
      </w:r>
    </w:p>
    <w:p>
      <w:pPr>
        <w:spacing w:after="0" w:line="80" w:lineRule="exact"/>
        <w:rPr>
          <w:sz w:val="20"/>
          <w:szCs w:val="20"/>
          <w:color w:val="auto"/>
        </w:rPr>
      </w:pPr>
    </w:p>
    <w:p>
      <w:pPr>
        <w:ind w:firstLine="648"/>
        <w:spacing w:after="0" w:line="290" w:lineRule="auto"/>
        <w:rPr>
          <w:sz w:val="20"/>
          <w:szCs w:val="20"/>
          <w:color w:val="auto"/>
        </w:rPr>
      </w:pPr>
      <w:r>
        <w:rPr>
          <w:rFonts w:ascii="Arial" w:cs="Arial" w:eastAsia="Arial" w:hAnsi="Arial"/>
          <w:sz w:val="16"/>
          <w:szCs w:val="16"/>
          <w:color w:val="auto"/>
        </w:rPr>
        <w:t xml:space="preserve">Our Products and Licensing segment included revenues from sales of test and measurement systems, primarily representing sales of our ODiSI, Optical Vector Analyzer, and Optical Backscatter Reflectometer platforms, optical components and sub-assemblies and sales of Terahertz sensing systems. Products and Licensing segment revenues increased $3.3 million, or 26%, to $15.9 million for the six months ended June 30, 2018 compared to $12.5 million for the six months ended June 30, 2017. The increase in revenues was realized primarily in our ODiSI systems supporting the expanding use of composite materials and the need for improved means of testing their structural integrity and in sales of our Terahertz instruments. The change in revenue for our Products and Licensing segment also includes an increase in revenue of $0.4 million for the six months ended June 30, 2018 related to the adoption of </w:t>
      </w:r>
      <w:r>
        <w:rPr>
          <w:rFonts w:ascii="Arial" w:cs="Arial" w:eastAsia="Arial" w:hAnsi="Arial"/>
          <w:sz w:val="16"/>
          <w:szCs w:val="16"/>
          <w:i w:val="1"/>
          <w:iCs w:val="1"/>
          <w:color w:val="auto"/>
        </w:rPr>
        <w:t xml:space="preserve">Revenue from Contracts with Customers </w:t>
      </w:r>
      <w:r>
        <w:rPr>
          <w:rFonts w:ascii="Arial" w:cs="Arial" w:eastAsia="Arial" w:hAnsi="Arial"/>
          <w:sz w:val="16"/>
          <w:szCs w:val="16"/>
          <w:color w:val="auto"/>
        </w:rPr>
        <w:t>(Topic 606). Revenues for the six months ended June 30, 2018 and 2017 associated with the optoelectronics business</w:t>
      </w:r>
      <w:r>
        <w:rPr>
          <w:rFonts w:ascii="Arial" w:cs="Arial" w:eastAsia="Arial" w:hAnsi="Arial"/>
          <w:sz w:val="16"/>
          <w:szCs w:val="16"/>
          <w:i w:val="1"/>
          <w:iCs w:val="1"/>
          <w:color w:val="auto"/>
        </w:rPr>
        <w:t xml:space="preserve"> </w:t>
      </w:r>
      <w:r>
        <w:rPr>
          <w:rFonts w:ascii="Arial" w:cs="Arial" w:eastAsia="Arial" w:hAnsi="Arial"/>
          <w:sz w:val="16"/>
          <w:szCs w:val="16"/>
          <w:color w:val="auto"/>
        </w:rPr>
        <w:t>sold on July 31, 2018 and included in the table above, were $7,273,925 and $6,462,998, respectively.</w:t>
      </w:r>
    </w:p>
    <w:p>
      <w:pPr>
        <w:spacing w:after="0" w:line="99"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Cost of Revenues and Gross Profit</w:t>
      </w:r>
    </w:p>
    <w:p>
      <w:pPr>
        <w:spacing w:after="0" w:line="199" w:lineRule="exact"/>
        <w:rPr>
          <w:sz w:val="20"/>
          <w:szCs w:val="20"/>
          <w:color w:val="auto"/>
        </w:rPr>
      </w:pPr>
    </w:p>
    <w:p>
      <w:pPr>
        <w:ind w:left="5860"/>
        <w:spacing w:after="0"/>
        <w:rPr>
          <w:sz w:val="20"/>
          <w:szCs w:val="20"/>
          <w:color w:val="auto"/>
        </w:rPr>
      </w:pPr>
      <w:r>
        <w:rPr>
          <w:rFonts w:ascii="Arial" w:cs="Arial" w:eastAsia="Arial" w:hAnsi="Arial"/>
          <w:sz w:val="16"/>
          <w:szCs w:val="16"/>
          <w:b w:val="1"/>
          <w:bCs w:val="1"/>
          <w:color w:val="auto"/>
        </w:rPr>
        <w:t>Six Months Ended June 30,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3238500</wp:posOffset>
            </wp:positionH>
            <wp:positionV relativeFrom="paragraph">
              <wp:posOffset>37465</wp:posOffset>
            </wp:positionV>
            <wp:extent cx="2229485" cy="889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2229485" cy="8890"/>
                    </a:xfrm>
                    <a:prstGeom prst="rect">
                      <a:avLst/>
                    </a:prstGeom>
                    <a:noFill/>
                  </pic:spPr>
                </pic:pic>
              </a:graphicData>
            </a:graphic>
          </wp:anchor>
        </w:drawing>
      </w:r>
    </w:p>
    <w:p>
      <w:pPr>
        <w:spacing w:after="0" w:line="125"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5100" w:type="dxa"/>
            <w:vAlign w:val="bottom"/>
            <w:tcBorders>
              <w:bottom w:val="single" w:sz="8" w:color="CCEEFF"/>
            </w:tcBorders>
          </w:tcPr>
          <w:p>
            <w:pPr>
              <w:spacing w:after="0"/>
              <w:rPr>
                <w:sz w:val="16"/>
                <w:szCs w:val="16"/>
                <w:color w:val="auto"/>
              </w:rPr>
            </w:pPr>
          </w:p>
        </w:tc>
        <w:tc>
          <w:tcPr>
            <w:tcW w:w="380" w:type="dxa"/>
            <w:vAlign w:val="bottom"/>
            <w:tcBorders>
              <w:bottom w:val="single" w:sz="8" w:color="auto"/>
            </w:tcBorders>
          </w:tcPr>
          <w:p>
            <w:pPr>
              <w:spacing w:after="0"/>
              <w:rPr>
                <w:sz w:val="16"/>
                <w:szCs w:val="16"/>
                <w:color w:val="auto"/>
              </w:rPr>
            </w:pPr>
          </w:p>
        </w:tc>
        <w:tc>
          <w:tcPr>
            <w:tcW w:w="1220" w:type="dxa"/>
            <w:vAlign w:val="bottom"/>
            <w:tcBorders>
              <w:bottom w:val="single" w:sz="8" w:color="auto"/>
            </w:tcBorders>
          </w:tcPr>
          <w:p>
            <w:pPr>
              <w:jc w:val="right"/>
              <w:ind w:right="574"/>
              <w:spacing w:after="0"/>
              <w:rPr>
                <w:sz w:val="20"/>
                <w:szCs w:val="20"/>
                <w:color w:val="auto"/>
              </w:rPr>
            </w:pPr>
            <w:r>
              <w:rPr>
                <w:rFonts w:ascii="Arial" w:cs="Arial" w:eastAsia="Arial" w:hAnsi="Arial"/>
                <w:sz w:val="14"/>
                <w:szCs w:val="14"/>
                <w:b w:val="1"/>
                <w:bCs w:val="1"/>
                <w:color w:val="auto"/>
              </w:rPr>
              <w:t>2018</w:t>
            </w:r>
          </w:p>
        </w:tc>
        <w:tc>
          <w:tcPr>
            <w:tcW w:w="200" w:type="dxa"/>
            <w:vAlign w:val="bottom"/>
            <w:tcBorders>
              <w:bottom w:val="single" w:sz="8" w:color="CCEEFF"/>
            </w:tcBorders>
          </w:tcPr>
          <w:p>
            <w:pPr>
              <w:spacing w:after="0"/>
              <w:rPr>
                <w:sz w:val="16"/>
                <w:szCs w:val="16"/>
                <w:color w:val="auto"/>
              </w:rPr>
            </w:pPr>
          </w:p>
        </w:tc>
        <w:tc>
          <w:tcPr>
            <w:tcW w:w="400" w:type="dxa"/>
            <w:vAlign w:val="bottom"/>
            <w:tcBorders>
              <w:bottom w:val="single" w:sz="8" w:color="auto"/>
            </w:tcBorders>
          </w:tcPr>
          <w:p>
            <w:pPr>
              <w:spacing w:after="0"/>
              <w:rPr>
                <w:sz w:val="16"/>
                <w:szCs w:val="16"/>
                <w:color w:val="auto"/>
              </w:rPr>
            </w:pPr>
          </w:p>
        </w:tc>
        <w:tc>
          <w:tcPr>
            <w:tcW w:w="1200" w:type="dxa"/>
            <w:vAlign w:val="bottom"/>
            <w:tcBorders>
              <w:bottom w:val="single" w:sz="8" w:color="auto"/>
            </w:tcBorders>
          </w:tcPr>
          <w:p>
            <w:pPr>
              <w:jc w:val="right"/>
              <w:ind w:right="554"/>
              <w:spacing w:after="0"/>
              <w:rPr>
                <w:sz w:val="20"/>
                <w:szCs w:val="20"/>
                <w:color w:val="auto"/>
              </w:rPr>
            </w:pPr>
            <w:r>
              <w:rPr>
                <w:rFonts w:ascii="Arial" w:cs="Arial" w:eastAsia="Arial" w:hAnsi="Arial"/>
                <w:sz w:val="14"/>
                <w:szCs w:val="14"/>
                <w:b w:val="1"/>
                <w:bCs w:val="1"/>
                <w:color w:val="auto"/>
              </w:rPr>
              <w:t>2017</w:t>
            </w:r>
          </w:p>
        </w:tc>
        <w:tc>
          <w:tcPr>
            <w:tcW w:w="120" w:type="dxa"/>
            <w:vAlign w:val="bottom"/>
            <w:tcBorders>
              <w:bottom w:val="single" w:sz="8" w:color="CCEEFF"/>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1060" w:type="dxa"/>
            <w:vAlign w:val="bottom"/>
            <w:tcBorders>
              <w:bottom w:val="single" w:sz="8" w:color="auto"/>
            </w:tcBorders>
          </w:tcPr>
          <w:p>
            <w:pPr>
              <w:jc w:val="right"/>
              <w:ind w:right="174"/>
              <w:spacing w:after="0"/>
              <w:rPr>
                <w:sz w:val="20"/>
                <w:szCs w:val="20"/>
                <w:color w:val="auto"/>
              </w:rPr>
            </w:pPr>
            <w:r>
              <w:rPr>
                <w:rFonts w:ascii="Arial" w:cs="Arial" w:eastAsia="Arial" w:hAnsi="Arial"/>
                <w:sz w:val="14"/>
                <w:szCs w:val="14"/>
                <w:b w:val="1"/>
                <w:bCs w:val="1"/>
                <w:color w:val="auto"/>
                <w:w w:val="97"/>
              </w:rPr>
              <w:t>$ Difference</w:t>
            </w:r>
          </w:p>
        </w:tc>
        <w:tc>
          <w:tcPr>
            <w:tcW w:w="100" w:type="dxa"/>
            <w:vAlign w:val="bottom"/>
            <w:tcBorders>
              <w:bottom w:val="single" w:sz="8" w:color="CCEEFF"/>
            </w:tcBorders>
          </w:tcPr>
          <w:p>
            <w:pPr>
              <w:spacing w:after="0"/>
              <w:rPr>
                <w:sz w:val="16"/>
                <w:szCs w:val="16"/>
                <w:color w:val="auto"/>
              </w:rPr>
            </w:pPr>
          </w:p>
        </w:tc>
        <w:tc>
          <w:tcPr>
            <w:tcW w:w="1440" w:type="dxa"/>
            <w:vAlign w:val="bottom"/>
            <w:tcBorders>
              <w:bottom w:val="single" w:sz="8" w:color="auto"/>
            </w:tcBorders>
          </w:tcPr>
          <w:p>
            <w:pPr>
              <w:jc w:val="right"/>
              <w:ind w:right="248"/>
              <w:spacing w:after="0"/>
              <w:rPr>
                <w:sz w:val="20"/>
                <w:szCs w:val="20"/>
                <w:color w:val="auto"/>
              </w:rPr>
            </w:pPr>
            <w:r>
              <w:rPr>
                <w:rFonts w:ascii="Arial" w:cs="Arial" w:eastAsia="Arial" w:hAnsi="Arial"/>
                <w:sz w:val="14"/>
                <w:szCs w:val="14"/>
                <w:b w:val="1"/>
                <w:bCs w:val="1"/>
                <w:color w:val="auto"/>
              </w:rPr>
              <w:t>% Difference</w:t>
            </w:r>
          </w:p>
        </w:tc>
      </w:tr>
      <w:tr>
        <w:trPr>
          <w:trHeight w:val="250"/>
        </w:trPr>
        <w:tc>
          <w:tcPr>
            <w:tcW w:w="51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Cost of revenues:</w:t>
            </w:r>
          </w:p>
        </w:tc>
        <w:tc>
          <w:tcPr>
            <w:tcW w:w="38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40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440" w:type="dxa"/>
            <w:vAlign w:val="bottom"/>
            <w:tcBorders>
              <w:bottom w:val="single" w:sz="8" w:color="CCEEFF"/>
            </w:tcBorders>
            <w:shd w:val="clear" w:color="auto" w:fill="CCEEFF"/>
          </w:tcPr>
          <w:p>
            <w:pPr>
              <w:spacing w:after="0"/>
              <w:rPr>
                <w:sz w:val="21"/>
                <w:szCs w:val="21"/>
                <w:color w:val="auto"/>
              </w:rPr>
            </w:pPr>
          </w:p>
        </w:tc>
      </w:tr>
      <w:tr>
        <w:trPr>
          <w:trHeight w:val="243"/>
        </w:trPr>
        <w:tc>
          <w:tcPr>
            <w:tcW w:w="5100" w:type="dxa"/>
            <w:vAlign w:val="bottom"/>
          </w:tcPr>
          <w:p>
            <w:pPr>
              <w:ind w:left="40"/>
              <w:spacing w:after="0"/>
              <w:rPr>
                <w:sz w:val="20"/>
                <w:szCs w:val="20"/>
                <w:color w:val="auto"/>
              </w:rPr>
            </w:pPr>
            <w:r>
              <w:rPr>
                <w:rFonts w:ascii="Arial" w:cs="Arial" w:eastAsia="Arial" w:hAnsi="Arial"/>
                <w:sz w:val="18"/>
                <w:szCs w:val="18"/>
                <w:color w:val="auto"/>
              </w:rPr>
              <w:t>Technology development</w:t>
            </w:r>
          </w:p>
        </w:tc>
        <w:tc>
          <w:tcPr>
            <w:tcW w:w="380" w:type="dxa"/>
            <w:vAlign w:val="bottom"/>
          </w:tcPr>
          <w:p>
            <w:pPr>
              <w:spacing w:after="0"/>
              <w:rPr>
                <w:sz w:val="21"/>
                <w:szCs w:val="21"/>
                <w:color w:val="auto"/>
              </w:rPr>
            </w:pPr>
          </w:p>
        </w:tc>
        <w:tc>
          <w:tcPr>
            <w:tcW w:w="1220" w:type="dxa"/>
            <w:vAlign w:val="bottom"/>
          </w:tcPr>
          <w:p>
            <w:pPr>
              <w:jc w:val="right"/>
              <w:ind w:right="34"/>
              <w:spacing w:after="0"/>
              <w:rPr>
                <w:sz w:val="20"/>
                <w:szCs w:val="20"/>
                <w:color w:val="auto"/>
              </w:rPr>
            </w:pPr>
            <w:r>
              <w:rPr>
                <w:rFonts w:ascii="Arial" w:cs="Arial" w:eastAsia="Arial" w:hAnsi="Arial"/>
                <w:sz w:val="18"/>
                <w:szCs w:val="18"/>
                <w:color w:val="auto"/>
              </w:rPr>
              <w:t>7,298,628</w:t>
            </w:r>
          </w:p>
        </w:tc>
        <w:tc>
          <w:tcPr>
            <w:tcW w:w="200" w:type="dxa"/>
            <w:vAlign w:val="bottom"/>
          </w:tcPr>
          <w:p>
            <w:pPr>
              <w:spacing w:after="0"/>
              <w:rPr>
                <w:sz w:val="21"/>
                <w:szCs w:val="21"/>
                <w:color w:val="auto"/>
              </w:rPr>
            </w:pPr>
          </w:p>
        </w:tc>
        <w:tc>
          <w:tcPr>
            <w:tcW w:w="400" w:type="dxa"/>
            <w:vAlign w:val="bottom"/>
          </w:tcPr>
          <w:p>
            <w:pPr>
              <w:jc w:val="right"/>
              <w:ind w:right="190"/>
              <w:spacing w:after="0"/>
              <w:rPr>
                <w:sz w:val="20"/>
                <w:szCs w:val="20"/>
                <w:color w:val="auto"/>
              </w:rPr>
            </w:pPr>
            <w:r>
              <w:rPr>
                <w:rFonts w:ascii="Arial" w:cs="Arial" w:eastAsia="Arial" w:hAnsi="Arial"/>
                <w:sz w:val="18"/>
                <w:szCs w:val="18"/>
                <w:color w:val="auto"/>
                <w:w w:val="99"/>
              </w:rPr>
              <w:t>$</w:t>
            </w:r>
          </w:p>
        </w:tc>
        <w:tc>
          <w:tcPr>
            <w:tcW w:w="1200" w:type="dxa"/>
            <w:vAlign w:val="bottom"/>
          </w:tcPr>
          <w:p>
            <w:pPr>
              <w:jc w:val="right"/>
              <w:ind w:right="14"/>
              <w:spacing w:after="0"/>
              <w:rPr>
                <w:sz w:val="20"/>
                <w:szCs w:val="20"/>
                <w:color w:val="auto"/>
              </w:rPr>
            </w:pPr>
            <w:r>
              <w:rPr>
                <w:rFonts w:ascii="Arial" w:cs="Arial" w:eastAsia="Arial" w:hAnsi="Arial"/>
                <w:sz w:val="18"/>
                <w:szCs w:val="18"/>
                <w:color w:val="auto"/>
              </w:rPr>
              <w:t>6,553,423</w:t>
            </w:r>
          </w:p>
        </w:tc>
        <w:tc>
          <w:tcPr>
            <w:tcW w:w="120" w:type="dxa"/>
            <w:vAlign w:val="bottom"/>
          </w:tcPr>
          <w:p>
            <w:pPr>
              <w:spacing w:after="0"/>
              <w:rPr>
                <w:sz w:val="21"/>
                <w:szCs w:val="21"/>
                <w:color w:val="auto"/>
              </w:rPr>
            </w:pPr>
          </w:p>
        </w:tc>
        <w:tc>
          <w:tcPr>
            <w:tcW w:w="18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060" w:type="dxa"/>
            <w:vAlign w:val="bottom"/>
          </w:tcPr>
          <w:p>
            <w:pPr>
              <w:jc w:val="right"/>
              <w:ind w:right="34"/>
              <w:spacing w:after="0"/>
              <w:rPr>
                <w:sz w:val="20"/>
                <w:szCs w:val="20"/>
                <w:color w:val="auto"/>
              </w:rPr>
            </w:pPr>
            <w:r>
              <w:rPr>
                <w:rFonts w:ascii="Arial" w:cs="Arial" w:eastAsia="Arial" w:hAnsi="Arial"/>
                <w:sz w:val="18"/>
                <w:szCs w:val="18"/>
                <w:color w:val="auto"/>
              </w:rPr>
              <w:t>745,205</w:t>
            </w:r>
          </w:p>
        </w:tc>
        <w:tc>
          <w:tcPr>
            <w:tcW w:w="1540" w:type="dxa"/>
            <w:vAlign w:val="bottom"/>
            <w:gridSpan w:val="2"/>
          </w:tcPr>
          <w:p>
            <w:pPr>
              <w:jc w:val="right"/>
              <w:spacing w:after="0"/>
              <w:rPr>
                <w:sz w:val="20"/>
                <w:szCs w:val="20"/>
                <w:color w:val="auto"/>
              </w:rPr>
            </w:pPr>
            <w:r>
              <w:rPr>
                <w:rFonts w:ascii="Arial" w:cs="Arial" w:eastAsia="Arial" w:hAnsi="Arial"/>
                <w:sz w:val="18"/>
                <w:szCs w:val="18"/>
                <w:color w:val="auto"/>
              </w:rPr>
              <w:t>11%</w:t>
            </w:r>
          </w:p>
        </w:tc>
      </w:tr>
      <w:tr>
        <w:trPr>
          <w:trHeight w:val="27"/>
        </w:trPr>
        <w:tc>
          <w:tcPr>
            <w:tcW w:w="5100" w:type="dxa"/>
            <w:vAlign w:val="bottom"/>
          </w:tcPr>
          <w:p>
            <w:pPr>
              <w:spacing w:after="0"/>
              <w:rPr>
                <w:sz w:val="2"/>
                <w:szCs w:val="2"/>
                <w:color w:val="auto"/>
              </w:rPr>
            </w:pPr>
          </w:p>
        </w:tc>
        <w:tc>
          <w:tcPr>
            <w:tcW w:w="380" w:type="dxa"/>
            <w:vAlign w:val="bottom"/>
          </w:tcPr>
          <w:p>
            <w:pPr>
              <w:spacing w:after="0"/>
              <w:rPr>
                <w:sz w:val="2"/>
                <w:szCs w:val="2"/>
                <w:color w:val="auto"/>
              </w:rPr>
            </w:pPr>
          </w:p>
        </w:tc>
        <w:tc>
          <w:tcPr>
            <w:tcW w:w="1220" w:type="dxa"/>
            <w:vAlign w:val="bottom"/>
          </w:tcPr>
          <w:p>
            <w:pPr>
              <w:spacing w:after="0"/>
              <w:rPr>
                <w:sz w:val="2"/>
                <w:szCs w:val="2"/>
                <w:color w:val="auto"/>
              </w:rPr>
            </w:pPr>
          </w:p>
        </w:tc>
        <w:tc>
          <w:tcPr>
            <w:tcW w:w="200" w:type="dxa"/>
            <w:vAlign w:val="bottom"/>
          </w:tcPr>
          <w:p>
            <w:pPr>
              <w:spacing w:after="0"/>
              <w:rPr>
                <w:sz w:val="2"/>
                <w:szCs w:val="2"/>
                <w:color w:val="auto"/>
              </w:rPr>
            </w:pPr>
          </w:p>
        </w:tc>
        <w:tc>
          <w:tcPr>
            <w:tcW w:w="40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40" w:type="dxa"/>
            <w:vAlign w:val="bottom"/>
          </w:tcPr>
          <w:p>
            <w:pPr>
              <w:spacing w:after="0"/>
              <w:rPr>
                <w:sz w:val="2"/>
                <w:szCs w:val="2"/>
                <w:color w:val="auto"/>
              </w:rPr>
            </w:pPr>
          </w:p>
        </w:tc>
      </w:tr>
      <w:tr>
        <w:trPr>
          <w:trHeight w:val="270"/>
        </w:trPr>
        <w:tc>
          <w:tcPr>
            <w:tcW w:w="51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Products and licensing</w:t>
            </w:r>
          </w:p>
        </w:tc>
        <w:tc>
          <w:tcPr>
            <w:tcW w:w="380" w:type="dxa"/>
            <w:vAlign w:val="bottom"/>
            <w:tcBorders>
              <w:bottom w:val="single" w:sz="8" w:color="CCEEFF"/>
            </w:tcBorders>
            <w:shd w:val="clear" w:color="auto" w:fill="CCEEFF"/>
          </w:tcPr>
          <w:p>
            <w:pPr>
              <w:spacing w:after="0"/>
              <w:rPr>
                <w:sz w:val="23"/>
                <w:szCs w:val="23"/>
                <w:color w:val="auto"/>
              </w:rPr>
            </w:pPr>
          </w:p>
        </w:tc>
        <w:tc>
          <w:tcPr>
            <w:tcW w:w="1220" w:type="dxa"/>
            <w:vAlign w:val="bottom"/>
            <w:tcBorders>
              <w:bottom w:val="single" w:sz="8" w:color="CCEEFF"/>
            </w:tcBorders>
            <w:shd w:val="clear" w:color="auto" w:fill="CCEEFF"/>
          </w:tcPr>
          <w:p>
            <w:pPr>
              <w:jc w:val="right"/>
              <w:ind w:right="34"/>
              <w:spacing w:after="0"/>
              <w:rPr>
                <w:sz w:val="20"/>
                <w:szCs w:val="20"/>
                <w:color w:val="auto"/>
              </w:rPr>
            </w:pPr>
            <w:r>
              <w:rPr>
                <w:rFonts w:ascii="Arial" w:cs="Arial" w:eastAsia="Arial" w:hAnsi="Arial"/>
                <w:sz w:val="18"/>
                <w:szCs w:val="18"/>
                <w:color w:val="auto"/>
              </w:rPr>
              <w:t>7,968,605</w:t>
            </w:r>
          </w:p>
        </w:tc>
        <w:tc>
          <w:tcPr>
            <w:tcW w:w="200" w:type="dxa"/>
            <w:vAlign w:val="bottom"/>
            <w:tcBorders>
              <w:bottom w:val="single" w:sz="8" w:color="CCEEFF"/>
            </w:tcBorders>
            <w:shd w:val="clear" w:color="auto" w:fill="CCEEFF"/>
          </w:tcPr>
          <w:p>
            <w:pPr>
              <w:spacing w:after="0"/>
              <w:rPr>
                <w:sz w:val="23"/>
                <w:szCs w:val="23"/>
                <w:color w:val="auto"/>
              </w:rPr>
            </w:pPr>
          </w:p>
        </w:tc>
        <w:tc>
          <w:tcPr>
            <w:tcW w:w="400" w:type="dxa"/>
            <w:vAlign w:val="bottom"/>
            <w:tcBorders>
              <w:bottom w:val="single" w:sz="8" w:color="CCEEFF"/>
            </w:tcBorders>
            <w:shd w:val="clear" w:color="auto" w:fill="CCEEFF"/>
          </w:tcPr>
          <w:p>
            <w:pPr>
              <w:spacing w:after="0"/>
              <w:rPr>
                <w:sz w:val="23"/>
                <w:szCs w:val="23"/>
                <w:color w:val="auto"/>
              </w:rPr>
            </w:pPr>
          </w:p>
        </w:tc>
        <w:tc>
          <w:tcPr>
            <w:tcW w:w="120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6,583,913</w:t>
            </w:r>
          </w:p>
        </w:tc>
        <w:tc>
          <w:tcPr>
            <w:tcW w:w="120" w:type="dxa"/>
            <w:vAlign w:val="bottom"/>
            <w:tcBorders>
              <w:bottom w:val="single" w:sz="8" w:color="CCEEFF"/>
            </w:tcBorders>
            <w:shd w:val="clear" w:color="auto" w:fill="CCEEFF"/>
          </w:tcPr>
          <w:p>
            <w:pPr>
              <w:spacing w:after="0"/>
              <w:rPr>
                <w:sz w:val="23"/>
                <w:szCs w:val="23"/>
                <w:color w:val="auto"/>
              </w:rPr>
            </w:pPr>
          </w:p>
        </w:tc>
        <w:tc>
          <w:tcPr>
            <w:tcW w:w="180" w:type="dxa"/>
            <w:vAlign w:val="bottom"/>
            <w:tcBorders>
              <w:bottom w:val="single" w:sz="8" w:color="CCEEFF"/>
            </w:tcBorders>
            <w:shd w:val="clear" w:color="auto" w:fill="CCEEFF"/>
          </w:tcPr>
          <w:p>
            <w:pPr>
              <w:spacing w:after="0"/>
              <w:rPr>
                <w:sz w:val="23"/>
                <w:szCs w:val="23"/>
                <w:color w:val="auto"/>
              </w:rPr>
            </w:pPr>
          </w:p>
        </w:tc>
        <w:tc>
          <w:tcPr>
            <w:tcW w:w="1060" w:type="dxa"/>
            <w:vAlign w:val="bottom"/>
            <w:tcBorders>
              <w:bottom w:val="single" w:sz="8" w:color="CCEEFF"/>
            </w:tcBorders>
            <w:shd w:val="clear" w:color="auto" w:fill="CCEEFF"/>
          </w:tcPr>
          <w:p>
            <w:pPr>
              <w:jc w:val="right"/>
              <w:ind w:right="34"/>
              <w:spacing w:after="0"/>
              <w:rPr>
                <w:sz w:val="20"/>
                <w:szCs w:val="20"/>
                <w:color w:val="auto"/>
              </w:rPr>
            </w:pPr>
            <w:r>
              <w:rPr>
                <w:rFonts w:ascii="Arial" w:cs="Arial" w:eastAsia="Arial" w:hAnsi="Arial"/>
                <w:sz w:val="18"/>
                <w:szCs w:val="18"/>
                <w:color w:val="auto"/>
              </w:rPr>
              <w:t>1,384,692</w:t>
            </w:r>
          </w:p>
        </w:tc>
        <w:tc>
          <w:tcPr>
            <w:tcW w:w="1540" w:type="dxa"/>
            <w:vAlign w:val="bottom"/>
            <w:tcBorders>
              <w:bottom w:val="single" w:sz="8" w:color="CCEEFF"/>
            </w:tcBorders>
            <w:gridSpan w:val="2"/>
            <w:shd w:val="clear" w:color="auto" w:fill="CCEEFF"/>
          </w:tcPr>
          <w:p>
            <w:pPr>
              <w:jc w:val="right"/>
              <w:spacing w:after="0"/>
              <w:rPr>
                <w:sz w:val="20"/>
                <w:szCs w:val="20"/>
                <w:color w:val="auto"/>
              </w:rPr>
            </w:pPr>
            <w:r>
              <w:rPr>
                <w:rFonts w:ascii="Arial" w:cs="Arial" w:eastAsia="Arial" w:hAnsi="Arial"/>
                <w:sz w:val="18"/>
                <w:szCs w:val="18"/>
                <w:color w:val="auto"/>
              </w:rPr>
              <w:t>21%</w:t>
            </w:r>
          </w:p>
        </w:tc>
      </w:tr>
      <w:tr>
        <w:trPr>
          <w:trHeight w:val="237"/>
        </w:trPr>
        <w:tc>
          <w:tcPr>
            <w:tcW w:w="5100" w:type="dxa"/>
            <w:vAlign w:val="bottom"/>
          </w:tcPr>
          <w:p>
            <w:pPr>
              <w:ind w:left="40"/>
              <w:spacing w:after="0"/>
              <w:rPr>
                <w:sz w:val="20"/>
                <w:szCs w:val="20"/>
                <w:color w:val="auto"/>
              </w:rPr>
            </w:pPr>
            <w:r>
              <w:rPr>
                <w:rFonts w:ascii="Arial" w:cs="Arial" w:eastAsia="Arial" w:hAnsi="Arial"/>
                <w:sz w:val="18"/>
                <w:szCs w:val="18"/>
                <w:color w:val="auto"/>
              </w:rPr>
              <w:t>Total cost of revenues</w:t>
            </w:r>
          </w:p>
        </w:tc>
        <w:tc>
          <w:tcPr>
            <w:tcW w:w="380" w:type="dxa"/>
            <w:vAlign w:val="bottom"/>
            <w:tcBorders>
              <w:top w:val="single" w:sz="8" w:color="auto"/>
            </w:tcBorders>
          </w:tcPr>
          <w:p>
            <w:pPr>
              <w:spacing w:after="0"/>
              <w:rPr>
                <w:sz w:val="20"/>
                <w:szCs w:val="20"/>
                <w:color w:val="auto"/>
              </w:rPr>
            </w:pPr>
          </w:p>
        </w:tc>
        <w:tc>
          <w:tcPr>
            <w:tcW w:w="1220" w:type="dxa"/>
            <w:vAlign w:val="bottom"/>
            <w:tcBorders>
              <w:top w:val="single" w:sz="8" w:color="auto"/>
            </w:tcBorders>
          </w:tcPr>
          <w:p>
            <w:pPr>
              <w:jc w:val="right"/>
              <w:ind w:right="34"/>
              <w:spacing w:after="0"/>
              <w:rPr>
                <w:sz w:val="20"/>
                <w:szCs w:val="20"/>
                <w:color w:val="auto"/>
              </w:rPr>
            </w:pPr>
            <w:r>
              <w:rPr>
                <w:rFonts w:ascii="Arial" w:cs="Arial" w:eastAsia="Arial" w:hAnsi="Arial"/>
                <w:sz w:val="18"/>
                <w:szCs w:val="18"/>
                <w:color w:val="auto"/>
              </w:rPr>
              <w:t>15,267,233</w:t>
            </w:r>
          </w:p>
        </w:tc>
        <w:tc>
          <w:tcPr>
            <w:tcW w:w="200" w:type="dxa"/>
            <w:vAlign w:val="bottom"/>
          </w:tcPr>
          <w:p>
            <w:pPr>
              <w:spacing w:after="0"/>
              <w:rPr>
                <w:sz w:val="20"/>
                <w:szCs w:val="20"/>
                <w:color w:val="auto"/>
              </w:rPr>
            </w:pPr>
          </w:p>
        </w:tc>
        <w:tc>
          <w:tcPr>
            <w:tcW w:w="400" w:type="dxa"/>
            <w:vAlign w:val="bottom"/>
            <w:tcBorders>
              <w:top w:val="single" w:sz="8" w:color="auto"/>
            </w:tcBorders>
          </w:tcPr>
          <w:p>
            <w:pPr>
              <w:spacing w:after="0"/>
              <w:rPr>
                <w:sz w:val="20"/>
                <w:szCs w:val="20"/>
                <w:color w:val="auto"/>
              </w:rPr>
            </w:pPr>
          </w:p>
        </w:tc>
        <w:tc>
          <w:tcPr>
            <w:tcW w:w="1200" w:type="dxa"/>
            <w:vAlign w:val="bottom"/>
            <w:tcBorders>
              <w:top w:val="single" w:sz="8" w:color="auto"/>
            </w:tcBorders>
          </w:tcPr>
          <w:p>
            <w:pPr>
              <w:jc w:val="right"/>
              <w:ind w:right="14"/>
              <w:spacing w:after="0"/>
              <w:rPr>
                <w:sz w:val="20"/>
                <w:szCs w:val="20"/>
                <w:color w:val="auto"/>
              </w:rPr>
            </w:pPr>
            <w:r>
              <w:rPr>
                <w:rFonts w:ascii="Arial" w:cs="Arial" w:eastAsia="Arial" w:hAnsi="Arial"/>
                <w:sz w:val="18"/>
                <w:szCs w:val="18"/>
                <w:color w:val="auto"/>
              </w:rPr>
              <w:t>13,137,336</w:t>
            </w:r>
          </w:p>
        </w:tc>
        <w:tc>
          <w:tcPr>
            <w:tcW w:w="120" w:type="dxa"/>
            <w:vAlign w:val="bottom"/>
          </w:tcPr>
          <w:p>
            <w:pPr>
              <w:spacing w:after="0"/>
              <w:rPr>
                <w:sz w:val="20"/>
                <w:szCs w:val="20"/>
                <w:color w:val="auto"/>
              </w:rPr>
            </w:pPr>
          </w:p>
        </w:tc>
        <w:tc>
          <w:tcPr>
            <w:tcW w:w="180" w:type="dxa"/>
            <w:vAlign w:val="bottom"/>
            <w:tcBorders>
              <w:top w:val="single" w:sz="8" w:color="auto"/>
            </w:tcBorders>
          </w:tcPr>
          <w:p>
            <w:pPr>
              <w:spacing w:after="0"/>
              <w:rPr>
                <w:sz w:val="20"/>
                <w:szCs w:val="20"/>
                <w:color w:val="auto"/>
              </w:rPr>
            </w:pPr>
          </w:p>
        </w:tc>
        <w:tc>
          <w:tcPr>
            <w:tcW w:w="1060" w:type="dxa"/>
            <w:vAlign w:val="bottom"/>
            <w:tcBorders>
              <w:top w:val="single" w:sz="8" w:color="auto"/>
            </w:tcBorders>
          </w:tcPr>
          <w:p>
            <w:pPr>
              <w:jc w:val="right"/>
              <w:ind w:right="34"/>
              <w:spacing w:after="0"/>
              <w:rPr>
                <w:sz w:val="20"/>
                <w:szCs w:val="20"/>
                <w:color w:val="auto"/>
              </w:rPr>
            </w:pPr>
            <w:r>
              <w:rPr>
                <w:rFonts w:ascii="Arial" w:cs="Arial" w:eastAsia="Arial" w:hAnsi="Arial"/>
                <w:sz w:val="18"/>
                <w:szCs w:val="18"/>
                <w:color w:val="auto"/>
              </w:rPr>
              <w:t>2,129,897</w:t>
            </w:r>
          </w:p>
        </w:tc>
        <w:tc>
          <w:tcPr>
            <w:tcW w:w="1540" w:type="dxa"/>
            <w:vAlign w:val="bottom"/>
            <w:gridSpan w:val="2"/>
          </w:tcPr>
          <w:p>
            <w:pPr>
              <w:jc w:val="right"/>
              <w:spacing w:after="0"/>
              <w:rPr>
                <w:sz w:val="20"/>
                <w:szCs w:val="20"/>
                <w:color w:val="auto"/>
              </w:rPr>
            </w:pPr>
            <w:r>
              <w:rPr>
                <w:rFonts w:ascii="Arial" w:cs="Arial" w:eastAsia="Arial" w:hAnsi="Arial"/>
                <w:sz w:val="18"/>
                <w:szCs w:val="18"/>
                <w:color w:val="auto"/>
              </w:rPr>
              <w:t>16%</w:t>
            </w:r>
          </w:p>
        </w:tc>
      </w:tr>
      <w:tr>
        <w:trPr>
          <w:trHeight w:val="27"/>
        </w:trPr>
        <w:tc>
          <w:tcPr>
            <w:tcW w:w="5100" w:type="dxa"/>
            <w:vAlign w:val="bottom"/>
            <w:tcBorders>
              <w:bottom w:val="single" w:sz="8" w:color="CCEEFF"/>
            </w:tcBorders>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200" w:type="dxa"/>
            <w:vAlign w:val="bottom"/>
            <w:tcBorders>
              <w:bottom w:val="single" w:sz="8" w:color="CCEEFF"/>
            </w:tcBorders>
          </w:tcPr>
          <w:p>
            <w:pPr>
              <w:spacing w:after="0"/>
              <w:rPr>
                <w:sz w:val="2"/>
                <w:szCs w:val="2"/>
                <w:color w:val="auto"/>
              </w:rPr>
            </w:pPr>
          </w:p>
        </w:tc>
        <w:tc>
          <w:tcPr>
            <w:tcW w:w="40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440" w:type="dxa"/>
            <w:vAlign w:val="bottom"/>
            <w:tcBorders>
              <w:bottom w:val="single" w:sz="8" w:color="CCEEFF"/>
            </w:tcBorders>
          </w:tcPr>
          <w:p>
            <w:pPr>
              <w:spacing w:after="0"/>
              <w:rPr>
                <w:sz w:val="2"/>
                <w:szCs w:val="2"/>
                <w:color w:val="auto"/>
              </w:rPr>
            </w:pPr>
          </w:p>
        </w:tc>
      </w:tr>
      <w:tr>
        <w:trPr>
          <w:trHeight w:val="257"/>
        </w:trPr>
        <w:tc>
          <w:tcPr>
            <w:tcW w:w="51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Gross profit</w:t>
            </w:r>
          </w:p>
        </w:tc>
        <w:tc>
          <w:tcPr>
            <w:tcW w:w="380" w:type="dxa"/>
            <w:vAlign w:val="bottom"/>
            <w:tcBorders>
              <w:bottom w:val="single" w:sz="8" w:color="auto"/>
            </w:tcBorders>
            <w:shd w:val="clear" w:color="auto" w:fill="CCEEFF"/>
          </w:tcPr>
          <w:p>
            <w:pPr>
              <w:jc w:val="right"/>
              <w:ind w:right="170"/>
              <w:spacing w:after="0"/>
              <w:rPr>
                <w:sz w:val="20"/>
                <w:szCs w:val="20"/>
                <w:color w:val="auto"/>
              </w:rPr>
            </w:pPr>
            <w:r>
              <w:rPr>
                <w:rFonts w:ascii="Arial" w:cs="Arial" w:eastAsia="Arial" w:hAnsi="Arial"/>
                <w:sz w:val="18"/>
                <w:szCs w:val="18"/>
                <w:color w:val="auto"/>
                <w:w w:val="99"/>
              </w:rPr>
              <w:t>$</w:t>
            </w:r>
          </w:p>
        </w:tc>
        <w:tc>
          <w:tcPr>
            <w:tcW w:w="1220" w:type="dxa"/>
            <w:vAlign w:val="bottom"/>
            <w:tcBorders>
              <w:bottom w:val="single" w:sz="8" w:color="auto"/>
            </w:tcBorders>
            <w:shd w:val="clear" w:color="auto" w:fill="CCEEFF"/>
          </w:tcPr>
          <w:p>
            <w:pPr>
              <w:jc w:val="right"/>
              <w:ind w:right="34"/>
              <w:spacing w:after="0"/>
              <w:rPr>
                <w:sz w:val="20"/>
                <w:szCs w:val="20"/>
                <w:color w:val="auto"/>
              </w:rPr>
            </w:pPr>
            <w:r>
              <w:rPr>
                <w:rFonts w:ascii="Arial" w:cs="Arial" w:eastAsia="Arial" w:hAnsi="Arial"/>
                <w:sz w:val="18"/>
                <w:szCs w:val="18"/>
                <w:color w:val="auto"/>
              </w:rPr>
              <w:t>10,698,586</w:t>
            </w:r>
          </w:p>
        </w:tc>
        <w:tc>
          <w:tcPr>
            <w:tcW w:w="200" w:type="dxa"/>
            <w:vAlign w:val="bottom"/>
            <w:tcBorders>
              <w:bottom w:val="single" w:sz="8" w:color="CCEEFF"/>
            </w:tcBorders>
            <w:shd w:val="clear" w:color="auto" w:fill="CCEEFF"/>
          </w:tcPr>
          <w:p>
            <w:pPr>
              <w:spacing w:after="0"/>
              <w:rPr>
                <w:sz w:val="22"/>
                <w:szCs w:val="22"/>
                <w:color w:val="auto"/>
              </w:rPr>
            </w:pPr>
          </w:p>
        </w:tc>
        <w:tc>
          <w:tcPr>
            <w:tcW w:w="400" w:type="dxa"/>
            <w:vAlign w:val="bottom"/>
            <w:tcBorders>
              <w:bottom w:val="single" w:sz="8" w:color="auto"/>
            </w:tcBorders>
            <w:shd w:val="clear" w:color="auto" w:fill="CCEEFF"/>
          </w:tcPr>
          <w:p>
            <w:pPr>
              <w:jc w:val="right"/>
              <w:ind w:right="190"/>
              <w:spacing w:after="0"/>
              <w:rPr>
                <w:sz w:val="20"/>
                <w:szCs w:val="20"/>
                <w:color w:val="auto"/>
              </w:rPr>
            </w:pPr>
            <w:r>
              <w:rPr>
                <w:rFonts w:ascii="Arial" w:cs="Arial" w:eastAsia="Arial" w:hAnsi="Arial"/>
                <w:sz w:val="18"/>
                <w:szCs w:val="18"/>
                <w:color w:val="auto"/>
                <w:w w:val="99"/>
              </w:rPr>
              <w:t>$</w:t>
            </w:r>
          </w:p>
        </w:tc>
        <w:tc>
          <w:tcPr>
            <w:tcW w:w="1200" w:type="dxa"/>
            <w:vAlign w:val="bottom"/>
            <w:tcBorders>
              <w:bottom w:val="single" w:sz="8" w:color="auto"/>
            </w:tcBorders>
            <w:shd w:val="clear" w:color="auto" w:fill="CCEEFF"/>
          </w:tcPr>
          <w:p>
            <w:pPr>
              <w:jc w:val="right"/>
              <w:ind w:right="14"/>
              <w:spacing w:after="0"/>
              <w:rPr>
                <w:sz w:val="20"/>
                <w:szCs w:val="20"/>
                <w:color w:val="auto"/>
              </w:rPr>
            </w:pPr>
            <w:r>
              <w:rPr>
                <w:rFonts w:ascii="Arial" w:cs="Arial" w:eastAsia="Arial" w:hAnsi="Arial"/>
                <w:sz w:val="18"/>
                <w:szCs w:val="18"/>
                <w:color w:val="auto"/>
              </w:rPr>
              <w:t>8,242,593</w:t>
            </w:r>
          </w:p>
        </w:tc>
        <w:tc>
          <w:tcPr>
            <w:tcW w:w="12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060" w:type="dxa"/>
            <w:vAlign w:val="bottom"/>
            <w:tcBorders>
              <w:bottom w:val="single" w:sz="8" w:color="auto"/>
            </w:tcBorders>
            <w:shd w:val="clear" w:color="auto" w:fill="CCEEFF"/>
          </w:tcPr>
          <w:p>
            <w:pPr>
              <w:jc w:val="right"/>
              <w:ind w:right="34"/>
              <w:spacing w:after="0"/>
              <w:rPr>
                <w:sz w:val="20"/>
                <w:szCs w:val="20"/>
                <w:color w:val="auto"/>
              </w:rPr>
            </w:pPr>
            <w:r>
              <w:rPr>
                <w:rFonts w:ascii="Arial" w:cs="Arial" w:eastAsia="Arial" w:hAnsi="Arial"/>
                <w:sz w:val="18"/>
                <w:szCs w:val="18"/>
                <w:color w:val="auto"/>
              </w:rPr>
              <w:t>2,455,993</w:t>
            </w:r>
          </w:p>
        </w:tc>
        <w:tc>
          <w:tcPr>
            <w:tcW w:w="1540" w:type="dxa"/>
            <w:vAlign w:val="bottom"/>
            <w:tcBorders>
              <w:bottom w:val="single" w:sz="8" w:color="CCEEFF"/>
            </w:tcBorders>
            <w:gridSpan w:val="2"/>
            <w:shd w:val="clear" w:color="auto" w:fill="CCEEFF"/>
          </w:tcPr>
          <w:p>
            <w:pPr>
              <w:jc w:val="right"/>
              <w:spacing w:after="0"/>
              <w:rPr>
                <w:sz w:val="20"/>
                <w:szCs w:val="20"/>
                <w:color w:val="auto"/>
              </w:rPr>
            </w:pPr>
            <w:r>
              <w:rPr>
                <w:rFonts w:ascii="Arial" w:cs="Arial" w:eastAsia="Arial" w:hAnsi="Arial"/>
                <w:sz w:val="18"/>
                <w:szCs w:val="18"/>
                <w:color w:val="auto"/>
              </w:rPr>
              <w:t>30%</w:t>
            </w:r>
          </w:p>
        </w:tc>
      </w:tr>
      <w:tr>
        <w:trPr>
          <w:trHeight w:val="20"/>
        </w:trPr>
        <w:tc>
          <w:tcPr>
            <w:tcW w:w="5100" w:type="dxa"/>
            <w:vAlign w:val="bottom"/>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122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40" w:type="dxa"/>
            <w:vAlign w:val="bottom"/>
          </w:tcPr>
          <w:p>
            <w:pPr>
              <w:spacing w:after="0" w:line="20" w:lineRule="exact"/>
              <w:rPr>
                <w:sz w:val="1"/>
                <w:szCs w:val="1"/>
                <w:color w:val="auto"/>
              </w:rPr>
            </w:pPr>
          </w:p>
        </w:tc>
      </w:tr>
    </w:tbl>
    <w:p>
      <w:pPr>
        <w:spacing w:after="0" w:line="202" w:lineRule="exact"/>
        <w:rPr>
          <w:sz w:val="20"/>
          <w:szCs w:val="20"/>
          <w:color w:val="auto"/>
        </w:rPr>
      </w:pPr>
    </w:p>
    <w:p>
      <w:pPr>
        <w:jc w:val="both"/>
        <w:ind w:right="500" w:firstLine="648"/>
        <w:spacing w:after="0" w:line="312" w:lineRule="auto"/>
        <w:rPr>
          <w:sz w:val="20"/>
          <w:szCs w:val="20"/>
          <w:color w:val="auto"/>
        </w:rPr>
      </w:pPr>
      <w:r>
        <w:rPr>
          <w:rFonts w:ascii="Arial" w:cs="Arial" w:eastAsia="Arial" w:hAnsi="Arial"/>
          <w:sz w:val="16"/>
          <w:szCs w:val="16"/>
          <w:color w:val="auto"/>
        </w:rPr>
        <w:t>Costs of Technology Development segment revenues increased $0.7 million, or 11%, to $7.3 million for the six months ended June 30, 2018, compared to $6.6 million the six months ended June 30, 2017. This increase was primarily driven by the increase in Technology Development segment revenues in addition to increased headcount and the utilization of subcontractors to support the growth in our research contracts over the same period</w:t>
      </w:r>
    </w:p>
    <w:p>
      <w:pPr>
        <w:spacing w:after="0" w:line="147" w:lineRule="exact"/>
        <w:rPr>
          <w:sz w:val="20"/>
          <w:szCs w:val="20"/>
          <w:color w:val="auto"/>
        </w:rPr>
      </w:pPr>
    </w:p>
    <w:p>
      <w:pPr>
        <w:ind w:firstLine="648"/>
        <w:spacing w:after="0" w:line="270" w:lineRule="auto"/>
        <w:rPr>
          <w:sz w:val="20"/>
          <w:szCs w:val="20"/>
          <w:color w:val="auto"/>
        </w:rPr>
      </w:pPr>
      <w:r>
        <w:rPr>
          <w:rFonts w:ascii="Arial" w:cs="Arial" w:eastAsia="Arial" w:hAnsi="Arial"/>
          <w:sz w:val="17"/>
          <w:szCs w:val="17"/>
          <w:color w:val="auto"/>
        </w:rPr>
        <w:t xml:space="preserve">Costs of Products and Licensing segment revenues increased $1.4 million, or 21%, to $8.0 million for the six months ended June 30, 2018 compared to $6.6 million for the six months ended June 30, 2017. This increase in cost of revenues resulted from an increase in sales volume. Cost of revenues increased at a lower rate than our revenues increased due to improved overhead absorption rates for our optoelectronic components products as well as a reduction in the time and materials required to build our Terahertz instruments. Our overall gross margin for the six months ended June 30, 2018 increased to 41% compared to 39% for the six months ended June 30, 2017 primarily as a result of our revenue mix, with product sales representing a larger portion of our revenues during the six months ended June 30, 2018. The change in cost for our Products and Licensing segment also includes an increase in cost of $0.2 million for the six months ended June 30, 2018 related to the adoption of </w:t>
      </w:r>
      <w:r>
        <w:rPr>
          <w:rFonts w:ascii="Arial" w:cs="Arial" w:eastAsia="Arial" w:hAnsi="Arial"/>
          <w:sz w:val="17"/>
          <w:szCs w:val="17"/>
          <w:i w:val="1"/>
          <w:iCs w:val="1"/>
          <w:color w:val="auto"/>
        </w:rPr>
        <w:t>Revenue from Contracts with Customers</w:t>
      </w:r>
      <w:r>
        <w:rPr>
          <w:rFonts w:ascii="Arial" w:cs="Arial" w:eastAsia="Arial" w:hAnsi="Arial"/>
          <w:sz w:val="17"/>
          <w:szCs w:val="17"/>
          <w:color w:val="auto"/>
        </w:rPr>
        <w:t xml:space="preserve"> (Topic 606). Cost of revenues for the six months ended June 30, 2018 and 2017 associated with the optoelectronics business sold on July 31, 2018 and included in the table above, were $4,645,616 and $4,059,829, respectively.</w:t>
      </w:r>
    </w:p>
    <w:p>
      <w:pPr>
        <w:spacing w:after="0" w:line="222"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Operating Expense</w:t>
      </w:r>
    </w:p>
    <w:p>
      <w:pPr>
        <w:spacing w:after="0" w:line="26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29</w:t>
      </w:r>
    </w:p>
    <w:p>
      <w:pPr>
        <w:sectPr>
          <w:pgSz w:w="11900" w:h="16838" w:orient="portrait"/>
          <w:cols w:equalWidth="0" w:num="1">
            <w:col w:w="11400"/>
          </w:cols>
          <w:pgMar w:left="240" w:top="114" w:right="259" w:bottom="1440" w:gutter="0" w:footer="0" w:header="0"/>
        </w:sectPr>
      </w:pPr>
    </w:p>
    <w:bookmarkStart w:id="29" w:name="page30"/>
    <w:bookmarkEnd w:id="29"/>
    <w:tbl>
      <w:tblPr>
        <w:tblLayout w:type="fixed"/>
        <w:tblInd w:w="0" w:type="dxa"/>
        <w:tblCellMar>
          <w:top w:w="0" w:type="dxa"/>
          <w:left w:w="0" w:type="dxa"/>
          <w:bottom w:w="0" w:type="dxa"/>
          <w:right w:w="0" w:type="dxa"/>
        </w:tblCellMar>
      </w:tblPr>
      <w:tr>
        <w:trPr>
          <w:trHeight w:val="161"/>
        </w:trPr>
        <w:tc>
          <w:tcPr>
            <w:tcW w:w="4900" w:type="dxa"/>
            <w:vAlign w:val="bottom"/>
            <w:gridSpan w:val="2"/>
          </w:tcPr>
          <w:p>
            <w:pPr>
              <w:spacing w:after="0"/>
              <w:rPr>
                <w:rFonts w:ascii="Arial" w:cs="Arial" w:eastAsia="Arial" w:hAnsi="Arial"/>
                <w:sz w:val="14"/>
                <w:szCs w:val="14"/>
                <w:b w:val="1"/>
                <w:bCs w:val="1"/>
                <w:color w:val="0000EE"/>
              </w:rPr>
            </w:pPr>
            <w:hyperlink w:anchor="page2">
              <w:r>
                <w:rPr>
                  <w:rFonts w:ascii="Arial" w:cs="Arial" w:eastAsia="Arial" w:hAnsi="Arial"/>
                  <w:sz w:val="14"/>
                  <w:szCs w:val="14"/>
                  <w:b w:val="1"/>
                  <w:bCs w:val="1"/>
                  <w:color w:val="0000EE"/>
                </w:rPr>
                <w:t>Table of Contents</w:t>
              </w:r>
            </w:hyperlink>
          </w:p>
        </w:tc>
        <w:tc>
          <w:tcPr>
            <w:tcW w:w="380" w:type="dxa"/>
            <w:vAlign w:val="bottom"/>
          </w:tcPr>
          <w:p>
            <w:pPr>
              <w:spacing w:after="0"/>
              <w:rPr>
                <w:sz w:val="14"/>
                <w:szCs w:val="14"/>
                <w:color w:val="auto"/>
              </w:rPr>
            </w:pPr>
          </w:p>
        </w:tc>
        <w:tc>
          <w:tcPr>
            <w:tcW w:w="12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12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560" w:type="dxa"/>
            <w:vAlign w:val="bottom"/>
          </w:tcPr>
          <w:p>
            <w:pPr>
              <w:spacing w:after="0"/>
              <w:rPr>
                <w:sz w:val="14"/>
                <w:szCs w:val="14"/>
                <w:color w:val="auto"/>
              </w:rPr>
            </w:pPr>
          </w:p>
        </w:tc>
      </w:tr>
      <w:tr>
        <w:trPr>
          <w:trHeight w:val="649"/>
        </w:trPr>
        <w:tc>
          <w:tcPr>
            <w:tcW w:w="1100" w:type="dxa"/>
            <w:vAlign w:val="bottom"/>
            <w:tcBorders>
              <w:top w:val="single" w:sz="8" w:color="0000EE"/>
            </w:tcBorders>
          </w:tcPr>
          <w:p>
            <w:pPr>
              <w:spacing w:after="0"/>
              <w:rPr>
                <w:sz w:val="24"/>
                <w:szCs w:val="24"/>
                <w:color w:val="auto"/>
              </w:rPr>
            </w:pPr>
          </w:p>
        </w:tc>
        <w:tc>
          <w:tcPr>
            <w:tcW w:w="380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3000" w:type="dxa"/>
            <w:vAlign w:val="bottom"/>
            <w:gridSpan w:val="6"/>
          </w:tcPr>
          <w:p>
            <w:pPr>
              <w:ind w:left="380"/>
              <w:spacing w:after="0"/>
              <w:rPr>
                <w:sz w:val="20"/>
                <w:szCs w:val="20"/>
                <w:color w:val="auto"/>
              </w:rPr>
            </w:pPr>
            <w:r>
              <w:rPr>
                <w:rFonts w:ascii="Arial" w:cs="Arial" w:eastAsia="Arial" w:hAnsi="Arial"/>
                <w:sz w:val="14"/>
                <w:szCs w:val="14"/>
                <w:b w:val="1"/>
                <w:bCs w:val="1"/>
                <w:color w:val="auto"/>
              </w:rPr>
              <w:t>Six Months Ended June 30,</w:t>
            </w:r>
          </w:p>
        </w:tc>
        <w:tc>
          <w:tcPr>
            <w:tcW w:w="240" w:type="dxa"/>
            <w:vAlign w:val="bottom"/>
          </w:tcPr>
          <w:p>
            <w:pPr>
              <w:spacing w:after="0"/>
              <w:rPr>
                <w:sz w:val="24"/>
                <w:szCs w:val="24"/>
                <w:color w:val="auto"/>
              </w:rPr>
            </w:pPr>
          </w:p>
        </w:tc>
        <w:tc>
          <w:tcPr>
            <w:tcW w:w="12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560" w:type="dxa"/>
            <w:vAlign w:val="bottom"/>
          </w:tcPr>
          <w:p>
            <w:pPr>
              <w:spacing w:after="0"/>
              <w:rPr>
                <w:sz w:val="24"/>
                <w:szCs w:val="24"/>
                <w:color w:val="auto"/>
              </w:rPr>
            </w:pPr>
          </w:p>
        </w:tc>
      </w:tr>
      <w:tr>
        <w:trPr>
          <w:trHeight w:val="264"/>
        </w:trPr>
        <w:tc>
          <w:tcPr>
            <w:tcW w:w="1100" w:type="dxa"/>
            <w:vAlign w:val="bottom"/>
            <w:tcBorders>
              <w:bottom w:val="single" w:sz="8" w:color="CCEEFF"/>
            </w:tcBorders>
          </w:tcPr>
          <w:p>
            <w:pPr>
              <w:spacing w:after="0"/>
              <w:rPr>
                <w:sz w:val="22"/>
                <w:szCs w:val="22"/>
                <w:color w:val="auto"/>
              </w:rPr>
            </w:pPr>
          </w:p>
        </w:tc>
        <w:tc>
          <w:tcPr>
            <w:tcW w:w="3800" w:type="dxa"/>
            <w:vAlign w:val="bottom"/>
            <w:tcBorders>
              <w:bottom w:val="single" w:sz="8" w:color="CCEEFF"/>
            </w:tcBorders>
          </w:tcPr>
          <w:p>
            <w:pPr>
              <w:spacing w:after="0"/>
              <w:rPr>
                <w:sz w:val="22"/>
                <w:szCs w:val="22"/>
                <w:color w:val="auto"/>
              </w:rPr>
            </w:pPr>
          </w:p>
        </w:tc>
        <w:tc>
          <w:tcPr>
            <w:tcW w:w="380" w:type="dxa"/>
            <w:vAlign w:val="bottom"/>
            <w:tcBorders>
              <w:top w:val="single" w:sz="8" w:color="auto"/>
              <w:bottom w:val="single" w:sz="8" w:color="auto"/>
            </w:tcBorders>
          </w:tcPr>
          <w:p>
            <w:pPr>
              <w:spacing w:after="0"/>
              <w:rPr>
                <w:sz w:val="22"/>
                <w:szCs w:val="22"/>
                <w:color w:val="auto"/>
              </w:rPr>
            </w:pPr>
          </w:p>
        </w:tc>
        <w:tc>
          <w:tcPr>
            <w:tcW w:w="1220" w:type="dxa"/>
            <w:vAlign w:val="bottom"/>
            <w:tcBorders>
              <w:top w:val="single" w:sz="8" w:color="auto"/>
              <w:bottom w:val="single" w:sz="8" w:color="auto"/>
            </w:tcBorders>
          </w:tcPr>
          <w:p>
            <w:pPr>
              <w:ind w:left="260"/>
              <w:spacing w:after="0"/>
              <w:rPr>
                <w:sz w:val="20"/>
                <w:szCs w:val="20"/>
                <w:color w:val="auto"/>
              </w:rPr>
            </w:pPr>
            <w:r>
              <w:rPr>
                <w:rFonts w:ascii="Arial" w:cs="Arial" w:eastAsia="Arial" w:hAnsi="Arial"/>
                <w:sz w:val="14"/>
                <w:szCs w:val="14"/>
                <w:b w:val="1"/>
                <w:bCs w:val="1"/>
                <w:color w:val="auto"/>
              </w:rPr>
              <w:t>2018</w:t>
            </w:r>
          </w:p>
        </w:tc>
        <w:tc>
          <w:tcPr>
            <w:tcW w:w="100" w:type="dxa"/>
            <w:vAlign w:val="bottom"/>
            <w:tcBorders>
              <w:top w:val="single" w:sz="8" w:color="auto"/>
              <w:bottom w:val="single" w:sz="8" w:color="CCEEFF"/>
            </w:tcBorders>
          </w:tcPr>
          <w:p>
            <w:pPr>
              <w:spacing w:after="0"/>
              <w:rPr>
                <w:sz w:val="22"/>
                <w:szCs w:val="22"/>
                <w:color w:val="auto"/>
              </w:rPr>
            </w:pPr>
          </w:p>
        </w:tc>
        <w:tc>
          <w:tcPr>
            <w:tcW w:w="360" w:type="dxa"/>
            <w:vAlign w:val="bottom"/>
            <w:tcBorders>
              <w:top w:val="single" w:sz="8" w:color="auto"/>
              <w:bottom w:val="single" w:sz="8" w:color="auto"/>
            </w:tcBorders>
          </w:tcPr>
          <w:p>
            <w:pPr>
              <w:spacing w:after="0"/>
              <w:rPr>
                <w:sz w:val="22"/>
                <w:szCs w:val="22"/>
                <w:color w:val="auto"/>
              </w:rPr>
            </w:pPr>
          </w:p>
        </w:tc>
        <w:tc>
          <w:tcPr>
            <w:tcW w:w="1120" w:type="dxa"/>
            <w:vAlign w:val="bottom"/>
            <w:tcBorders>
              <w:top w:val="single" w:sz="8" w:color="auto"/>
              <w:bottom w:val="single" w:sz="8" w:color="auto"/>
            </w:tcBorders>
          </w:tcPr>
          <w:p>
            <w:pPr>
              <w:jc w:val="right"/>
              <w:ind w:right="514"/>
              <w:spacing w:after="0"/>
              <w:rPr>
                <w:sz w:val="20"/>
                <w:szCs w:val="20"/>
                <w:color w:val="auto"/>
              </w:rPr>
            </w:pPr>
            <w:r>
              <w:rPr>
                <w:rFonts w:ascii="Arial" w:cs="Arial" w:eastAsia="Arial" w:hAnsi="Arial"/>
                <w:sz w:val="14"/>
                <w:szCs w:val="14"/>
                <w:b w:val="1"/>
                <w:bCs w:val="1"/>
                <w:color w:val="auto"/>
              </w:rPr>
              <w:t>2017</w:t>
            </w:r>
          </w:p>
        </w:tc>
        <w:tc>
          <w:tcPr>
            <w:tcW w:w="100" w:type="dxa"/>
            <w:vAlign w:val="bottom"/>
            <w:tcBorders>
              <w:top w:val="single" w:sz="8" w:color="auto"/>
              <w:bottom w:val="single" w:sz="8" w:color="CCEEFF"/>
            </w:tcBorders>
          </w:tcPr>
          <w:p>
            <w:pPr>
              <w:spacing w:after="0"/>
              <w:rPr>
                <w:sz w:val="22"/>
                <w:szCs w:val="22"/>
                <w:color w:val="auto"/>
              </w:rPr>
            </w:pPr>
          </w:p>
        </w:tc>
        <w:tc>
          <w:tcPr>
            <w:tcW w:w="100" w:type="dxa"/>
            <w:vAlign w:val="bottom"/>
            <w:tcBorders>
              <w:bottom w:val="single" w:sz="8" w:color="CCEEFF"/>
            </w:tcBorders>
          </w:tcPr>
          <w:p>
            <w:pPr>
              <w:spacing w:after="0"/>
              <w:rPr>
                <w:sz w:val="22"/>
                <w:szCs w:val="22"/>
                <w:color w:val="auto"/>
              </w:rPr>
            </w:pPr>
          </w:p>
        </w:tc>
        <w:tc>
          <w:tcPr>
            <w:tcW w:w="240" w:type="dxa"/>
            <w:vAlign w:val="bottom"/>
            <w:tcBorders>
              <w:bottom w:val="single" w:sz="8" w:color="auto"/>
            </w:tcBorders>
          </w:tcPr>
          <w:p>
            <w:pPr>
              <w:spacing w:after="0"/>
              <w:rPr>
                <w:sz w:val="22"/>
                <w:szCs w:val="22"/>
                <w:color w:val="auto"/>
              </w:rPr>
            </w:pPr>
          </w:p>
        </w:tc>
        <w:tc>
          <w:tcPr>
            <w:tcW w:w="1240" w:type="dxa"/>
            <w:vAlign w:val="bottom"/>
            <w:tcBorders>
              <w:bottom w:val="single" w:sz="8" w:color="auto"/>
            </w:tcBorders>
          </w:tcPr>
          <w:p>
            <w:pPr>
              <w:jc w:val="right"/>
              <w:ind w:right="274"/>
              <w:spacing w:after="0"/>
              <w:rPr>
                <w:sz w:val="20"/>
                <w:szCs w:val="20"/>
                <w:color w:val="auto"/>
              </w:rPr>
            </w:pPr>
            <w:r>
              <w:rPr>
                <w:rFonts w:ascii="Arial" w:cs="Arial" w:eastAsia="Arial" w:hAnsi="Arial"/>
                <w:sz w:val="14"/>
                <w:szCs w:val="14"/>
                <w:b w:val="1"/>
                <w:bCs w:val="1"/>
                <w:color w:val="auto"/>
              </w:rPr>
              <w:t>$ Difference</w:t>
            </w:r>
          </w:p>
        </w:tc>
        <w:tc>
          <w:tcPr>
            <w:tcW w:w="100" w:type="dxa"/>
            <w:vAlign w:val="bottom"/>
            <w:tcBorders>
              <w:bottom w:val="single" w:sz="8" w:color="CCEEFF"/>
            </w:tcBorders>
          </w:tcPr>
          <w:p>
            <w:pPr>
              <w:spacing w:after="0"/>
              <w:rPr>
                <w:sz w:val="22"/>
                <w:szCs w:val="22"/>
                <w:color w:val="auto"/>
              </w:rPr>
            </w:pPr>
          </w:p>
        </w:tc>
        <w:tc>
          <w:tcPr>
            <w:tcW w:w="1560" w:type="dxa"/>
            <w:vAlign w:val="bottom"/>
            <w:tcBorders>
              <w:bottom w:val="single" w:sz="8" w:color="auto"/>
            </w:tcBorders>
          </w:tcPr>
          <w:p>
            <w:pPr>
              <w:jc w:val="right"/>
              <w:ind w:right="288"/>
              <w:spacing w:after="0"/>
              <w:rPr>
                <w:sz w:val="20"/>
                <w:szCs w:val="20"/>
                <w:color w:val="auto"/>
              </w:rPr>
            </w:pPr>
            <w:r>
              <w:rPr>
                <w:rFonts w:ascii="Arial" w:cs="Arial" w:eastAsia="Arial" w:hAnsi="Arial"/>
                <w:sz w:val="14"/>
                <w:szCs w:val="14"/>
                <w:b w:val="1"/>
                <w:bCs w:val="1"/>
                <w:color w:val="auto"/>
              </w:rPr>
              <w:t>% Difference</w:t>
            </w:r>
          </w:p>
        </w:tc>
      </w:tr>
      <w:tr>
        <w:trPr>
          <w:trHeight w:val="250"/>
        </w:trPr>
        <w:tc>
          <w:tcPr>
            <w:tcW w:w="490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Operating expense:</w:t>
            </w:r>
          </w:p>
        </w:tc>
        <w:tc>
          <w:tcPr>
            <w:tcW w:w="38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560" w:type="dxa"/>
            <w:vAlign w:val="bottom"/>
            <w:tcBorders>
              <w:bottom w:val="single" w:sz="8" w:color="CCEEFF"/>
            </w:tcBorders>
            <w:shd w:val="clear" w:color="auto" w:fill="CCEEFF"/>
          </w:tcPr>
          <w:p>
            <w:pPr>
              <w:spacing w:after="0"/>
              <w:rPr>
                <w:sz w:val="21"/>
                <w:szCs w:val="21"/>
                <w:color w:val="auto"/>
              </w:rPr>
            </w:pPr>
          </w:p>
        </w:tc>
      </w:tr>
      <w:tr>
        <w:trPr>
          <w:trHeight w:val="243"/>
        </w:trPr>
        <w:tc>
          <w:tcPr>
            <w:tcW w:w="4900" w:type="dxa"/>
            <w:vAlign w:val="bottom"/>
            <w:gridSpan w:val="2"/>
          </w:tcPr>
          <w:p>
            <w:pPr>
              <w:ind w:left="380"/>
              <w:spacing w:after="0"/>
              <w:rPr>
                <w:sz w:val="20"/>
                <w:szCs w:val="20"/>
                <w:color w:val="auto"/>
              </w:rPr>
            </w:pPr>
            <w:r>
              <w:rPr>
                <w:rFonts w:ascii="Arial" w:cs="Arial" w:eastAsia="Arial" w:hAnsi="Arial"/>
                <w:sz w:val="18"/>
                <w:szCs w:val="18"/>
                <w:color w:val="auto"/>
              </w:rPr>
              <w:t>Selling, general and administrative</w:t>
            </w:r>
          </w:p>
        </w:tc>
        <w:tc>
          <w:tcPr>
            <w:tcW w:w="380" w:type="dxa"/>
            <w:vAlign w:val="bottom"/>
          </w:tcPr>
          <w:p>
            <w:pPr>
              <w:jc w:val="right"/>
              <w:ind w:right="170"/>
              <w:spacing w:after="0"/>
              <w:rPr>
                <w:sz w:val="20"/>
                <w:szCs w:val="20"/>
                <w:color w:val="auto"/>
              </w:rPr>
            </w:pPr>
            <w:r>
              <w:rPr>
                <w:rFonts w:ascii="Arial" w:cs="Arial" w:eastAsia="Arial" w:hAnsi="Arial"/>
                <w:sz w:val="18"/>
                <w:szCs w:val="18"/>
                <w:color w:val="auto"/>
                <w:w w:val="99"/>
              </w:rPr>
              <w:t>$</w:t>
            </w:r>
          </w:p>
        </w:tc>
        <w:tc>
          <w:tcPr>
            <w:tcW w:w="1220" w:type="dxa"/>
            <w:vAlign w:val="bottom"/>
          </w:tcPr>
          <w:p>
            <w:pPr>
              <w:ind w:left="380"/>
              <w:spacing w:after="0"/>
              <w:rPr>
                <w:sz w:val="20"/>
                <w:szCs w:val="20"/>
                <w:color w:val="auto"/>
              </w:rPr>
            </w:pPr>
            <w:r>
              <w:rPr>
                <w:rFonts w:ascii="Arial" w:cs="Arial" w:eastAsia="Arial" w:hAnsi="Arial"/>
                <w:sz w:val="18"/>
                <w:szCs w:val="18"/>
                <w:color w:val="auto"/>
              </w:rPr>
              <w:t>7,577,072</w:t>
            </w:r>
          </w:p>
        </w:tc>
        <w:tc>
          <w:tcPr>
            <w:tcW w:w="100" w:type="dxa"/>
            <w:vAlign w:val="bottom"/>
          </w:tcPr>
          <w:p>
            <w:pPr>
              <w:spacing w:after="0"/>
              <w:rPr>
                <w:sz w:val="21"/>
                <w:szCs w:val="21"/>
                <w:color w:val="auto"/>
              </w:rPr>
            </w:pPr>
          </w:p>
        </w:tc>
        <w:tc>
          <w:tcPr>
            <w:tcW w:w="360" w:type="dxa"/>
            <w:vAlign w:val="bottom"/>
          </w:tcPr>
          <w:p>
            <w:pPr>
              <w:jc w:val="right"/>
              <w:ind w:right="150"/>
              <w:spacing w:after="0"/>
              <w:rPr>
                <w:sz w:val="20"/>
                <w:szCs w:val="20"/>
                <w:color w:val="auto"/>
              </w:rPr>
            </w:pPr>
            <w:r>
              <w:rPr>
                <w:rFonts w:ascii="Arial" w:cs="Arial" w:eastAsia="Arial" w:hAnsi="Arial"/>
                <w:sz w:val="18"/>
                <w:szCs w:val="18"/>
                <w:color w:val="auto"/>
                <w:w w:val="99"/>
              </w:rPr>
              <w:t>$</w:t>
            </w:r>
          </w:p>
        </w:tc>
        <w:tc>
          <w:tcPr>
            <w:tcW w:w="1120" w:type="dxa"/>
            <w:vAlign w:val="bottom"/>
          </w:tcPr>
          <w:p>
            <w:pPr>
              <w:jc w:val="right"/>
              <w:ind w:right="34"/>
              <w:spacing w:after="0"/>
              <w:rPr>
                <w:sz w:val="20"/>
                <w:szCs w:val="20"/>
                <w:color w:val="auto"/>
              </w:rPr>
            </w:pPr>
            <w:r>
              <w:rPr>
                <w:rFonts w:ascii="Arial" w:cs="Arial" w:eastAsia="Arial" w:hAnsi="Arial"/>
                <w:sz w:val="18"/>
                <w:szCs w:val="18"/>
                <w:color w:val="auto"/>
              </w:rPr>
              <w:t>7,089,889</w:t>
            </w:r>
          </w:p>
        </w:tc>
        <w:tc>
          <w:tcPr>
            <w:tcW w:w="1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40" w:type="dxa"/>
            <w:vAlign w:val="bottom"/>
          </w:tcPr>
          <w:p>
            <w:pPr>
              <w:jc w:val="right"/>
              <w:ind w:right="30"/>
              <w:spacing w:after="0"/>
              <w:rPr>
                <w:sz w:val="20"/>
                <w:szCs w:val="20"/>
                <w:color w:val="auto"/>
              </w:rPr>
            </w:pPr>
            <w:r>
              <w:rPr>
                <w:rFonts w:ascii="Arial" w:cs="Arial" w:eastAsia="Arial" w:hAnsi="Arial"/>
                <w:sz w:val="18"/>
                <w:szCs w:val="18"/>
                <w:color w:val="auto"/>
                <w:w w:val="99"/>
              </w:rPr>
              <w:t>$</w:t>
            </w:r>
          </w:p>
        </w:tc>
        <w:tc>
          <w:tcPr>
            <w:tcW w:w="1240" w:type="dxa"/>
            <w:vAlign w:val="bottom"/>
          </w:tcPr>
          <w:p>
            <w:pPr>
              <w:jc w:val="right"/>
              <w:ind w:right="14"/>
              <w:spacing w:after="0"/>
              <w:rPr>
                <w:sz w:val="20"/>
                <w:szCs w:val="20"/>
                <w:color w:val="auto"/>
              </w:rPr>
            </w:pPr>
            <w:r>
              <w:rPr>
                <w:rFonts w:ascii="Arial" w:cs="Arial" w:eastAsia="Arial" w:hAnsi="Arial"/>
                <w:sz w:val="18"/>
                <w:szCs w:val="18"/>
                <w:color w:val="auto"/>
              </w:rPr>
              <w:t>487,183</w:t>
            </w:r>
          </w:p>
        </w:tc>
        <w:tc>
          <w:tcPr>
            <w:tcW w:w="1660" w:type="dxa"/>
            <w:vAlign w:val="bottom"/>
            <w:gridSpan w:val="2"/>
          </w:tcPr>
          <w:p>
            <w:pPr>
              <w:jc w:val="right"/>
              <w:spacing w:after="0"/>
              <w:rPr>
                <w:sz w:val="20"/>
                <w:szCs w:val="20"/>
                <w:color w:val="auto"/>
              </w:rPr>
            </w:pPr>
            <w:r>
              <w:rPr>
                <w:rFonts w:ascii="Arial" w:cs="Arial" w:eastAsia="Arial" w:hAnsi="Arial"/>
                <w:sz w:val="18"/>
                <w:szCs w:val="18"/>
                <w:color w:val="auto"/>
              </w:rPr>
              <w:t>7%</w:t>
            </w:r>
          </w:p>
        </w:tc>
      </w:tr>
      <w:tr>
        <w:trPr>
          <w:trHeight w:val="27"/>
        </w:trPr>
        <w:tc>
          <w:tcPr>
            <w:tcW w:w="1100" w:type="dxa"/>
            <w:vAlign w:val="bottom"/>
          </w:tcPr>
          <w:p>
            <w:pPr>
              <w:spacing w:after="0"/>
              <w:rPr>
                <w:sz w:val="2"/>
                <w:szCs w:val="2"/>
                <w:color w:val="auto"/>
              </w:rPr>
            </w:pPr>
          </w:p>
        </w:tc>
        <w:tc>
          <w:tcPr>
            <w:tcW w:w="3800" w:type="dxa"/>
            <w:vAlign w:val="bottom"/>
          </w:tcPr>
          <w:p>
            <w:pPr>
              <w:spacing w:after="0"/>
              <w:rPr>
                <w:sz w:val="2"/>
                <w:szCs w:val="2"/>
                <w:color w:val="auto"/>
              </w:rPr>
            </w:pPr>
          </w:p>
        </w:tc>
        <w:tc>
          <w:tcPr>
            <w:tcW w:w="38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560" w:type="dxa"/>
            <w:vAlign w:val="bottom"/>
          </w:tcPr>
          <w:p>
            <w:pPr>
              <w:spacing w:after="0"/>
              <w:rPr>
                <w:sz w:val="2"/>
                <w:szCs w:val="2"/>
                <w:color w:val="auto"/>
              </w:rPr>
            </w:pPr>
          </w:p>
        </w:tc>
      </w:tr>
      <w:tr>
        <w:trPr>
          <w:trHeight w:val="270"/>
        </w:trPr>
        <w:tc>
          <w:tcPr>
            <w:tcW w:w="4900" w:type="dxa"/>
            <w:vAlign w:val="bottom"/>
            <w:tcBorders>
              <w:bottom w:val="single" w:sz="8" w:color="CCEEFF"/>
            </w:tcBorders>
            <w:gridSpan w:val="2"/>
            <w:shd w:val="clear" w:color="auto" w:fill="CCEEFF"/>
          </w:tcPr>
          <w:p>
            <w:pPr>
              <w:ind w:left="380"/>
              <w:spacing w:after="0"/>
              <w:rPr>
                <w:sz w:val="20"/>
                <w:szCs w:val="20"/>
                <w:color w:val="auto"/>
              </w:rPr>
            </w:pPr>
            <w:r>
              <w:rPr>
                <w:rFonts w:ascii="Arial" w:cs="Arial" w:eastAsia="Arial" w:hAnsi="Arial"/>
                <w:sz w:val="18"/>
                <w:szCs w:val="18"/>
                <w:color w:val="auto"/>
              </w:rPr>
              <w:t>Research, development and engineering</w:t>
            </w:r>
          </w:p>
        </w:tc>
        <w:tc>
          <w:tcPr>
            <w:tcW w:w="380" w:type="dxa"/>
            <w:vAlign w:val="bottom"/>
            <w:tcBorders>
              <w:bottom w:val="single" w:sz="8" w:color="CCEEFF"/>
            </w:tcBorders>
            <w:shd w:val="clear" w:color="auto" w:fill="CCEEFF"/>
          </w:tcPr>
          <w:p>
            <w:pPr>
              <w:spacing w:after="0"/>
              <w:rPr>
                <w:sz w:val="23"/>
                <w:szCs w:val="23"/>
                <w:color w:val="auto"/>
              </w:rPr>
            </w:pPr>
          </w:p>
        </w:tc>
        <w:tc>
          <w:tcPr>
            <w:tcW w:w="122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2,105,352</w:t>
            </w:r>
          </w:p>
        </w:tc>
        <w:tc>
          <w:tcPr>
            <w:tcW w:w="100" w:type="dxa"/>
            <w:vAlign w:val="bottom"/>
            <w:tcBorders>
              <w:bottom w:val="single" w:sz="8" w:color="CCEEFF"/>
            </w:tcBorders>
            <w:shd w:val="clear" w:color="auto" w:fill="CCEEFF"/>
          </w:tcPr>
          <w:p>
            <w:pPr>
              <w:spacing w:after="0"/>
              <w:rPr>
                <w:sz w:val="23"/>
                <w:szCs w:val="23"/>
                <w:color w:val="auto"/>
              </w:rPr>
            </w:pPr>
          </w:p>
        </w:tc>
        <w:tc>
          <w:tcPr>
            <w:tcW w:w="360" w:type="dxa"/>
            <w:vAlign w:val="bottom"/>
            <w:tcBorders>
              <w:bottom w:val="single" w:sz="8" w:color="CCEEFF"/>
            </w:tcBorders>
            <w:shd w:val="clear" w:color="auto" w:fill="CCEEFF"/>
          </w:tcPr>
          <w:p>
            <w:pPr>
              <w:spacing w:after="0"/>
              <w:rPr>
                <w:sz w:val="23"/>
                <w:szCs w:val="23"/>
                <w:color w:val="auto"/>
              </w:rPr>
            </w:pPr>
          </w:p>
        </w:tc>
        <w:tc>
          <w:tcPr>
            <w:tcW w:w="1120" w:type="dxa"/>
            <w:vAlign w:val="bottom"/>
            <w:tcBorders>
              <w:bottom w:val="single" w:sz="8" w:color="CCEEFF"/>
            </w:tcBorders>
            <w:shd w:val="clear" w:color="auto" w:fill="CCEEFF"/>
          </w:tcPr>
          <w:p>
            <w:pPr>
              <w:jc w:val="right"/>
              <w:ind w:right="34"/>
              <w:spacing w:after="0"/>
              <w:rPr>
                <w:sz w:val="20"/>
                <w:szCs w:val="20"/>
                <w:color w:val="auto"/>
              </w:rPr>
            </w:pPr>
            <w:r>
              <w:rPr>
                <w:rFonts w:ascii="Arial" w:cs="Arial" w:eastAsia="Arial" w:hAnsi="Arial"/>
                <w:sz w:val="18"/>
                <w:szCs w:val="18"/>
                <w:color w:val="auto"/>
              </w:rPr>
              <w:t>1,747,662</w:t>
            </w:r>
          </w:p>
        </w:tc>
        <w:tc>
          <w:tcPr>
            <w:tcW w:w="100" w:type="dxa"/>
            <w:vAlign w:val="bottom"/>
            <w:tcBorders>
              <w:bottom w:val="single" w:sz="8" w:color="CCEEFF"/>
            </w:tcBorders>
            <w:shd w:val="clear" w:color="auto" w:fill="CCEEFF"/>
          </w:tcPr>
          <w:p>
            <w:pPr>
              <w:spacing w:after="0"/>
              <w:rPr>
                <w:sz w:val="23"/>
                <w:szCs w:val="23"/>
                <w:color w:val="auto"/>
              </w:rPr>
            </w:pPr>
          </w:p>
        </w:tc>
        <w:tc>
          <w:tcPr>
            <w:tcW w:w="100" w:type="dxa"/>
            <w:vAlign w:val="bottom"/>
            <w:tcBorders>
              <w:bottom w:val="single" w:sz="8" w:color="CCEEFF"/>
            </w:tcBorders>
            <w:shd w:val="clear" w:color="auto" w:fill="CCEEFF"/>
          </w:tcPr>
          <w:p>
            <w:pPr>
              <w:spacing w:after="0"/>
              <w:rPr>
                <w:sz w:val="23"/>
                <w:szCs w:val="23"/>
                <w:color w:val="auto"/>
              </w:rPr>
            </w:pPr>
          </w:p>
        </w:tc>
        <w:tc>
          <w:tcPr>
            <w:tcW w:w="240" w:type="dxa"/>
            <w:vAlign w:val="bottom"/>
            <w:tcBorders>
              <w:bottom w:val="single" w:sz="8" w:color="CCEEFF"/>
            </w:tcBorders>
            <w:shd w:val="clear" w:color="auto" w:fill="CCEEFF"/>
          </w:tcPr>
          <w:p>
            <w:pPr>
              <w:spacing w:after="0"/>
              <w:rPr>
                <w:sz w:val="23"/>
                <w:szCs w:val="23"/>
                <w:color w:val="auto"/>
              </w:rPr>
            </w:pPr>
          </w:p>
        </w:tc>
        <w:tc>
          <w:tcPr>
            <w:tcW w:w="124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357,690</w:t>
            </w:r>
          </w:p>
        </w:tc>
        <w:tc>
          <w:tcPr>
            <w:tcW w:w="1660" w:type="dxa"/>
            <w:vAlign w:val="bottom"/>
            <w:tcBorders>
              <w:bottom w:val="single" w:sz="8" w:color="CCEEFF"/>
            </w:tcBorders>
            <w:gridSpan w:val="2"/>
            <w:shd w:val="clear" w:color="auto" w:fill="CCEEFF"/>
          </w:tcPr>
          <w:p>
            <w:pPr>
              <w:jc w:val="right"/>
              <w:spacing w:after="0"/>
              <w:rPr>
                <w:sz w:val="20"/>
                <w:szCs w:val="20"/>
                <w:color w:val="auto"/>
              </w:rPr>
            </w:pPr>
            <w:r>
              <w:rPr>
                <w:rFonts w:ascii="Arial" w:cs="Arial" w:eastAsia="Arial" w:hAnsi="Arial"/>
                <w:sz w:val="18"/>
                <w:szCs w:val="18"/>
                <w:color w:val="auto"/>
              </w:rPr>
              <w:t>20%</w:t>
            </w:r>
          </w:p>
        </w:tc>
      </w:tr>
      <w:tr>
        <w:trPr>
          <w:trHeight w:val="257"/>
        </w:trPr>
        <w:tc>
          <w:tcPr>
            <w:tcW w:w="4900" w:type="dxa"/>
            <w:vAlign w:val="bottom"/>
            <w:gridSpan w:val="2"/>
          </w:tcPr>
          <w:p>
            <w:pPr>
              <w:ind w:left="40"/>
              <w:spacing w:after="0"/>
              <w:rPr>
                <w:sz w:val="20"/>
                <w:szCs w:val="20"/>
                <w:color w:val="auto"/>
              </w:rPr>
            </w:pPr>
            <w:r>
              <w:rPr>
                <w:rFonts w:ascii="Arial" w:cs="Arial" w:eastAsia="Arial" w:hAnsi="Arial"/>
                <w:sz w:val="18"/>
                <w:szCs w:val="18"/>
                <w:color w:val="auto"/>
              </w:rPr>
              <w:t>Total operating expense</w:t>
            </w:r>
          </w:p>
        </w:tc>
        <w:tc>
          <w:tcPr>
            <w:tcW w:w="380" w:type="dxa"/>
            <w:vAlign w:val="bottom"/>
            <w:tcBorders>
              <w:top w:val="single" w:sz="8" w:color="auto"/>
              <w:bottom w:val="single" w:sz="8" w:color="auto"/>
            </w:tcBorders>
          </w:tcPr>
          <w:p>
            <w:pPr>
              <w:jc w:val="right"/>
              <w:ind w:right="170"/>
              <w:spacing w:after="0"/>
              <w:rPr>
                <w:sz w:val="20"/>
                <w:szCs w:val="20"/>
                <w:color w:val="auto"/>
              </w:rPr>
            </w:pPr>
            <w:r>
              <w:rPr>
                <w:rFonts w:ascii="Arial" w:cs="Arial" w:eastAsia="Arial" w:hAnsi="Arial"/>
                <w:sz w:val="18"/>
                <w:szCs w:val="18"/>
                <w:color w:val="auto"/>
                <w:w w:val="99"/>
              </w:rPr>
              <w:t>$</w:t>
            </w:r>
          </w:p>
        </w:tc>
        <w:tc>
          <w:tcPr>
            <w:tcW w:w="1220" w:type="dxa"/>
            <w:vAlign w:val="bottom"/>
            <w:tcBorders>
              <w:top w:val="single" w:sz="8" w:color="auto"/>
              <w:bottom w:val="single" w:sz="8" w:color="auto"/>
            </w:tcBorders>
          </w:tcPr>
          <w:p>
            <w:pPr>
              <w:ind w:left="380"/>
              <w:spacing w:after="0"/>
              <w:rPr>
                <w:sz w:val="20"/>
                <w:szCs w:val="20"/>
                <w:color w:val="auto"/>
              </w:rPr>
            </w:pPr>
            <w:r>
              <w:rPr>
                <w:rFonts w:ascii="Arial" w:cs="Arial" w:eastAsia="Arial" w:hAnsi="Arial"/>
                <w:sz w:val="18"/>
                <w:szCs w:val="18"/>
                <w:color w:val="auto"/>
              </w:rPr>
              <w:t>9,682,424</w:t>
            </w:r>
          </w:p>
        </w:tc>
        <w:tc>
          <w:tcPr>
            <w:tcW w:w="100" w:type="dxa"/>
            <w:vAlign w:val="bottom"/>
          </w:tcPr>
          <w:p>
            <w:pPr>
              <w:spacing w:after="0"/>
              <w:rPr>
                <w:sz w:val="22"/>
                <w:szCs w:val="22"/>
                <w:color w:val="auto"/>
              </w:rPr>
            </w:pPr>
          </w:p>
        </w:tc>
        <w:tc>
          <w:tcPr>
            <w:tcW w:w="360" w:type="dxa"/>
            <w:vAlign w:val="bottom"/>
            <w:tcBorders>
              <w:top w:val="single" w:sz="8" w:color="auto"/>
              <w:bottom w:val="single" w:sz="8" w:color="auto"/>
            </w:tcBorders>
          </w:tcPr>
          <w:p>
            <w:pPr>
              <w:jc w:val="right"/>
              <w:ind w:right="150"/>
              <w:spacing w:after="0"/>
              <w:rPr>
                <w:sz w:val="20"/>
                <w:szCs w:val="20"/>
                <w:color w:val="auto"/>
              </w:rPr>
            </w:pPr>
            <w:r>
              <w:rPr>
                <w:rFonts w:ascii="Arial" w:cs="Arial" w:eastAsia="Arial" w:hAnsi="Arial"/>
                <w:sz w:val="18"/>
                <w:szCs w:val="18"/>
                <w:color w:val="auto"/>
                <w:w w:val="99"/>
              </w:rPr>
              <w:t>$</w:t>
            </w:r>
          </w:p>
        </w:tc>
        <w:tc>
          <w:tcPr>
            <w:tcW w:w="1120" w:type="dxa"/>
            <w:vAlign w:val="bottom"/>
            <w:tcBorders>
              <w:top w:val="single" w:sz="8" w:color="auto"/>
              <w:bottom w:val="single" w:sz="8" w:color="auto"/>
            </w:tcBorders>
          </w:tcPr>
          <w:p>
            <w:pPr>
              <w:jc w:val="right"/>
              <w:ind w:right="34"/>
              <w:spacing w:after="0"/>
              <w:rPr>
                <w:sz w:val="20"/>
                <w:szCs w:val="20"/>
                <w:color w:val="auto"/>
              </w:rPr>
            </w:pPr>
            <w:r>
              <w:rPr>
                <w:rFonts w:ascii="Arial" w:cs="Arial" w:eastAsia="Arial" w:hAnsi="Arial"/>
                <w:sz w:val="18"/>
                <w:szCs w:val="18"/>
                <w:color w:val="auto"/>
              </w:rPr>
              <w:t>8,837,551</w:t>
            </w:r>
          </w:p>
        </w:tc>
        <w:tc>
          <w:tcPr>
            <w:tcW w:w="10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240" w:type="dxa"/>
            <w:vAlign w:val="bottom"/>
            <w:tcBorders>
              <w:top w:val="single" w:sz="8" w:color="auto"/>
              <w:bottom w:val="single" w:sz="8" w:color="auto"/>
            </w:tcBorders>
          </w:tcPr>
          <w:p>
            <w:pPr>
              <w:jc w:val="right"/>
              <w:ind w:right="30"/>
              <w:spacing w:after="0"/>
              <w:rPr>
                <w:sz w:val="20"/>
                <w:szCs w:val="20"/>
                <w:color w:val="auto"/>
              </w:rPr>
            </w:pPr>
            <w:r>
              <w:rPr>
                <w:rFonts w:ascii="Arial" w:cs="Arial" w:eastAsia="Arial" w:hAnsi="Arial"/>
                <w:sz w:val="18"/>
                <w:szCs w:val="18"/>
                <w:color w:val="auto"/>
                <w:w w:val="99"/>
              </w:rPr>
              <w:t>$</w:t>
            </w:r>
          </w:p>
        </w:tc>
        <w:tc>
          <w:tcPr>
            <w:tcW w:w="1240" w:type="dxa"/>
            <w:vAlign w:val="bottom"/>
            <w:tcBorders>
              <w:top w:val="single" w:sz="8" w:color="auto"/>
              <w:bottom w:val="single" w:sz="8" w:color="auto"/>
            </w:tcBorders>
          </w:tcPr>
          <w:p>
            <w:pPr>
              <w:jc w:val="right"/>
              <w:ind w:right="14"/>
              <w:spacing w:after="0"/>
              <w:rPr>
                <w:sz w:val="20"/>
                <w:szCs w:val="20"/>
                <w:color w:val="auto"/>
              </w:rPr>
            </w:pPr>
            <w:r>
              <w:rPr>
                <w:rFonts w:ascii="Arial" w:cs="Arial" w:eastAsia="Arial" w:hAnsi="Arial"/>
                <w:sz w:val="18"/>
                <w:szCs w:val="18"/>
                <w:color w:val="auto"/>
              </w:rPr>
              <w:t>844,873</w:t>
            </w:r>
          </w:p>
        </w:tc>
        <w:tc>
          <w:tcPr>
            <w:tcW w:w="1660" w:type="dxa"/>
            <w:vAlign w:val="bottom"/>
            <w:gridSpan w:val="2"/>
          </w:tcPr>
          <w:p>
            <w:pPr>
              <w:jc w:val="right"/>
              <w:spacing w:after="0"/>
              <w:rPr>
                <w:sz w:val="20"/>
                <w:szCs w:val="20"/>
                <w:color w:val="auto"/>
              </w:rPr>
            </w:pPr>
            <w:r>
              <w:rPr>
                <w:rFonts w:ascii="Arial" w:cs="Arial" w:eastAsia="Arial" w:hAnsi="Arial"/>
                <w:sz w:val="18"/>
                <w:szCs w:val="18"/>
                <w:color w:val="auto"/>
              </w:rPr>
              <w:t>10%</w:t>
            </w:r>
          </w:p>
        </w:tc>
      </w:tr>
      <w:tr>
        <w:trPr>
          <w:trHeight w:val="20"/>
        </w:trPr>
        <w:tc>
          <w:tcPr>
            <w:tcW w:w="1100" w:type="dxa"/>
            <w:vAlign w:val="bottom"/>
          </w:tcPr>
          <w:p>
            <w:pPr>
              <w:spacing w:after="0" w:line="20" w:lineRule="exact"/>
              <w:rPr>
                <w:sz w:val="1"/>
                <w:szCs w:val="1"/>
                <w:color w:val="auto"/>
              </w:rPr>
            </w:pPr>
          </w:p>
        </w:tc>
        <w:tc>
          <w:tcPr>
            <w:tcW w:w="3800" w:type="dxa"/>
            <w:vAlign w:val="bottom"/>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12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2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560" w:type="dxa"/>
            <w:vAlign w:val="bottom"/>
          </w:tcPr>
          <w:p>
            <w:pPr>
              <w:spacing w:after="0" w:line="20" w:lineRule="exact"/>
              <w:rPr>
                <w:sz w:val="1"/>
                <w:szCs w:val="1"/>
                <w:color w:val="auto"/>
              </w:rPr>
            </w:pPr>
          </w:p>
        </w:tc>
      </w:tr>
    </w:tbl>
    <w:p>
      <w:pPr>
        <w:spacing w:after="0" w:line="202" w:lineRule="exact"/>
        <w:rPr>
          <w:sz w:val="20"/>
          <w:szCs w:val="20"/>
          <w:color w:val="auto"/>
        </w:rPr>
      </w:pPr>
    </w:p>
    <w:p>
      <w:pPr>
        <w:ind w:right="40" w:firstLine="648"/>
        <w:spacing w:after="0" w:line="302" w:lineRule="auto"/>
        <w:rPr>
          <w:sz w:val="20"/>
          <w:szCs w:val="20"/>
          <w:color w:val="auto"/>
        </w:rPr>
      </w:pPr>
      <w:r>
        <w:rPr>
          <w:rFonts w:ascii="Arial" w:cs="Arial" w:eastAsia="Arial" w:hAnsi="Arial"/>
          <w:sz w:val="16"/>
          <w:szCs w:val="16"/>
          <w:color w:val="auto"/>
        </w:rPr>
        <w:t>Selling, general and administrative expense increased $0.5 million, or 7%, to $7.6 million for the six months ended June 30, 2018, compared to $7.1 million for the six months ended June 30, 2017. The increase in selling, general and administrative expense resulted primarily from the addition of sales personnel associated with our fiber optic test and measurement products. Selling, general and administrative expenses for the six months ended June 30, 2018 and 2017 associated with the optoelectronics business sold on July 31, 2018 and included in the table above, were $978,174 and $938,367, respectively.</w:t>
      </w:r>
    </w:p>
    <w:p>
      <w:pPr>
        <w:spacing w:after="0" w:line="154" w:lineRule="exact"/>
        <w:rPr>
          <w:sz w:val="20"/>
          <w:szCs w:val="20"/>
          <w:color w:val="auto"/>
        </w:rPr>
      </w:pPr>
    </w:p>
    <w:p>
      <w:pPr>
        <w:ind w:right="40" w:firstLine="648"/>
        <w:spacing w:after="0" w:line="257" w:lineRule="auto"/>
        <w:rPr>
          <w:sz w:val="20"/>
          <w:szCs w:val="20"/>
          <w:color w:val="auto"/>
        </w:rPr>
      </w:pPr>
      <w:r>
        <w:rPr>
          <w:rFonts w:ascii="Arial" w:cs="Arial" w:eastAsia="Arial" w:hAnsi="Arial"/>
          <w:sz w:val="18"/>
          <w:szCs w:val="18"/>
          <w:color w:val="auto"/>
        </w:rPr>
        <w:t>Research, development and engineering expense increased $0.4 million, or 20%, to $2.1 million for the six months ended June 30, 2018, compared to $1.7 million for the six months ended June 30, 2017. The increase in research, development, and engineering expense resulted primarily from increased engineering personnel and development costs associated with our fiber optic test and measurement products. Research, development and engineering expense for the six months ended June 30, 2018 and 2017 associated with the optoelectronics business sold on July 31, 2018 and included in the table above, were $465,484 and $448,035, respectively.</w:t>
      </w:r>
    </w:p>
    <w:p>
      <w:pPr>
        <w:spacing w:after="0" w:line="188"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Investment Income</w:t>
      </w:r>
    </w:p>
    <w:p>
      <w:pPr>
        <w:spacing w:after="0" w:line="117" w:lineRule="exact"/>
        <w:rPr>
          <w:sz w:val="20"/>
          <w:szCs w:val="20"/>
          <w:color w:val="auto"/>
        </w:rPr>
      </w:pPr>
    </w:p>
    <w:p>
      <w:pPr>
        <w:ind w:right="140" w:firstLine="432"/>
        <w:spacing w:after="0" w:line="277" w:lineRule="auto"/>
        <w:rPr>
          <w:sz w:val="20"/>
          <w:szCs w:val="20"/>
          <w:color w:val="auto"/>
        </w:rPr>
      </w:pPr>
      <w:r>
        <w:rPr>
          <w:rFonts w:ascii="Arial" w:cs="Arial" w:eastAsia="Arial" w:hAnsi="Arial"/>
          <w:sz w:val="18"/>
          <w:szCs w:val="18"/>
          <w:color w:val="auto"/>
        </w:rPr>
        <w:t>Investment income was $0.2 million for the six months ended June 30, 2018. During the six months ended June 30, 2018, we invested a portion of our cash in funds holding U.S. treasury securities. We did not have any investment income for the six months ended June 30, 2017.</w:t>
      </w:r>
    </w:p>
    <w:p>
      <w:pPr>
        <w:spacing w:after="0" w:line="279"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Income Tax Benefit</w:t>
      </w:r>
    </w:p>
    <w:p>
      <w:pPr>
        <w:spacing w:after="0" w:line="117" w:lineRule="exact"/>
        <w:rPr>
          <w:sz w:val="20"/>
          <w:szCs w:val="20"/>
          <w:color w:val="auto"/>
        </w:rPr>
      </w:pPr>
    </w:p>
    <w:p>
      <w:pPr>
        <w:ind w:right="100" w:firstLine="405"/>
        <w:spacing w:after="0" w:line="277" w:lineRule="auto"/>
        <w:rPr>
          <w:sz w:val="20"/>
          <w:szCs w:val="20"/>
          <w:color w:val="auto"/>
        </w:rPr>
      </w:pPr>
      <w:r>
        <w:rPr>
          <w:rFonts w:ascii="Arial" w:cs="Arial" w:eastAsia="Arial" w:hAnsi="Arial"/>
          <w:sz w:val="18"/>
          <w:szCs w:val="18"/>
          <w:color w:val="auto"/>
        </w:rPr>
        <w:t>For the six months ended June 30, 2018, we recognized an income tax benefit of 0.1 million due to the utilization of net operating loss carryforwards to offset taxable income during the period.</w:t>
      </w:r>
    </w:p>
    <w:p>
      <w:pPr>
        <w:spacing w:after="0" w:line="279"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Net Income/(Loss) From Continuing Operations</w:t>
      </w:r>
    </w:p>
    <w:p>
      <w:pPr>
        <w:spacing w:after="0" w:line="360" w:lineRule="exact"/>
        <w:rPr>
          <w:sz w:val="20"/>
          <w:szCs w:val="20"/>
          <w:color w:val="auto"/>
        </w:rPr>
      </w:pPr>
    </w:p>
    <w:p>
      <w:pPr>
        <w:jc w:val="both"/>
        <w:ind w:right="40" w:firstLine="432"/>
        <w:spacing w:after="0" w:line="259" w:lineRule="auto"/>
        <w:rPr>
          <w:sz w:val="20"/>
          <w:szCs w:val="20"/>
          <w:color w:val="auto"/>
        </w:rPr>
      </w:pPr>
      <w:r>
        <w:rPr>
          <w:rFonts w:ascii="Arial" w:cs="Arial" w:eastAsia="Arial" w:hAnsi="Arial"/>
          <w:sz w:val="18"/>
          <w:szCs w:val="18"/>
          <w:color w:val="auto"/>
        </w:rPr>
        <w:t>During the six months ended June 30, 2018, we recognized income from continuing operations before income taxes of $1.1 million compared to a loss from continuing operations before income taxes of $0.7 million for the six months ended June 30, 2017. After tax, our net income from continuing operations was $1.2 million for the six months ended June 30, 2018, compared to a net loss from continuing operations of $0.8 million for the six months ended June 30, 2017.</w:t>
      </w:r>
    </w:p>
    <w:p>
      <w:pPr>
        <w:spacing w:after="0" w:line="295"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Net Loss From Discontinued Operations</w:t>
      </w:r>
    </w:p>
    <w:p>
      <w:pPr>
        <w:spacing w:after="0" w:line="360" w:lineRule="exact"/>
        <w:rPr>
          <w:sz w:val="20"/>
          <w:szCs w:val="20"/>
          <w:color w:val="auto"/>
        </w:rPr>
      </w:pPr>
    </w:p>
    <w:p>
      <w:pPr>
        <w:ind w:right="240" w:firstLine="432"/>
        <w:spacing w:after="0" w:line="342" w:lineRule="auto"/>
        <w:rPr>
          <w:sz w:val="20"/>
          <w:szCs w:val="20"/>
          <w:color w:val="auto"/>
        </w:rPr>
      </w:pPr>
      <w:r>
        <w:rPr>
          <w:rFonts w:ascii="Arial" w:cs="Arial" w:eastAsia="Arial" w:hAnsi="Arial"/>
          <w:sz w:val="16"/>
          <w:szCs w:val="16"/>
          <w:color w:val="auto"/>
        </w:rPr>
        <w:t>For the six months ended June 30, 2017, our net loss from discontinued operations of $0.8 million represented the operating results of our high speed optical receivers business, which was sold in August 2017. There were no results from discontinued operations for the six months ended June 30, 2018.</w:t>
      </w:r>
    </w:p>
    <w:p>
      <w:pPr>
        <w:spacing w:after="0" w:line="200" w:lineRule="exact"/>
        <w:rPr>
          <w:sz w:val="20"/>
          <w:szCs w:val="20"/>
          <w:color w:val="auto"/>
        </w:rPr>
      </w:pPr>
    </w:p>
    <w:p>
      <w:pPr>
        <w:spacing w:after="0" w:line="24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Liquidity and Capital Resources</w:t>
      </w:r>
    </w:p>
    <w:p>
      <w:pPr>
        <w:spacing w:after="0" w:line="121" w:lineRule="exact"/>
        <w:rPr>
          <w:sz w:val="20"/>
          <w:szCs w:val="20"/>
          <w:color w:val="auto"/>
        </w:rPr>
      </w:pPr>
    </w:p>
    <w:p>
      <w:pPr>
        <w:ind w:left="440"/>
        <w:spacing w:after="0"/>
        <w:rPr>
          <w:sz w:val="20"/>
          <w:szCs w:val="20"/>
          <w:color w:val="auto"/>
        </w:rPr>
      </w:pPr>
      <w:r>
        <w:rPr>
          <w:rFonts w:ascii="Arial" w:cs="Arial" w:eastAsia="Arial" w:hAnsi="Arial"/>
          <w:sz w:val="18"/>
          <w:szCs w:val="18"/>
          <w:color w:val="auto"/>
        </w:rPr>
        <w:t>At June 30, 2018, our total cash and cash equivalents were $33.3 million.</w:t>
      </w:r>
    </w:p>
    <w:p>
      <w:pPr>
        <w:spacing w:after="0" w:line="333" w:lineRule="exact"/>
        <w:rPr>
          <w:sz w:val="20"/>
          <w:szCs w:val="20"/>
          <w:color w:val="auto"/>
        </w:rPr>
      </w:pPr>
    </w:p>
    <w:p>
      <w:pPr>
        <w:ind w:right="60" w:firstLine="432"/>
        <w:spacing w:after="0" w:line="297" w:lineRule="auto"/>
        <w:rPr>
          <w:sz w:val="20"/>
          <w:szCs w:val="20"/>
          <w:color w:val="auto"/>
        </w:rPr>
      </w:pPr>
      <w:r>
        <w:rPr>
          <w:rFonts w:ascii="Arial" w:cs="Arial" w:eastAsia="Arial" w:hAnsi="Arial"/>
          <w:sz w:val="16"/>
          <w:szCs w:val="16"/>
          <w:color w:val="auto"/>
        </w:rPr>
        <w:t>We currently have a Loan and Security Agreement with Silicon Valley Bank ("SVB") under which we have two term loans with an aggregate original borrowing amount of $7.0 million. As of June 30, 2018, these term loans had an aggregate outstanding principal balance of $1.5 million. One term loan, with a balance of $0.2 million as of June 30, 2018, matures on December 1, 2018. The other term loan, with a balance of $1.4 million as of June 30, 2018, matures on May 1, 2019. The term loans bear interest at a floating rate of prime plus 2%. We may prepay amounts due under the term loans at any time, subject to prepayment penalties of up to 2% of the amount of prepayment. Amounts due under the term loans are secured by substantially</w:t>
      </w:r>
    </w:p>
    <w:p>
      <w:pPr>
        <w:spacing w:after="0" w:line="18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30</w:t>
      </w:r>
    </w:p>
    <w:p>
      <w:pPr>
        <w:sectPr>
          <w:pgSz w:w="11900" w:h="16838" w:orient="portrait"/>
          <w:cols w:equalWidth="0" w:num="1">
            <w:col w:w="11420"/>
          </w:cols>
          <w:pgMar w:left="240" w:top="114" w:right="239" w:bottom="1440" w:gutter="0" w:footer="0" w:header="0"/>
        </w:sectPr>
      </w:pPr>
    </w:p>
    <w:bookmarkStart w:id="30" w:name="page31"/>
    <w:bookmarkEnd w:id="30"/>
    <w:p>
      <w:pPr>
        <w:spacing w:after="0"/>
        <w:rPr>
          <w:rFonts w:ascii="Arial" w:cs="Arial" w:eastAsia="Arial" w:hAnsi="Arial"/>
          <w:sz w:val="14"/>
          <w:szCs w:val="14"/>
          <w:b w:val="1"/>
          <w:bCs w:val="1"/>
          <w:u w:val="single" w:color="auto"/>
          <w:color w:val="0000EE"/>
        </w:rPr>
      </w:pPr>
      <w:hyperlink w:anchor="page2">
        <w:r>
          <w:rPr>
            <w:rFonts w:ascii="Arial" w:cs="Arial" w:eastAsia="Arial" w:hAnsi="Arial"/>
            <w:sz w:val="14"/>
            <w:szCs w:val="14"/>
            <w:b w:val="1"/>
            <w:bCs w:val="1"/>
            <w:u w:val="single" w:color="auto"/>
            <w:color w:val="0000EE"/>
          </w:rPr>
          <w:t>Table of Contents</w:t>
        </w:r>
      </w:hyperlink>
    </w:p>
    <w:p>
      <w:pPr>
        <w:spacing w:after="0" w:line="252" w:lineRule="exact"/>
        <w:rPr>
          <w:sz w:val="20"/>
          <w:szCs w:val="20"/>
          <w:color w:val="auto"/>
        </w:rPr>
      </w:pPr>
    </w:p>
    <w:p>
      <w:pPr>
        <w:ind w:right="140"/>
        <w:spacing w:after="0" w:line="273" w:lineRule="auto"/>
        <w:rPr>
          <w:sz w:val="20"/>
          <w:szCs w:val="20"/>
          <w:color w:val="auto"/>
        </w:rPr>
      </w:pPr>
      <w:r>
        <w:rPr>
          <w:rFonts w:ascii="Arial" w:cs="Arial" w:eastAsia="Arial" w:hAnsi="Arial"/>
          <w:sz w:val="17"/>
          <w:szCs w:val="17"/>
          <w:color w:val="auto"/>
        </w:rPr>
        <w:t>all of our assets, including intellectual property, personal property and bank accounts. The term loans contain customary events of default, including nonpayment of principal, interest or other amounts, violation of covenants, material adverse change, an event of default under any subordinated debt documents, incorrectness of representations and warranties in any material respect, bankruptcy, judgments in excess of a threshold amount, and violations of other agreements in excess of a threshold amount. If any event of default occurs, SVB may declare due immediately all borrowings under the credit facility and foreclose on the collateral. Furthermore, an event of default under the credit facility would result in an increase in the interest rate on any amounts outstanding. As of June 30, 2018, we were in compliance with all covenants under the Loan and Security Agreement.</w:t>
      </w:r>
    </w:p>
    <w:p>
      <w:pPr>
        <w:spacing w:after="0" w:line="178" w:lineRule="exact"/>
        <w:rPr>
          <w:sz w:val="20"/>
          <w:szCs w:val="20"/>
          <w:color w:val="auto"/>
        </w:rPr>
      </w:pPr>
    </w:p>
    <w:p>
      <w:pPr>
        <w:ind w:right="360" w:firstLine="432"/>
        <w:spacing w:after="0" w:line="264" w:lineRule="auto"/>
        <w:rPr>
          <w:sz w:val="20"/>
          <w:szCs w:val="20"/>
          <w:color w:val="auto"/>
        </w:rPr>
      </w:pPr>
      <w:r>
        <w:rPr>
          <w:rFonts w:ascii="Arial" w:cs="Arial" w:eastAsia="Arial" w:hAnsi="Arial"/>
          <w:sz w:val="18"/>
          <w:szCs w:val="18"/>
          <w:color w:val="auto"/>
        </w:rPr>
        <w:t>We believe that our cash balance as of June 30, 2018 will provide adequate liquidity for us to meet our working capital needs over the next twelve months. Additionally, we believe that should we have the need for increased capital spending to support our planned growth, we will be able to fund such growth through either third-party financing on competitive market terms or through our available cash.</w:t>
      </w:r>
    </w:p>
    <w:p>
      <w:pPr>
        <w:spacing w:after="0" w:line="39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Discussion of Cash Flows</w:t>
      </w:r>
    </w:p>
    <w:p>
      <w:pPr>
        <w:spacing w:after="0" w:line="162"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Recent Activity</w:t>
      </w:r>
    </w:p>
    <w:p>
      <w:pPr>
        <w:spacing w:after="0" w:line="244"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6740" w:type="dxa"/>
            <w:vAlign w:val="bottom"/>
          </w:tcPr>
          <w:p>
            <w:pPr>
              <w:spacing w:after="0"/>
              <w:rPr>
                <w:sz w:val="16"/>
                <w:szCs w:val="16"/>
                <w:color w:val="auto"/>
              </w:rPr>
            </w:pPr>
          </w:p>
        </w:tc>
        <w:tc>
          <w:tcPr>
            <w:tcW w:w="360" w:type="dxa"/>
            <w:vAlign w:val="bottom"/>
          </w:tcPr>
          <w:p>
            <w:pPr>
              <w:spacing w:after="0"/>
              <w:rPr>
                <w:sz w:val="16"/>
                <w:szCs w:val="16"/>
                <w:color w:val="auto"/>
              </w:rPr>
            </w:pPr>
          </w:p>
        </w:tc>
        <w:tc>
          <w:tcPr>
            <w:tcW w:w="3060" w:type="dxa"/>
            <w:vAlign w:val="bottom"/>
            <w:gridSpan w:val="5"/>
          </w:tcPr>
          <w:p>
            <w:pPr>
              <w:ind w:left="480"/>
              <w:spacing w:after="0"/>
              <w:rPr>
                <w:sz w:val="20"/>
                <w:szCs w:val="20"/>
                <w:color w:val="auto"/>
              </w:rPr>
            </w:pPr>
            <w:r>
              <w:rPr>
                <w:rFonts w:ascii="Arial" w:cs="Arial" w:eastAsia="Arial" w:hAnsi="Arial"/>
                <w:sz w:val="14"/>
                <w:szCs w:val="14"/>
                <w:b w:val="1"/>
                <w:bCs w:val="1"/>
                <w:color w:val="auto"/>
              </w:rPr>
              <w:t>Six Months Ended June 30,</w:t>
            </w:r>
          </w:p>
        </w:tc>
        <w:tc>
          <w:tcPr>
            <w:tcW w:w="200" w:type="dxa"/>
            <w:vAlign w:val="bottom"/>
          </w:tcPr>
          <w:p>
            <w:pPr>
              <w:spacing w:after="0"/>
              <w:rPr>
                <w:sz w:val="16"/>
                <w:szCs w:val="16"/>
                <w:color w:val="auto"/>
              </w:rPr>
            </w:pPr>
          </w:p>
        </w:tc>
        <w:tc>
          <w:tcPr>
            <w:tcW w:w="1060" w:type="dxa"/>
            <w:vAlign w:val="bottom"/>
          </w:tcPr>
          <w:p>
            <w:pPr>
              <w:spacing w:after="0"/>
              <w:rPr>
                <w:sz w:val="16"/>
                <w:szCs w:val="16"/>
                <w:color w:val="auto"/>
              </w:rPr>
            </w:pPr>
          </w:p>
        </w:tc>
      </w:tr>
      <w:tr>
        <w:trPr>
          <w:trHeight w:val="264"/>
        </w:trPr>
        <w:tc>
          <w:tcPr>
            <w:tcW w:w="6740" w:type="dxa"/>
            <w:vAlign w:val="bottom"/>
            <w:tcBorders>
              <w:bottom w:val="single" w:sz="8" w:color="CCEEFF"/>
            </w:tcBorders>
          </w:tcPr>
          <w:p>
            <w:pPr>
              <w:spacing w:after="0"/>
              <w:rPr>
                <w:sz w:val="22"/>
                <w:szCs w:val="22"/>
                <w:color w:val="auto"/>
              </w:rPr>
            </w:pPr>
          </w:p>
        </w:tc>
        <w:tc>
          <w:tcPr>
            <w:tcW w:w="360" w:type="dxa"/>
            <w:vAlign w:val="bottom"/>
            <w:tcBorders>
              <w:top w:val="single" w:sz="8" w:color="auto"/>
              <w:bottom w:val="single" w:sz="8" w:color="auto"/>
            </w:tcBorders>
          </w:tcPr>
          <w:p>
            <w:pPr>
              <w:spacing w:after="0"/>
              <w:rPr>
                <w:sz w:val="22"/>
                <w:szCs w:val="22"/>
                <w:color w:val="auto"/>
              </w:rPr>
            </w:pPr>
          </w:p>
        </w:tc>
        <w:tc>
          <w:tcPr>
            <w:tcW w:w="1140" w:type="dxa"/>
            <w:vAlign w:val="bottom"/>
            <w:tcBorders>
              <w:top w:val="single" w:sz="8" w:color="auto"/>
              <w:bottom w:val="single" w:sz="8" w:color="auto"/>
            </w:tcBorders>
          </w:tcPr>
          <w:p>
            <w:pPr>
              <w:jc w:val="right"/>
              <w:ind w:right="516"/>
              <w:spacing w:after="0"/>
              <w:rPr>
                <w:sz w:val="20"/>
                <w:szCs w:val="20"/>
                <w:color w:val="auto"/>
              </w:rPr>
            </w:pPr>
            <w:r>
              <w:rPr>
                <w:rFonts w:ascii="Arial" w:cs="Arial" w:eastAsia="Arial" w:hAnsi="Arial"/>
                <w:sz w:val="14"/>
                <w:szCs w:val="14"/>
                <w:b w:val="1"/>
                <w:bCs w:val="1"/>
                <w:color w:val="auto"/>
              </w:rPr>
              <w:t>2018</w:t>
            </w:r>
          </w:p>
        </w:tc>
        <w:tc>
          <w:tcPr>
            <w:tcW w:w="220" w:type="dxa"/>
            <w:vAlign w:val="bottom"/>
            <w:tcBorders>
              <w:top w:val="single" w:sz="8" w:color="auto"/>
              <w:bottom w:val="single" w:sz="8" w:color="CCEEFF"/>
            </w:tcBorders>
          </w:tcPr>
          <w:p>
            <w:pPr>
              <w:spacing w:after="0"/>
              <w:rPr>
                <w:sz w:val="22"/>
                <w:szCs w:val="22"/>
                <w:color w:val="auto"/>
              </w:rPr>
            </w:pPr>
          </w:p>
        </w:tc>
        <w:tc>
          <w:tcPr>
            <w:tcW w:w="380" w:type="dxa"/>
            <w:vAlign w:val="bottom"/>
            <w:tcBorders>
              <w:top w:val="single" w:sz="8" w:color="auto"/>
              <w:bottom w:val="single" w:sz="8" w:color="auto"/>
            </w:tcBorders>
          </w:tcPr>
          <w:p>
            <w:pPr>
              <w:spacing w:after="0"/>
              <w:rPr>
                <w:sz w:val="22"/>
                <w:szCs w:val="22"/>
                <w:color w:val="auto"/>
              </w:rPr>
            </w:pPr>
          </w:p>
        </w:tc>
        <w:tc>
          <w:tcPr>
            <w:tcW w:w="1220" w:type="dxa"/>
            <w:vAlign w:val="bottom"/>
            <w:tcBorders>
              <w:top w:val="single" w:sz="8" w:color="auto"/>
              <w:bottom w:val="single" w:sz="8" w:color="auto"/>
            </w:tcBorders>
          </w:tcPr>
          <w:p>
            <w:pPr>
              <w:jc w:val="right"/>
              <w:ind w:right="574"/>
              <w:spacing w:after="0"/>
              <w:rPr>
                <w:sz w:val="20"/>
                <w:szCs w:val="20"/>
                <w:color w:val="auto"/>
              </w:rPr>
            </w:pPr>
            <w:r>
              <w:rPr>
                <w:rFonts w:ascii="Arial" w:cs="Arial" w:eastAsia="Arial" w:hAnsi="Arial"/>
                <w:sz w:val="14"/>
                <w:szCs w:val="14"/>
                <w:b w:val="1"/>
                <w:bCs w:val="1"/>
                <w:color w:val="auto"/>
              </w:rPr>
              <w:t>2017</w:t>
            </w:r>
          </w:p>
        </w:tc>
        <w:tc>
          <w:tcPr>
            <w:tcW w:w="100" w:type="dxa"/>
            <w:vAlign w:val="bottom"/>
            <w:tcBorders>
              <w:bottom w:val="single" w:sz="8" w:color="CCEEFF"/>
            </w:tcBorders>
          </w:tcPr>
          <w:p>
            <w:pPr>
              <w:spacing w:after="0"/>
              <w:rPr>
                <w:sz w:val="22"/>
                <w:szCs w:val="22"/>
                <w:color w:val="auto"/>
              </w:rPr>
            </w:pPr>
          </w:p>
        </w:tc>
        <w:tc>
          <w:tcPr>
            <w:tcW w:w="200" w:type="dxa"/>
            <w:vAlign w:val="bottom"/>
            <w:tcBorders>
              <w:bottom w:val="single" w:sz="8" w:color="auto"/>
            </w:tcBorders>
          </w:tcPr>
          <w:p>
            <w:pPr>
              <w:spacing w:after="0"/>
              <w:rPr>
                <w:sz w:val="22"/>
                <w:szCs w:val="22"/>
                <w:color w:val="auto"/>
              </w:rPr>
            </w:pPr>
          </w:p>
        </w:tc>
        <w:tc>
          <w:tcPr>
            <w:tcW w:w="1060" w:type="dxa"/>
            <w:vAlign w:val="bottom"/>
            <w:tcBorders>
              <w:bottom w:val="single" w:sz="8" w:color="auto"/>
            </w:tcBorders>
          </w:tcPr>
          <w:p>
            <w:pPr>
              <w:jc w:val="right"/>
              <w:ind w:right="174"/>
              <w:spacing w:after="0"/>
              <w:rPr>
                <w:sz w:val="20"/>
                <w:szCs w:val="20"/>
                <w:color w:val="auto"/>
              </w:rPr>
            </w:pPr>
            <w:r>
              <w:rPr>
                <w:rFonts w:ascii="Arial" w:cs="Arial" w:eastAsia="Arial" w:hAnsi="Arial"/>
                <w:sz w:val="14"/>
                <w:szCs w:val="14"/>
                <w:b w:val="1"/>
                <w:bCs w:val="1"/>
                <w:color w:val="auto"/>
                <w:w w:val="97"/>
              </w:rPr>
              <w:t>$ Difference</w:t>
            </w:r>
          </w:p>
        </w:tc>
      </w:tr>
      <w:tr>
        <w:trPr>
          <w:trHeight w:val="250"/>
        </w:trPr>
        <w:tc>
          <w:tcPr>
            <w:tcW w:w="674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Net cash used in operating activities</w:t>
            </w:r>
          </w:p>
        </w:tc>
        <w:tc>
          <w:tcPr>
            <w:tcW w:w="36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w w:val="99"/>
              </w:rPr>
              <w:t>$</w:t>
            </w:r>
          </w:p>
        </w:tc>
        <w:tc>
          <w:tcPr>
            <w:tcW w:w="1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(2,737,022)</w:t>
            </w:r>
          </w:p>
        </w:tc>
        <w:tc>
          <w:tcPr>
            <w:tcW w:w="220" w:type="dxa"/>
            <w:vAlign w:val="bottom"/>
            <w:tcBorders>
              <w:bottom w:val="single" w:sz="8" w:color="CCEEFF"/>
            </w:tcBorders>
            <w:shd w:val="clear" w:color="auto" w:fill="CCEEFF"/>
          </w:tcPr>
          <w:p>
            <w:pPr>
              <w:spacing w:after="0"/>
              <w:rPr>
                <w:sz w:val="21"/>
                <w:szCs w:val="21"/>
                <w:color w:val="auto"/>
              </w:rPr>
            </w:pPr>
          </w:p>
        </w:tc>
        <w:tc>
          <w:tcPr>
            <w:tcW w:w="380" w:type="dxa"/>
            <w:vAlign w:val="bottom"/>
            <w:tcBorders>
              <w:bottom w:val="single" w:sz="8" w:color="CCEEFF"/>
            </w:tcBorders>
            <w:shd w:val="clear" w:color="auto" w:fill="CCEEFF"/>
          </w:tcPr>
          <w:p>
            <w:pPr>
              <w:jc w:val="right"/>
              <w:ind w:right="170"/>
              <w:spacing w:after="0"/>
              <w:rPr>
                <w:sz w:val="20"/>
                <w:szCs w:val="20"/>
                <w:color w:val="auto"/>
              </w:rPr>
            </w:pPr>
            <w:r>
              <w:rPr>
                <w:rFonts w:ascii="Arial" w:cs="Arial" w:eastAsia="Arial" w:hAnsi="Arial"/>
                <w:sz w:val="18"/>
                <w:szCs w:val="18"/>
                <w:color w:val="auto"/>
                <w:w w:val="99"/>
              </w:rPr>
              <w:t>$</w:t>
            </w:r>
          </w:p>
        </w:tc>
        <w:tc>
          <w:tcPr>
            <w:tcW w:w="12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(314,321)</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0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(2,422,701)</w:t>
            </w:r>
          </w:p>
        </w:tc>
      </w:tr>
      <w:tr>
        <w:trPr>
          <w:trHeight w:val="243"/>
        </w:trPr>
        <w:tc>
          <w:tcPr>
            <w:tcW w:w="6740" w:type="dxa"/>
            <w:vAlign w:val="bottom"/>
          </w:tcPr>
          <w:p>
            <w:pPr>
              <w:ind w:left="380"/>
              <w:spacing w:after="0"/>
              <w:rPr>
                <w:sz w:val="20"/>
                <w:szCs w:val="20"/>
                <w:color w:val="auto"/>
              </w:rPr>
            </w:pPr>
            <w:r>
              <w:rPr>
                <w:rFonts w:ascii="Arial" w:cs="Arial" w:eastAsia="Arial" w:hAnsi="Arial"/>
                <w:sz w:val="18"/>
                <w:szCs w:val="18"/>
                <w:color w:val="auto"/>
              </w:rPr>
              <w:t>Net cash used in investing activities</w:t>
            </w:r>
          </w:p>
        </w:tc>
        <w:tc>
          <w:tcPr>
            <w:tcW w:w="360" w:type="dxa"/>
            <w:vAlign w:val="bottom"/>
          </w:tcPr>
          <w:p>
            <w:pPr>
              <w:spacing w:after="0"/>
              <w:rPr>
                <w:sz w:val="21"/>
                <w:szCs w:val="21"/>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(382,921)</w:t>
            </w:r>
          </w:p>
        </w:tc>
        <w:tc>
          <w:tcPr>
            <w:tcW w:w="22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1220" w:type="dxa"/>
            <w:vAlign w:val="bottom"/>
          </w:tcPr>
          <w:p>
            <w:pPr>
              <w:jc w:val="right"/>
              <w:spacing w:after="0"/>
              <w:rPr>
                <w:sz w:val="20"/>
                <w:szCs w:val="20"/>
                <w:color w:val="auto"/>
              </w:rPr>
            </w:pPr>
            <w:r>
              <w:rPr>
                <w:rFonts w:ascii="Arial" w:cs="Arial" w:eastAsia="Arial" w:hAnsi="Arial"/>
                <w:sz w:val="18"/>
                <w:szCs w:val="18"/>
                <w:color w:val="auto"/>
              </w:rPr>
              <w:t>(1,112,159)</w:t>
            </w: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060" w:type="dxa"/>
            <w:vAlign w:val="bottom"/>
          </w:tcPr>
          <w:p>
            <w:pPr>
              <w:jc w:val="right"/>
              <w:ind w:right="14"/>
              <w:spacing w:after="0"/>
              <w:rPr>
                <w:sz w:val="20"/>
                <w:szCs w:val="20"/>
                <w:color w:val="auto"/>
              </w:rPr>
            </w:pPr>
            <w:r>
              <w:rPr>
                <w:rFonts w:ascii="Arial" w:cs="Arial" w:eastAsia="Arial" w:hAnsi="Arial"/>
                <w:sz w:val="18"/>
                <w:szCs w:val="18"/>
                <w:color w:val="auto"/>
              </w:rPr>
              <w:t>729,238</w:t>
            </w:r>
          </w:p>
        </w:tc>
      </w:tr>
      <w:tr>
        <w:trPr>
          <w:trHeight w:val="27"/>
        </w:trPr>
        <w:tc>
          <w:tcPr>
            <w:tcW w:w="674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220" w:type="dxa"/>
            <w:vAlign w:val="bottom"/>
          </w:tcPr>
          <w:p>
            <w:pPr>
              <w:spacing w:after="0"/>
              <w:rPr>
                <w:sz w:val="2"/>
                <w:szCs w:val="2"/>
                <w:color w:val="auto"/>
              </w:rPr>
            </w:pPr>
          </w:p>
        </w:tc>
        <w:tc>
          <w:tcPr>
            <w:tcW w:w="38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060" w:type="dxa"/>
            <w:vAlign w:val="bottom"/>
          </w:tcPr>
          <w:p>
            <w:pPr>
              <w:spacing w:after="0"/>
              <w:rPr>
                <w:sz w:val="2"/>
                <w:szCs w:val="2"/>
                <w:color w:val="auto"/>
              </w:rPr>
            </w:pPr>
          </w:p>
        </w:tc>
      </w:tr>
      <w:tr>
        <w:trPr>
          <w:trHeight w:val="270"/>
        </w:trPr>
        <w:tc>
          <w:tcPr>
            <w:tcW w:w="674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Net cash used in financing activities</w:t>
            </w:r>
          </w:p>
        </w:tc>
        <w:tc>
          <w:tcPr>
            <w:tcW w:w="360" w:type="dxa"/>
            <w:vAlign w:val="bottom"/>
            <w:tcBorders>
              <w:bottom w:val="single" w:sz="8" w:color="CCEEFF"/>
            </w:tcBorders>
            <w:shd w:val="clear" w:color="auto" w:fill="CCEEFF"/>
          </w:tcPr>
          <w:p>
            <w:pPr>
              <w:spacing w:after="0"/>
              <w:rPr>
                <w:sz w:val="23"/>
                <w:szCs w:val="23"/>
                <w:color w:val="auto"/>
              </w:rPr>
            </w:pPr>
          </w:p>
        </w:tc>
        <w:tc>
          <w:tcPr>
            <w:tcW w:w="1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(568,790)</w:t>
            </w:r>
          </w:p>
        </w:tc>
        <w:tc>
          <w:tcPr>
            <w:tcW w:w="220" w:type="dxa"/>
            <w:vAlign w:val="bottom"/>
            <w:tcBorders>
              <w:bottom w:val="single" w:sz="8" w:color="CCEEFF"/>
            </w:tcBorders>
            <w:shd w:val="clear" w:color="auto" w:fill="CCEEFF"/>
          </w:tcPr>
          <w:p>
            <w:pPr>
              <w:spacing w:after="0"/>
              <w:rPr>
                <w:sz w:val="23"/>
                <w:szCs w:val="23"/>
                <w:color w:val="auto"/>
              </w:rPr>
            </w:pPr>
          </w:p>
        </w:tc>
        <w:tc>
          <w:tcPr>
            <w:tcW w:w="380" w:type="dxa"/>
            <w:vAlign w:val="bottom"/>
            <w:tcBorders>
              <w:bottom w:val="single" w:sz="8" w:color="CCEEFF"/>
            </w:tcBorders>
            <w:shd w:val="clear" w:color="auto" w:fill="CCEEFF"/>
          </w:tcPr>
          <w:p>
            <w:pPr>
              <w:spacing w:after="0"/>
              <w:rPr>
                <w:sz w:val="23"/>
                <w:szCs w:val="23"/>
                <w:color w:val="auto"/>
              </w:rPr>
            </w:pPr>
          </w:p>
        </w:tc>
        <w:tc>
          <w:tcPr>
            <w:tcW w:w="12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(1,084,723)</w:t>
            </w:r>
          </w:p>
        </w:tc>
        <w:tc>
          <w:tcPr>
            <w:tcW w:w="100" w:type="dxa"/>
            <w:vAlign w:val="bottom"/>
            <w:tcBorders>
              <w:bottom w:val="single" w:sz="8" w:color="CCEEFF"/>
            </w:tcBorders>
            <w:shd w:val="clear" w:color="auto" w:fill="CCEEFF"/>
          </w:tcPr>
          <w:p>
            <w:pPr>
              <w:spacing w:after="0"/>
              <w:rPr>
                <w:sz w:val="23"/>
                <w:szCs w:val="23"/>
                <w:color w:val="auto"/>
              </w:rPr>
            </w:pPr>
          </w:p>
        </w:tc>
        <w:tc>
          <w:tcPr>
            <w:tcW w:w="200" w:type="dxa"/>
            <w:vAlign w:val="bottom"/>
            <w:tcBorders>
              <w:bottom w:val="single" w:sz="8" w:color="CCEEFF"/>
            </w:tcBorders>
            <w:shd w:val="clear" w:color="auto" w:fill="CCEEFF"/>
          </w:tcPr>
          <w:p>
            <w:pPr>
              <w:spacing w:after="0"/>
              <w:rPr>
                <w:sz w:val="23"/>
                <w:szCs w:val="23"/>
                <w:color w:val="auto"/>
              </w:rPr>
            </w:pPr>
          </w:p>
        </w:tc>
        <w:tc>
          <w:tcPr>
            <w:tcW w:w="106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515,933</w:t>
            </w:r>
          </w:p>
        </w:tc>
      </w:tr>
      <w:tr>
        <w:trPr>
          <w:trHeight w:val="237"/>
        </w:trPr>
        <w:tc>
          <w:tcPr>
            <w:tcW w:w="6740" w:type="dxa"/>
            <w:vAlign w:val="bottom"/>
          </w:tcPr>
          <w:p>
            <w:pPr>
              <w:ind w:left="40"/>
              <w:spacing w:after="0"/>
              <w:rPr>
                <w:sz w:val="20"/>
                <w:szCs w:val="20"/>
                <w:color w:val="auto"/>
              </w:rPr>
            </w:pPr>
            <w:r>
              <w:rPr>
                <w:rFonts w:ascii="Arial" w:cs="Arial" w:eastAsia="Arial" w:hAnsi="Arial"/>
                <w:sz w:val="18"/>
                <w:szCs w:val="18"/>
                <w:color w:val="auto"/>
              </w:rPr>
              <w:t>Net decrease in cash and cash equivalents</w:t>
            </w:r>
          </w:p>
        </w:tc>
        <w:tc>
          <w:tcPr>
            <w:tcW w:w="360" w:type="dxa"/>
            <w:vAlign w:val="bottom"/>
            <w:tcBorders>
              <w:top w:val="single" w:sz="8" w:color="auto"/>
            </w:tcBorders>
          </w:tcPr>
          <w:p>
            <w:pPr>
              <w:jc w:val="right"/>
              <w:ind w:right="150"/>
              <w:spacing w:after="0"/>
              <w:rPr>
                <w:sz w:val="20"/>
                <w:szCs w:val="20"/>
                <w:color w:val="auto"/>
              </w:rPr>
            </w:pPr>
            <w:r>
              <w:rPr>
                <w:rFonts w:ascii="Arial" w:cs="Arial" w:eastAsia="Arial" w:hAnsi="Arial"/>
                <w:sz w:val="18"/>
                <w:szCs w:val="18"/>
                <w:color w:val="auto"/>
                <w:w w:val="99"/>
              </w:rPr>
              <w:t>$</w:t>
            </w:r>
          </w:p>
        </w:tc>
        <w:tc>
          <w:tcPr>
            <w:tcW w:w="11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(3,688,733)</w:t>
            </w:r>
          </w:p>
        </w:tc>
        <w:tc>
          <w:tcPr>
            <w:tcW w:w="220" w:type="dxa"/>
            <w:vAlign w:val="bottom"/>
          </w:tcPr>
          <w:p>
            <w:pPr>
              <w:spacing w:after="0"/>
              <w:rPr>
                <w:sz w:val="20"/>
                <w:szCs w:val="20"/>
                <w:color w:val="auto"/>
              </w:rPr>
            </w:pPr>
          </w:p>
        </w:tc>
        <w:tc>
          <w:tcPr>
            <w:tcW w:w="380" w:type="dxa"/>
            <w:vAlign w:val="bottom"/>
            <w:tcBorders>
              <w:top w:val="single" w:sz="8" w:color="auto"/>
            </w:tcBorders>
          </w:tcPr>
          <w:p>
            <w:pPr>
              <w:jc w:val="right"/>
              <w:ind w:right="170"/>
              <w:spacing w:after="0"/>
              <w:rPr>
                <w:sz w:val="20"/>
                <w:szCs w:val="20"/>
                <w:color w:val="auto"/>
              </w:rPr>
            </w:pPr>
            <w:r>
              <w:rPr>
                <w:rFonts w:ascii="Arial" w:cs="Arial" w:eastAsia="Arial" w:hAnsi="Arial"/>
                <w:sz w:val="18"/>
                <w:szCs w:val="18"/>
                <w:color w:val="auto"/>
                <w:w w:val="99"/>
              </w:rPr>
              <w:t>$</w:t>
            </w:r>
          </w:p>
        </w:tc>
        <w:tc>
          <w:tcPr>
            <w:tcW w:w="12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(2,511,203)</w:t>
            </w:r>
          </w:p>
        </w:tc>
        <w:tc>
          <w:tcPr>
            <w:tcW w:w="100" w:type="dxa"/>
            <w:vAlign w:val="bottom"/>
          </w:tcPr>
          <w:p>
            <w:pPr>
              <w:spacing w:after="0"/>
              <w:rPr>
                <w:sz w:val="20"/>
                <w:szCs w:val="20"/>
                <w:color w:val="auto"/>
              </w:rPr>
            </w:pPr>
          </w:p>
        </w:tc>
        <w:tc>
          <w:tcPr>
            <w:tcW w:w="2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0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(1,177,530)</w:t>
            </w:r>
          </w:p>
        </w:tc>
      </w:tr>
      <w:tr>
        <w:trPr>
          <w:trHeight w:val="27"/>
        </w:trPr>
        <w:tc>
          <w:tcPr>
            <w:tcW w:w="6740" w:type="dxa"/>
            <w:vAlign w:val="bottom"/>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220" w:type="dxa"/>
            <w:vAlign w:val="bottom"/>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r>
      <w:tr>
        <w:trPr>
          <w:trHeight w:val="20"/>
        </w:trPr>
        <w:tc>
          <w:tcPr>
            <w:tcW w:w="674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12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r>
    </w:tbl>
    <w:p>
      <w:pPr>
        <w:spacing w:after="0" w:line="202" w:lineRule="exact"/>
        <w:rPr>
          <w:sz w:val="20"/>
          <w:szCs w:val="20"/>
          <w:color w:val="auto"/>
        </w:rPr>
      </w:pPr>
    </w:p>
    <w:p>
      <w:pPr>
        <w:ind w:right="20" w:firstLine="432"/>
        <w:spacing w:after="0" w:line="255" w:lineRule="auto"/>
        <w:rPr>
          <w:sz w:val="20"/>
          <w:szCs w:val="20"/>
          <w:color w:val="auto"/>
        </w:rPr>
      </w:pPr>
      <w:r>
        <w:rPr>
          <w:rFonts w:ascii="Arial" w:cs="Arial" w:eastAsia="Arial" w:hAnsi="Arial"/>
          <w:sz w:val="18"/>
          <w:szCs w:val="18"/>
          <w:color w:val="auto"/>
        </w:rPr>
        <w:t>During the first six months of 2018, operations used $2.7 million of cash, as compared to the same period in 2017 in which operations used $0.3 million of cash. During the first six months of 2018, net cash used in operating activities consisted of our net income of $1.2 million, which included non-cash charges for depreciation and amortization of $0.6 million and share-based compensation of $0.2 million, and a net cash outflow of $4.8 million from changes in working capital. The changes in working capital included a decrease in contract liabilities of $2.1 million as a result of the payment of $1.6 million in outstanding claims for excess billed amounts on government research contracts. The changes in working capital also included an increase in accounts receivable of $1.5 million and an increase in contract assets of $0.6 million.</w:t>
      </w:r>
    </w:p>
    <w:p>
      <w:pPr>
        <w:spacing w:after="0" w:line="193" w:lineRule="exact"/>
        <w:rPr>
          <w:sz w:val="20"/>
          <w:szCs w:val="20"/>
          <w:color w:val="auto"/>
        </w:rPr>
      </w:pPr>
    </w:p>
    <w:p>
      <w:pPr>
        <w:ind w:right="220" w:firstLine="432"/>
        <w:spacing w:after="0" w:line="259" w:lineRule="auto"/>
        <w:rPr>
          <w:sz w:val="20"/>
          <w:szCs w:val="20"/>
          <w:color w:val="auto"/>
        </w:rPr>
      </w:pPr>
      <w:r>
        <w:rPr>
          <w:rFonts w:ascii="Arial" w:cs="Arial" w:eastAsia="Arial" w:hAnsi="Arial"/>
          <w:sz w:val="18"/>
          <w:szCs w:val="18"/>
          <w:color w:val="auto"/>
        </w:rPr>
        <w:t>During the first six months of 2017, the $0.3 million of net cash used in operating activities consisted of our net loss of $1.6 million which included non-cash charges for depreciation and amortization of $1.8 million and share-based compensation of $0.3 million. Additionally, changes in working capital resulted in a net cash outflow of $0.9 million, principally driven by a reduction in accounts receivable of $1.4 million, an increase in accounts payable and accrued expenses of $0.9 million, and an increase in inventory of $1.2 million.</w:t>
      </w:r>
    </w:p>
    <w:p>
      <w:pPr>
        <w:spacing w:after="0" w:line="187" w:lineRule="exact"/>
        <w:rPr>
          <w:sz w:val="20"/>
          <w:szCs w:val="20"/>
          <w:color w:val="auto"/>
        </w:rPr>
      </w:pPr>
    </w:p>
    <w:p>
      <w:pPr>
        <w:ind w:right="60" w:firstLine="432"/>
        <w:spacing w:after="0" w:line="259" w:lineRule="auto"/>
        <w:rPr>
          <w:sz w:val="20"/>
          <w:szCs w:val="20"/>
          <w:color w:val="auto"/>
        </w:rPr>
      </w:pPr>
      <w:r>
        <w:rPr>
          <w:rFonts w:ascii="Arial" w:cs="Arial" w:eastAsia="Arial" w:hAnsi="Arial"/>
          <w:sz w:val="18"/>
          <w:szCs w:val="18"/>
          <w:color w:val="auto"/>
        </w:rPr>
        <w:t>Our cash used in investing activities for the six months ended June 30, 2018 and 2017 included purchases of equipment and capitalized costs associated with the prosecution of patents. Cash used in investing activities for the six months ended June 30, 2018 included $0.2 million of fixed asset additions and $0.2 million of capitalized intellectual property costs. Cash used in investing activities for the six months ended June 30, 2017 included fixed asset additions of $0.8 million and capitalized intellectual property costs of $0.3 million.</w:t>
      </w:r>
    </w:p>
    <w:p>
      <w:pPr>
        <w:spacing w:after="0" w:line="187" w:lineRule="exact"/>
        <w:rPr>
          <w:sz w:val="20"/>
          <w:szCs w:val="20"/>
          <w:color w:val="auto"/>
        </w:rPr>
      </w:pPr>
    </w:p>
    <w:p>
      <w:pPr>
        <w:jc w:val="both"/>
        <w:ind w:right="180" w:firstLine="432"/>
        <w:spacing w:after="0" w:line="264" w:lineRule="auto"/>
        <w:rPr>
          <w:sz w:val="20"/>
          <w:szCs w:val="20"/>
          <w:color w:val="auto"/>
        </w:rPr>
      </w:pPr>
      <w:r>
        <w:rPr>
          <w:rFonts w:ascii="Arial" w:cs="Arial" w:eastAsia="Arial" w:hAnsi="Arial"/>
          <w:sz w:val="18"/>
          <w:szCs w:val="18"/>
          <w:color w:val="auto"/>
        </w:rPr>
        <w:t>Net cash used in financing activities during the six months ended June 30, 2018 and 2017 included long term debt repayments of $0.9 million. During the six months ended June 30, 2018 we also repurchased $0.5 million of our common stock on the open market and received proceeds from the exercise of options and warrants of $0.8 million.</w:t>
      </w:r>
    </w:p>
    <w:p>
      <w:pPr>
        <w:spacing w:after="0" w:line="28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Off-Balance Sheet Arrangements</w:t>
      </w:r>
    </w:p>
    <w:p>
      <w:pPr>
        <w:spacing w:after="0" w:line="121" w:lineRule="exact"/>
        <w:rPr>
          <w:sz w:val="20"/>
          <w:szCs w:val="20"/>
          <w:color w:val="auto"/>
        </w:rPr>
      </w:pPr>
    </w:p>
    <w:p>
      <w:pPr>
        <w:ind w:left="440"/>
        <w:spacing w:after="0"/>
        <w:rPr>
          <w:sz w:val="20"/>
          <w:szCs w:val="20"/>
          <w:color w:val="auto"/>
        </w:rPr>
      </w:pPr>
      <w:r>
        <w:rPr>
          <w:rFonts w:ascii="Arial" w:cs="Arial" w:eastAsia="Arial" w:hAnsi="Arial"/>
          <w:sz w:val="18"/>
          <w:szCs w:val="18"/>
          <w:color w:val="auto"/>
        </w:rPr>
        <w:t>We have no material off-balance sheet arrangements as defined in Regulation S-K Item 303(a)(4)(ii).</w:t>
      </w:r>
    </w:p>
    <w:p>
      <w:pPr>
        <w:spacing w:after="0" w:line="25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31</w:t>
      </w:r>
    </w:p>
    <w:p>
      <w:pPr>
        <w:sectPr>
          <w:pgSz w:w="11900" w:h="16838" w:orient="portrait"/>
          <w:cols w:equalWidth="0" w:num="1">
            <w:col w:w="11420"/>
          </w:cols>
          <w:pgMar w:left="240" w:top="118" w:right="239" w:bottom="1440" w:gutter="0" w:footer="0" w:header="0"/>
        </w:sectPr>
      </w:pPr>
    </w:p>
    <w:bookmarkStart w:id="31" w:name="page32"/>
    <w:bookmarkEnd w:id="31"/>
    <w:p>
      <w:pPr>
        <w:spacing w:after="0"/>
        <w:rPr>
          <w:rFonts w:ascii="Arial" w:cs="Arial" w:eastAsia="Arial" w:hAnsi="Arial"/>
          <w:sz w:val="14"/>
          <w:szCs w:val="14"/>
          <w:b w:val="1"/>
          <w:bCs w:val="1"/>
          <w:u w:val="single" w:color="auto"/>
          <w:color w:val="0000EE"/>
        </w:rPr>
      </w:pPr>
      <w:hyperlink w:anchor="page2">
        <w:r>
          <w:rPr>
            <w:rFonts w:ascii="Arial" w:cs="Arial" w:eastAsia="Arial" w:hAnsi="Arial"/>
            <w:sz w:val="14"/>
            <w:szCs w:val="14"/>
            <w:b w:val="1"/>
            <w:bCs w:val="1"/>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26" w:lineRule="exact"/>
        <w:rPr>
          <w:sz w:val="20"/>
          <w:szCs w:val="20"/>
          <w:color w:val="auto"/>
        </w:rPr>
      </w:pPr>
    </w:p>
    <w:p>
      <w:pPr>
        <w:ind w:left="40"/>
        <w:spacing w:after="0"/>
        <w:tabs>
          <w:tab w:leader="none" w:pos="1280" w:val="left"/>
        </w:tabs>
        <w:rPr>
          <w:sz w:val="20"/>
          <w:szCs w:val="20"/>
          <w:color w:val="auto"/>
        </w:rPr>
      </w:pPr>
      <w:r>
        <w:rPr>
          <w:rFonts w:ascii="Arial" w:cs="Arial" w:eastAsia="Arial" w:hAnsi="Arial"/>
          <w:sz w:val="18"/>
          <w:szCs w:val="18"/>
          <w:b w:val="1"/>
          <w:bCs w:val="1"/>
          <w:color w:val="auto"/>
        </w:rPr>
        <w:t>ITEM 3.</w:t>
      </w:r>
      <w:r>
        <w:rPr>
          <w:sz w:val="20"/>
          <w:szCs w:val="20"/>
          <w:color w:val="auto"/>
        </w:rPr>
        <w:tab/>
      </w:r>
      <w:r>
        <w:rPr>
          <w:rFonts w:ascii="Arial" w:cs="Arial" w:eastAsia="Arial" w:hAnsi="Arial"/>
          <w:sz w:val="17"/>
          <w:szCs w:val="17"/>
          <w:b w:val="1"/>
          <w:bCs w:val="1"/>
          <w:i w:val="1"/>
          <w:iCs w:val="1"/>
          <w:color w:val="auto"/>
        </w:rPr>
        <w:t>QUANTITATIVE AND QUALITATIVE DISCLOSURES ABOUT MARKET RISK</w:t>
      </w:r>
    </w:p>
    <w:p>
      <w:pPr>
        <w:spacing w:after="0" w:line="148" w:lineRule="exact"/>
        <w:rPr>
          <w:sz w:val="20"/>
          <w:szCs w:val="20"/>
          <w:color w:val="auto"/>
        </w:rPr>
      </w:pPr>
    </w:p>
    <w:p>
      <w:pPr>
        <w:ind w:firstLine="432"/>
        <w:spacing w:after="0" w:line="264" w:lineRule="auto"/>
        <w:rPr>
          <w:sz w:val="20"/>
          <w:szCs w:val="20"/>
          <w:color w:val="auto"/>
        </w:rPr>
      </w:pPr>
      <w:r>
        <w:rPr>
          <w:rFonts w:ascii="Arial" w:cs="Arial" w:eastAsia="Arial" w:hAnsi="Arial"/>
          <w:sz w:val="18"/>
          <w:szCs w:val="18"/>
          <w:color w:val="auto"/>
        </w:rPr>
        <w:t>Market risk represents the risk of loss that may impact our financial position due to adverse changes in financial market prices and rates. We do not hold or issue financial instruments for trading purposes or have any derivative financial instruments. Our exposure to market risk is limited to interest rate fluctuations due to changes in the general level of U.S. interest rates.</w:t>
      </w:r>
    </w:p>
    <w:p>
      <w:pPr>
        <w:spacing w:after="0" w:line="28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Interest Rate Risk</w:t>
      </w:r>
    </w:p>
    <w:p>
      <w:pPr>
        <w:spacing w:after="0" w:line="121" w:lineRule="exact"/>
        <w:rPr>
          <w:sz w:val="20"/>
          <w:szCs w:val="20"/>
          <w:color w:val="auto"/>
        </w:rPr>
      </w:pPr>
    </w:p>
    <w:p>
      <w:pPr>
        <w:ind w:right="60" w:firstLine="432"/>
        <w:spacing w:after="0" w:line="286" w:lineRule="auto"/>
        <w:rPr>
          <w:sz w:val="20"/>
          <w:szCs w:val="20"/>
          <w:color w:val="auto"/>
        </w:rPr>
      </w:pPr>
      <w:r>
        <w:rPr>
          <w:rFonts w:ascii="Arial" w:cs="Arial" w:eastAsia="Arial" w:hAnsi="Arial"/>
          <w:sz w:val="17"/>
          <w:szCs w:val="17"/>
          <w:color w:val="auto"/>
        </w:rPr>
        <w:t>We do not use derivative financial instruments as a hedge against interest rate fluctuations, and, as a result, interest income earned on our cash and cash equivalents and short-term investments is subject to changes in interest rates. However, we believe that the impact of these fluctuations does not have a material effect on our financial position due to the immediately available liquidity or short-term nature of these financial instruments.</w:t>
      </w:r>
    </w:p>
    <w:p>
      <w:pPr>
        <w:spacing w:after="0" w:line="166" w:lineRule="exact"/>
        <w:rPr>
          <w:sz w:val="20"/>
          <w:szCs w:val="20"/>
          <w:color w:val="auto"/>
        </w:rPr>
      </w:pPr>
    </w:p>
    <w:p>
      <w:pPr>
        <w:ind w:right="20" w:firstLine="432"/>
        <w:spacing w:after="0" w:line="286" w:lineRule="auto"/>
        <w:rPr>
          <w:sz w:val="20"/>
          <w:szCs w:val="20"/>
          <w:color w:val="auto"/>
        </w:rPr>
      </w:pPr>
      <w:r>
        <w:rPr>
          <w:rFonts w:ascii="Arial" w:cs="Arial" w:eastAsia="Arial" w:hAnsi="Arial"/>
          <w:sz w:val="17"/>
          <w:szCs w:val="17"/>
          <w:color w:val="auto"/>
        </w:rPr>
        <w:t>We are exposed to interest rate fluctuations as a result of our term loans with SVB having a variable interest rate. We do not currently use derivative instruments to alter the interest rate characteristics of our debt. For the principal amount of 1.5 million outstanding under the term loans as of June 30, 2018, a change in the interest rate by one percentage point for one year would result in a change in our annual interest expense of $6,000.</w:t>
      </w:r>
    </w:p>
    <w:p>
      <w:pPr>
        <w:spacing w:after="0" w:line="166" w:lineRule="exact"/>
        <w:rPr>
          <w:sz w:val="20"/>
          <w:szCs w:val="20"/>
          <w:color w:val="auto"/>
        </w:rPr>
      </w:pPr>
    </w:p>
    <w:p>
      <w:pPr>
        <w:ind w:right="360" w:firstLine="432"/>
        <w:spacing w:after="0" w:line="286" w:lineRule="auto"/>
        <w:rPr>
          <w:sz w:val="20"/>
          <w:szCs w:val="20"/>
          <w:color w:val="auto"/>
        </w:rPr>
      </w:pPr>
      <w:r>
        <w:rPr>
          <w:rFonts w:ascii="Arial" w:cs="Arial" w:eastAsia="Arial" w:hAnsi="Arial"/>
          <w:sz w:val="17"/>
          <w:szCs w:val="17"/>
          <w:color w:val="auto"/>
        </w:rPr>
        <w:t>Although we believe that this measure is indicative of our sensitivity to interest rate changes, it does not adjust for potential changes in our credit quality, composition of our balance sheet and other business developments that could affect our interest rate exposure. Accordingly, no assurances can be given that actual results would not differ materially from the potential outcome simulated by this estimate.</w:t>
      </w:r>
    </w:p>
    <w:p>
      <w:pPr>
        <w:spacing w:after="0" w:line="27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Foreign Currency Exchange Rate Risk</w:t>
      </w:r>
    </w:p>
    <w:p>
      <w:pPr>
        <w:spacing w:after="0" w:line="121" w:lineRule="exact"/>
        <w:rPr>
          <w:sz w:val="20"/>
          <w:szCs w:val="20"/>
          <w:color w:val="auto"/>
        </w:rPr>
      </w:pPr>
    </w:p>
    <w:p>
      <w:pPr>
        <w:jc w:val="both"/>
        <w:ind w:right="20" w:firstLine="432"/>
        <w:spacing w:after="0" w:line="264" w:lineRule="auto"/>
        <w:rPr>
          <w:sz w:val="20"/>
          <w:szCs w:val="20"/>
          <w:color w:val="auto"/>
        </w:rPr>
      </w:pPr>
      <w:r>
        <w:rPr>
          <w:rFonts w:ascii="Arial" w:cs="Arial" w:eastAsia="Arial" w:hAnsi="Arial"/>
          <w:sz w:val="18"/>
          <w:szCs w:val="18"/>
          <w:color w:val="auto"/>
        </w:rPr>
        <w:t>As of June 30, 2018, all payments made under our research contracts have been denominated in U.S. dollars. Our product sales to foreign customers are also generally denominated in U.S. dollars, and we generally do not receive payments in foreign currency. As such, we are not directly exposed to significant currency gains or losses resulting from fluctuations in foreign exchange rates.</w:t>
      </w:r>
    </w:p>
    <w:p>
      <w:pPr>
        <w:spacing w:after="0" w:line="20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32</w:t>
      </w:r>
    </w:p>
    <w:p>
      <w:pPr>
        <w:sectPr>
          <w:pgSz w:w="11900" w:h="16838" w:orient="portrait"/>
          <w:cols w:equalWidth="0" w:num="1">
            <w:col w:w="11400"/>
          </w:cols>
          <w:pgMar w:left="240" w:top="118" w:right="259" w:bottom="1440" w:gutter="0" w:footer="0" w:header="0"/>
        </w:sectPr>
      </w:pPr>
    </w:p>
    <w:bookmarkStart w:id="32" w:name="page33"/>
    <w:bookmarkEnd w:id="32"/>
    <w:p>
      <w:pPr>
        <w:spacing w:after="0"/>
        <w:rPr>
          <w:rFonts w:ascii="Arial" w:cs="Arial" w:eastAsia="Arial" w:hAnsi="Arial"/>
          <w:sz w:val="14"/>
          <w:szCs w:val="14"/>
          <w:b w:val="1"/>
          <w:bCs w:val="1"/>
          <w:u w:val="single" w:color="auto"/>
          <w:color w:val="0000EE"/>
        </w:rPr>
      </w:pPr>
      <w:hyperlink w:anchor="page2">
        <w:r>
          <w:rPr>
            <w:rFonts w:ascii="Arial" w:cs="Arial" w:eastAsia="Arial" w:hAnsi="Arial"/>
            <w:sz w:val="14"/>
            <w:szCs w:val="14"/>
            <w:b w:val="1"/>
            <w:bCs w:val="1"/>
            <w:u w:val="single" w:color="auto"/>
            <w:color w:val="0000EE"/>
          </w:rPr>
          <w:t>Table of Contents</w:t>
        </w:r>
      </w:hyperlink>
    </w:p>
    <w:p>
      <w:pPr>
        <w:spacing w:after="0" w:line="200" w:lineRule="exact"/>
        <w:rPr>
          <w:sz w:val="20"/>
          <w:szCs w:val="20"/>
          <w:color w:val="auto"/>
        </w:rPr>
      </w:pPr>
    </w:p>
    <w:p>
      <w:pPr>
        <w:spacing w:after="0" w:line="210" w:lineRule="exact"/>
        <w:rPr>
          <w:sz w:val="20"/>
          <w:szCs w:val="20"/>
          <w:color w:val="auto"/>
        </w:rPr>
      </w:pPr>
    </w:p>
    <w:p>
      <w:pPr>
        <w:ind w:left="40"/>
        <w:spacing w:after="0"/>
        <w:tabs>
          <w:tab w:leader="none" w:pos="1280" w:val="left"/>
        </w:tabs>
        <w:rPr>
          <w:sz w:val="20"/>
          <w:szCs w:val="20"/>
          <w:color w:val="auto"/>
        </w:rPr>
      </w:pPr>
      <w:r>
        <w:rPr>
          <w:rFonts w:ascii="Arial" w:cs="Arial" w:eastAsia="Arial" w:hAnsi="Arial"/>
          <w:sz w:val="18"/>
          <w:szCs w:val="18"/>
          <w:b w:val="1"/>
          <w:bCs w:val="1"/>
          <w:color w:val="auto"/>
        </w:rPr>
        <w:t>ITEM 4.</w:t>
      </w:r>
      <w:r>
        <w:rPr>
          <w:sz w:val="20"/>
          <w:szCs w:val="20"/>
          <w:color w:val="auto"/>
        </w:rPr>
        <w:tab/>
      </w:r>
      <w:r>
        <w:rPr>
          <w:rFonts w:ascii="Arial" w:cs="Arial" w:eastAsia="Arial" w:hAnsi="Arial"/>
          <w:sz w:val="17"/>
          <w:szCs w:val="17"/>
          <w:b w:val="1"/>
          <w:bCs w:val="1"/>
          <w:i w:val="1"/>
          <w:iCs w:val="1"/>
          <w:color w:val="auto"/>
        </w:rPr>
        <w:t>CONTROLS AND PROCEDURES</w:t>
      </w:r>
    </w:p>
    <w:p>
      <w:pPr>
        <w:spacing w:after="0" w:line="14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Evaluation of Disclosure Controls and Procedures</w:t>
      </w:r>
    </w:p>
    <w:p>
      <w:pPr>
        <w:spacing w:after="0" w:line="121" w:lineRule="exact"/>
        <w:rPr>
          <w:sz w:val="20"/>
          <w:szCs w:val="20"/>
          <w:color w:val="auto"/>
        </w:rPr>
      </w:pPr>
    </w:p>
    <w:p>
      <w:pPr>
        <w:ind w:firstLine="432"/>
        <w:spacing w:after="0" w:line="255" w:lineRule="auto"/>
        <w:rPr>
          <w:sz w:val="20"/>
          <w:szCs w:val="20"/>
          <w:color w:val="auto"/>
        </w:rPr>
      </w:pPr>
      <w:r>
        <w:rPr>
          <w:rFonts w:ascii="Arial" w:cs="Arial" w:eastAsia="Arial" w:hAnsi="Arial"/>
          <w:sz w:val="18"/>
          <w:szCs w:val="18"/>
          <w:color w:val="auto"/>
        </w:rPr>
        <w:t>We maintain “disclosure controls and procedures,” as defined in Rules 13a-15(e) and 15d-15(e) under the Securities Exchange Act of 1934, as amended (the "Exchange Act"), which are controls and other procedures that are designed to provide reasonable assurance that information required to be disclosed by a company in the reports that it files or submits under the Exchange Act is recorded, processed, summarized and reported within the time periods specified in the SEC’s rules and forms. Disclosure controls and procedures also include, without limitation, controls and procedures designed to provide reasonable assurance that information required to be disclosed by a company in the reports that it files or submits under the Exchange Act is accumulated and communicated to the company’s management, including its principal executive and principal financial officers, as appropriate to allow timely decisions regarding required disclosure.</w:t>
      </w:r>
    </w:p>
    <w:p>
      <w:pPr>
        <w:spacing w:after="0" w:line="189" w:lineRule="exact"/>
        <w:rPr>
          <w:sz w:val="20"/>
          <w:szCs w:val="20"/>
          <w:color w:val="auto"/>
        </w:rPr>
      </w:pPr>
    </w:p>
    <w:p>
      <w:pPr>
        <w:ind w:right="40" w:firstLine="432"/>
        <w:spacing w:after="0" w:line="273" w:lineRule="auto"/>
        <w:rPr>
          <w:sz w:val="20"/>
          <w:szCs w:val="20"/>
          <w:color w:val="auto"/>
        </w:rPr>
      </w:pPr>
      <w:r>
        <w:rPr>
          <w:rFonts w:ascii="Arial" w:cs="Arial" w:eastAsia="Arial" w:hAnsi="Arial"/>
          <w:sz w:val="17"/>
          <w:szCs w:val="17"/>
          <w:color w:val="auto"/>
        </w:rPr>
        <w:t>Management recognizes that any controls and procedures, no matter how well designed and operated, can provide only reasonable assurance of achieving their objectives and management necessarily applies its judgment in evaluating the cost-benefit relationship of possible controls and procedures. In addition, the design of any system of controls also is based in part upon certain assumptions about the likelihood of future events, and there can be no assurance that any design will succeed in achieving its stated goals under all potential future conditions; over time, controls may become inadequate because of changes in conditions, or the degree of compliance with policies or procedures may deteriorate. Because of the inherent limitations in a control system, misstatements due to error or fraud may occur and not be detected.</w:t>
      </w:r>
    </w:p>
    <w:p>
      <w:pPr>
        <w:spacing w:after="0" w:line="178" w:lineRule="exact"/>
        <w:rPr>
          <w:sz w:val="20"/>
          <w:szCs w:val="20"/>
          <w:color w:val="auto"/>
        </w:rPr>
      </w:pPr>
    </w:p>
    <w:p>
      <w:pPr>
        <w:ind w:right="20" w:firstLine="432"/>
        <w:spacing w:after="0" w:line="259" w:lineRule="auto"/>
        <w:rPr>
          <w:sz w:val="20"/>
          <w:szCs w:val="20"/>
          <w:color w:val="auto"/>
        </w:rPr>
      </w:pPr>
      <w:r>
        <w:rPr>
          <w:rFonts w:ascii="Arial" w:cs="Arial" w:eastAsia="Arial" w:hAnsi="Arial"/>
          <w:sz w:val="18"/>
          <w:szCs w:val="18"/>
          <w:color w:val="auto"/>
        </w:rPr>
        <w:t>Under the supervision and with the participation of our management, including our principal executive officer and our principal financial officer, we evaluated the effectiveness of the design and operation of our disclosure controls and procedures as of the end of the period covered by this Quarterly Report. Based on this evaluation, our principal executive officer and our principal financial officer have concluded that, as of June 30, 2018, our disclosure controls and procedures were effective.</w:t>
      </w:r>
    </w:p>
    <w:p>
      <w:pPr>
        <w:spacing w:after="0" w:line="18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Changes in Internal Control over Financial Reporting</w:t>
      </w:r>
    </w:p>
    <w:p>
      <w:pPr>
        <w:spacing w:after="0" w:line="121" w:lineRule="exact"/>
        <w:rPr>
          <w:sz w:val="20"/>
          <w:szCs w:val="20"/>
          <w:color w:val="auto"/>
        </w:rPr>
      </w:pPr>
    </w:p>
    <w:p>
      <w:pPr>
        <w:ind w:right="100" w:firstLine="432"/>
        <w:spacing w:after="0" w:line="257" w:lineRule="auto"/>
        <w:rPr>
          <w:sz w:val="20"/>
          <w:szCs w:val="20"/>
          <w:color w:val="auto"/>
        </w:rPr>
      </w:pPr>
      <w:r>
        <w:rPr>
          <w:rFonts w:ascii="Arial" w:cs="Arial" w:eastAsia="Arial" w:hAnsi="Arial"/>
          <w:sz w:val="18"/>
          <w:szCs w:val="18"/>
          <w:color w:val="auto"/>
        </w:rPr>
        <w:t>As a result of our adoption of the new revenue standard (Topic 606), we implemented controls to ensure adequate evaluation of contracts and assessment of the impact of the new accounting standard related to revenue recognition on our financial statements to facilitate its adoption on January 1, 2018. There were not any significant changes to our internal control over financial reporting due to the adoption of the new standard, as such term is defined in Exchange Act Rules 13a-15(f) and 15d-15(f) during the period covered by this Quarterly Report or in other factors that have materially affected, or are reasonably likely to materially affect, our internal controls over financial reporting.</w:t>
      </w:r>
    </w:p>
    <w:p>
      <w:pPr>
        <w:spacing w:after="0" w:line="215"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33</w:t>
      </w:r>
    </w:p>
    <w:p>
      <w:pPr>
        <w:sectPr>
          <w:pgSz w:w="11900" w:h="16838" w:orient="portrait"/>
          <w:cols w:equalWidth="0" w:num="1">
            <w:col w:w="11380"/>
          </w:cols>
          <w:pgMar w:left="240" w:top="118" w:right="279" w:bottom="1440" w:gutter="0" w:footer="0" w:header="0"/>
        </w:sectPr>
      </w:pPr>
    </w:p>
    <w:bookmarkStart w:id="33" w:name="page34"/>
    <w:bookmarkEnd w:id="33"/>
    <w:p>
      <w:pPr>
        <w:spacing w:after="0"/>
        <w:rPr>
          <w:rFonts w:ascii="Arial" w:cs="Arial" w:eastAsia="Arial" w:hAnsi="Arial"/>
          <w:sz w:val="14"/>
          <w:szCs w:val="14"/>
          <w:b w:val="1"/>
          <w:bCs w:val="1"/>
          <w:u w:val="single" w:color="auto"/>
          <w:color w:val="0000EE"/>
        </w:rPr>
      </w:pPr>
      <w:hyperlink w:anchor="page2">
        <w:r>
          <w:rPr>
            <w:rFonts w:ascii="Arial" w:cs="Arial" w:eastAsia="Arial" w:hAnsi="Arial"/>
            <w:sz w:val="14"/>
            <w:szCs w:val="14"/>
            <w:b w:val="1"/>
            <w:bCs w:val="1"/>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80"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PART II. OTHER INFORMATION</w:t>
      </w:r>
    </w:p>
    <w:p>
      <w:pPr>
        <w:spacing w:after="0" w:line="200" w:lineRule="exact"/>
        <w:rPr>
          <w:sz w:val="20"/>
          <w:szCs w:val="20"/>
          <w:color w:val="auto"/>
        </w:rPr>
      </w:pPr>
    </w:p>
    <w:p>
      <w:pPr>
        <w:spacing w:after="0" w:line="228" w:lineRule="exact"/>
        <w:rPr>
          <w:sz w:val="20"/>
          <w:szCs w:val="20"/>
          <w:color w:val="auto"/>
        </w:rPr>
      </w:pPr>
    </w:p>
    <w:p>
      <w:pPr>
        <w:ind w:left="40"/>
        <w:spacing w:after="0"/>
        <w:tabs>
          <w:tab w:leader="none" w:pos="1280" w:val="left"/>
        </w:tabs>
        <w:rPr>
          <w:sz w:val="20"/>
          <w:szCs w:val="20"/>
          <w:color w:val="auto"/>
        </w:rPr>
      </w:pPr>
      <w:r>
        <w:rPr>
          <w:rFonts w:ascii="Arial" w:cs="Arial" w:eastAsia="Arial" w:hAnsi="Arial"/>
          <w:sz w:val="18"/>
          <w:szCs w:val="18"/>
          <w:b w:val="1"/>
          <w:bCs w:val="1"/>
          <w:color w:val="auto"/>
        </w:rPr>
        <w:t>ITEM 1.</w:t>
      </w:r>
      <w:r>
        <w:rPr>
          <w:sz w:val="20"/>
          <w:szCs w:val="20"/>
          <w:color w:val="auto"/>
        </w:rPr>
        <w:tab/>
      </w:r>
      <w:r>
        <w:rPr>
          <w:rFonts w:ascii="Arial" w:cs="Arial" w:eastAsia="Arial" w:hAnsi="Arial"/>
          <w:sz w:val="17"/>
          <w:szCs w:val="17"/>
          <w:b w:val="1"/>
          <w:bCs w:val="1"/>
          <w:i w:val="1"/>
          <w:iCs w:val="1"/>
          <w:color w:val="auto"/>
        </w:rPr>
        <w:t>LEGAL PROCEEDINGS</w:t>
      </w:r>
    </w:p>
    <w:p>
      <w:pPr>
        <w:spacing w:after="0" w:line="200" w:lineRule="exact"/>
        <w:rPr>
          <w:sz w:val="20"/>
          <w:szCs w:val="20"/>
          <w:color w:val="auto"/>
        </w:rPr>
      </w:pPr>
    </w:p>
    <w:p>
      <w:pPr>
        <w:spacing w:after="0" w:line="272" w:lineRule="exact"/>
        <w:rPr>
          <w:sz w:val="20"/>
          <w:szCs w:val="20"/>
          <w:color w:val="auto"/>
        </w:rPr>
      </w:pPr>
    </w:p>
    <w:p>
      <w:pPr>
        <w:ind w:left="440"/>
        <w:spacing w:after="0"/>
        <w:rPr>
          <w:sz w:val="20"/>
          <w:szCs w:val="20"/>
          <w:color w:val="auto"/>
        </w:rPr>
      </w:pPr>
      <w:r>
        <w:rPr>
          <w:rFonts w:ascii="Arial" w:cs="Arial" w:eastAsia="Arial" w:hAnsi="Arial"/>
          <w:sz w:val="18"/>
          <w:szCs w:val="18"/>
          <w:color w:val="auto"/>
        </w:rPr>
        <w:t>None.</w:t>
      </w:r>
    </w:p>
    <w:p>
      <w:pPr>
        <w:spacing w:after="0" w:line="200" w:lineRule="exact"/>
        <w:rPr>
          <w:sz w:val="20"/>
          <w:szCs w:val="20"/>
          <w:color w:val="auto"/>
        </w:rPr>
      </w:pPr>
    </w:p>
    <w:p>
      <w:pPr>
        <w:spacing w:after="0" w:line="291" w:lineRule="exact"/>
        <w:rPr>
          <w:sz w:val="20"/>
          <w:szCs w:val="20"/>
          <w:color w:val="auto"/>
        </w:rPr>
      </w:pPr>
    </w:p>
    <w:p>
      <w:pPr>
        <w:ind w:left="40"/>
        <w:spacing w:after="0"/>
        <w:tabs>
          <w:tab w:leader="none" w:pos="1280" w:val="left"/>
        </w:tabs>
        <w:rPr>
          <w:sz w:val="20"/>
          <w:szCs w:val="20"/>
          <w:color w:val="auto"/>
        </w:rPr>
      </w:pPr>
      <w:r>
        <w:rPr>
          <w:rFonts w:ascii="Arial" w:cs="Arial" w:eastAsia="Arial" w:hAnsi="Arial"/>
          <w:sz w:val="18"/>
          <w:szCs w:val="18"/>
          <w:b w:val="1"/>
          <w:bCs w:val="1"/>
          <w:color w:val="auto"/>
        </w:rPr>
        <w:t>ITEM 1A.</w:t>
      </w:r>
      <w:r>
        <w:rPr>
          <w:sz w:val="20"/>
          <w:szCs w:val="20"/>
          <w:color w:val="auto"/>
        </w:rPr>
        <w:tab/>
      </w:r>
      <w:r>
        <w:rPr>
          <w:rFonts w:ascii="Arial" w:cs="Arial" w:eastAsia="Arial" w:hAnsi="Arial"/>
          <w:sz w:val="16"/>
          <w:szCs w:val="16"/>
          <w:b w:val="1"/>
          <w:bCs w:val="1"/>
          <w:i w:val="1"/>
          <w:iCs w:val="1"/>
          <w:color w:val="auto"/>
        </w:rPr>
        <w:t>RISK FACTORS</w:t>
      </w:r>
    </w:p>
    <w:p>
      <w:pPr>
        <w:spacing w:after="0" w:line="256" w:lineRule="exact"/>
        <w:rPr>
          <w:sz w:val="20"/>
          <w:szCs w:val="20"/>
          <w:color w:val="auto"/>
        </w:rPr>
      </w:pPr>
    </w:p>
    <w:p>
      <w:pPr>
        <w:ind w:firstLine="405"/>
        <w:spacing w:after="0" w:line="254" w:lineRule="auto"/>
        <w:rPr>
          <w:sz w:val="20"/>
          <w:szCs w:val="20"/>
          <w:color w:val="auto"/>
        </w:rPr>
      </w:pPr>
      <w:r>
        <w:rPr>
          <w:rFonts w:ascii="Arial" w:cs="Arial" w:eastAsia="Arial" w:hAnsi="Arial"/>
          <w:sz w:val="18"/>
          <w:szCs w:val="18"/>
          <w:i w:val="1"/>
          <w:iCs w:val="1"/>
          <w:color w:val="auto"/>
        </w:rPr>
        <w:t>You should carefully consider the risks described below before deciding whether to invest in our common stock. The risks described below are not the only ones we face. Additional risks not presently known to us or that we currently believe are immaterial may also impair our business operations and financial results. If any of the following risks actually occurs, our business, financial condition or results of operations could be adversely affected. In such case, the trading price of our common stock could decline and you could lose all or part of your investment. Our filings with the SEC also contain forward-looking statements that involve risks or uncertainties. Our actual results could differ materially from those anticipated or contemplated by these forward-looking statements as a result of a number of factors, including the risks we face described below, as well as other variables that could affect our operating results. Past financial performance should not be considered to be a reliable indicator of future performance, and investors should not use historical trends to anticipate results or trends in future periods.</w:t>
      </w:r>
    </w:p>
    <w:p>
      <w:pPr>
        <w:spacing w:after="0" w:line="29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RISKS RELATING TO OUR BUSINESS GENERALLY</w:t>
      </w:r>
    </w:p>
    <w:p>
      <w:pPr>
        <w:spacing w:after="0" w:line="337" w:lineRule="exact"/>
        <w:rPr>
          <w:sz w:val="20"/>
          <w:szCs w:val="20"/>
          <w:color w:val="auto"/>
        </w:rPr>
      </w:pPr>
    </w:p>
    <w:p>
      <w:pPr>
        <w:ind w:right="60"/>
        <w:spacing w:after="0" w:line="277" w:lineRule="auto"/>
        <w:rPr>
          <w:sz w:val="20"/>
          <w:szCs w:val="20"/>
          <w:color w:val="auto"/>
        </w:rPr>
      </w:pPr>
      <w:r>
        <w:rPr>
          <w:rFonts w:ascii="Arial" w:cs="Arial" w:eastAsia="Arial" w:hAnsi="Arial"/>
          <w:sz w:val="18"/>
          <w:szCs w:val="18"/>
          <w:b w:val="1"/>
          <w:bCs w:val="1"/>
          <w:i w:val="1"/>
          <w:iCs w:val="1"/>
          <w:color w:val="auto"/>
        </w:rPr>
        <w:t>Our technology is subject to a license from Intuitive Surgical, Inc., which is revocable in certain circumstances. Without this license, we cannot continue to market, manufacture or sell our fiber-optic products.</w:t>
      </w:r>
    </w:p>
    <w:p>
      <w:pPr>
        <w:spacing w:after="0" w:line="62" w:lineRule="exact"/>
        <w:rPr>
          <w:sz w:val="20"/>
          <w:szCs w:val="20"/>
          <w:color w:val="auto"/>
        </w:rPr>
      </w:pPr>
    </w:p>
    <w:p>
      <w:pPr>
        <w:ind w:right="40" w:firstLine="432"/>
        <w:spacing w:after="0" w:line="253" w:lineRule="auto"/>
        <w:rPr>
          <w:sz w:val="20"/>
          <w:szCs w:val="20"/>
          <w:color w:val="auto"/>
        </w:rPr>
      </w:pPr>
      <w:r>
        <w:rPr>
          <w:rFonts w:ascii="Arial" w:cs="Arial" w:eastAsia="Arial" w:hAnsi="Arial"/>
          <w:sz w:val="18"/>
          <w:szCs w:val="18"/>
          <w:color w:val="auto"/>
        </w:rPr>
        <w:t>As a part of the sale of certain assets to Intuitive Surgical, Inc. ("Intuitive") in 2014, we entered into a license agreement with Intuitive pursuant to which we received rights to use all of our transferred technology outside the field of medicine and in respect of our existing non-shape sensing products in certain non-robotic medical fields. This license back to us is revocable if after notice and certain time periods, we were to (i) challenge the validity or enforceability of the transferred patents and patent applications, (ii) commercialize our fiber optical shape sensing and localization technology in the field of medicine (except to perform on a development and supply project for Hansen Medical, Inc.), (iii) violate our obligations related to our ability to sublicense in the field of medicine or (iv) violate our confidentiality obligations in a manner that advantages a competitor in the field of medicine and not cure such violation. Maintaining this license is necessary for us to conduct our fiber-optic products business, both for our telecom products and our ODiSI sensing products. If this license were to be revoked by Intuitive, we would no longer be able to market, manufacture or sell these products which could have a material adverse effect on our operations.</w:t>
      </w:r>
    </w:p>
    <w:p>
      <w:pPr>
        <w:spacing w:after="0" w:line="305" w:lineRule="exact"/>
        <w:rPr>
          <w:sz w:val="20"/>
          <w:szCs w:val="20"/>
          <w:color w:val="auto"/>
        </w:rPr>
      </w:pPr>
    </w:p>
    <w:p>
      <w:pPr>
        <w:ind w:right="420"/>
        <w:spacing w:after="0" w:line="277" w:lineRule="auto"/>
        <w:rPr>
          <w:sz w:val="20"/>
          <w:szCs w:val="20"/>
          <w:color w:val="auto"/>
        </w:rPr>
      </w:pPr>
      <w:r>
        <w:rPr>
          <w:rFonts w:ascii="Arial" w:cs="Arial" w:eastAsia="Arial" w:hAnsi="Arial"/>
          <w:sz w:val="18"/>
          <w:szCs w:val="18"/>
          <w:b w:val="1"/>
          <w:bCs w:val="1"/>
          <w:i w:val="1"/>
          <w:iCs w:val="1"/>
          <w:color w:val="auto"/>
        </w:rPr>
        <w:t>We depend on third-party vendors for specialized components in our manufacturing operations, making us vulnerable to supply shortages and price fluctuations that could harm our business.</w:t>
      </w:r>
    </w:p>
    <w:p>
      <w:pPr>
        <w:spacing w:after="0" w:line="62" w:lineRule="exact"/>
        <w:rPr>
          <w:sz w:val="20"/>
          <w:szCs w:val="20"/>
          <w:color w:val="auto"/>
        </w:rPr>
      </w:pPr>
    </w:p>
    <w:p>
      <w:pPr>
        <w:ind w:right="80" w:firstLine="432"/>
        <w:spacing w:after="0" w:line="272" w:lineRule="auto"/>
        <w:rPr>
          <w:sz w:val="20"/>
          <w:szCs w:val="20"/>
          <w:color w:val="auto"/>
        </w:rPr>
      </w:pPr>
      <w:r>
        <w:rPr>
          <w:rFonts w:ascii="Arial" w:cs="Arial" w:eastAsia="Arial" w:hAnsi="Arial"/>
          <w:sz w:val="17"/>
          <w:szCs w:val="17"/>
          <w:color w:val="auto"/>
        </w:rPr>
        <w:t>We primarily rely on third-party vendors for the manufacture of the specialized components used in our products. The highly specialized nature of our supply requirements poses risks that we may not be able to locate additional sources of the specialized components required in our business. For example, there are few manufacturers who produce the special lasers used in our optical test equipment. Our reliance on these vendors subjects us to a number of risks that could negatively affect our ability to manufacture our products and harm our business, including interruption of supply. Although we are now manufacturing tunable lasers in low-rate initial production, we expect our overall reliance on third-party vendors to continue. Any significant delay or interruption in the supply of components, or our inability to obtain substitute components or materials from alternate sources at acceptable prices and in a timely manner could impair our ability to meet the demand of our customers and could harm our business.</w:t>
      </w:r>
    </w:p>
    <w:p>
      <w:pPr>
        <w:spacing w:after="0" w:line="286" w:lineRule="exact"/>
        <w:rPr>
          <w:sz w:val="20"/>
          <w:szCs w:val="20"/>
          <w:color w:val="auto"/>
        </w:rPr>
      </w:pPr>
    </w:p>
    <w:p>
      <w:pPr>
        <w:ind w:right="500"/>
        <w:spacing w:after="0" w:line="308" w:lineRule="auto"/>
        <w:rPr>
          <w:sz w:val="20"/>
          <w:szCs w:val="20"/>
          <w:color w:val="auto"/>
        </w:rPr>
      </w:pPr>
      <w:r>
        <w:rPr>
          <w:rFonts w:ascii="Arial" w:cs="Arial" w:eastAsia="Arial" w:hAnsi="Arial"/>
          <w:sz w:val="17"/>
          <w:szCs w:val="17"/>
          <w:b w:val="1"/>
          <w:bCs w:val="1"/>
          <w:i w:val="1"/>
          <w:iCs w:val="1"/>
          <w:color w:val="auto"/>
        </w:rPr>
        <w:t>We depend upon outside contract manufacturers for a portion of the manufacturing process for some of our products. Our operations and revenue related to these products could be adversely affected if we encounter problems with these contract manufacturers.</w:t>
      </w:r>
    </w:p>
    <w:p>
      <w:pPr>
        <w:spacing w:after="0" w:line="38" w:lineRule="exact"/>
        <w:rPr>
          <w:sz w:val="20"/>
          <w:szCs w:val="20"/>
          <w:color w:val="auto"/>
        </w:rPr>
      </w:pPr>
    </w:p>
    <w:p>
      <w:pPr>
        <w:ind w:right="60" w:firstLine="432"/>
        <w:spacing w:after="0" w:line="277" w:lineRule="auto"/>
        <w:rPr>
          <w:sz w:val="20"/>
          <w:szCs w:val="20"/>
          <w:color w:val="auto"/>
        </w:rPr>
      </w:pPr>
      <w:r>
        <w:rPr>
          <w:rFonts w:ascii="Arial" w:cs="Arial" w:eastAsia="Arial" w:hAnsi="Arial"/>
          <w:sz w:val="18"/>
          <w:szCs w:val="18"/>
          <w:color w:val="auto"/>
        </w:rPr>
        <w:t>Many of our products are manufactured internally. However, we also rely upon contract manufacturers to produce the finished portion of certain lasers. Our reliance on contract manufacturers for these products makes us vulnerable to possible</w:t>
      </w:r>
    </w:p>
    <w:p>
      <w:pPr>
        <w:spacing w:after="0" w:line="197"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34</w:t>
      </w:r>
    </w:p>
    <w:p>
      <w:pPr>
        <w:sectPr>
          <w:pgSz w:w="11900" w:h="16838" w:orient="portrait"/>
          <w:cols w:equalWidth="0" w:num="1">
            <w:col w:w="11380"/>
          </w:cols>
          <w:pgMar w:left="240" w:top="118" w:right="279" w:bottom="1440" w:gutter="0" w:footer="0" w:header="0"/>
        </w:sectPr>
      </w:pPr>
    </w:p>
    <w:bookmarkStart w:id="34" w:name="page35"/>
    <w:bookmarkEnd w:id="34"/>
    <w:p>
      <w:pPr>
        <w:spacing w:after="0"/>
        <w:rPr>
          <w:rFonts w:ascii="Arial" w:cs="Arial" w:eastAsia="Arial" w:hAnsi="Arial"/>
          <w:sz w:val="14"/>
          <w:szCs w:val="14"/>
          <w:b w:val="1"/>
          <w:bCs w:val="1"/>
          <w:u w:val="single" w:color="auto"/>
          <w:color w:val="0000EE"/>
        </w:rPr>
      </w:pPr>
      <w:hyperlink w:anchor="page2">
        <w:r>
          <w:rPr>
            <w:rFonts w:ascii="Arial" w:cs="Arial" w:eastAsia="Arial" w:hAnsi="Arial"/>
            <w:sz w:val="14"/>
            <w:szCs w:val="14"/>
            <w:b w:val="1"/>
            <w:bCs w:val="1"/>
            <w:u w:val="single" w:color="auto"/>
            <w:color w:val="0000EE"/>
          </w:rPr>
          <w:t>Table of Contents</w:t>
        </w:r>
      </w:hyperlink>
    </w:p>
    <w:p>
      <w:pPr>
        <w:spacing w:after="0" w:line="360" w:lineRule="exact"/>
        <w:rPr>
          <w:sz w:val="20"/>
          <w:szCs w:val="20"/>
          <w:color w:val="auto"/>
        </w:rPr>
      </w:pPr>
    </w:p>
    <w:p>
      <w:pPr>
        <w:ind w:right="20"/>
        <w:spacing w:after="0" w:line="255" w:lineRule="auto"/>
        <w:rPr>
          <w:sz w:val="20"/>
          <w:szCs w:val="20"/>
          <w:color w:val="auto"/>
        </w:rPr>
      </w:pPr>
      <w:r>
        <w:rPr>
          <w:rFonts w:ascii="Arial" w:cs="Arial" w:eastAsia="Arial" w:hAnsi="Arial"/>
          <w:sz w:val="18"/>
          <w:szCs w:val="18"/>
          <w:color w:val="auto"/>
        </w:rPr>
        <w:t>capacity constraints and reduced control over delivery schedules, manufacturing yields, manufacturing quality control and costs. If the contract manufacturer for our products were unable or unwilling to manufacture our products in required volumes and at high quality levels or to continue our existing supply arrangement, we would have to identify, qualify and select an acceptable alternative contract manufacturer or move these manufacturing operations to internal manufacturing facilities. An alternative contract manufacturer may not be available to us when needed or may not be in a position to satisfy our quality or production requirements on commercially reasonable terms, including price. Any significant interruption in manufacturing our products would require us to reduce the supply of products to our customers, which in turn would reduce our revenue, harm our relationships with the customers of these products and cause us to forego potential revenue opportunities.</w:t>
      </w:r>
    </w:p>
    <w:p>
      <w:pPr>
        <w:spacing w:after="0" w:line="297" w:lineRule="exact"/>
        <w:rPr>
          <w:sz w:val="20"/>
          <w:szCs w:val="20"/>
          <w:color w:val="auto"/>
        </w:rPr>
      </w:pPr>
    </w:p>
    <w:p>
      <w:pPr>
        <w:ind w:right="20"/>
        <w:spacing w:after="0" w:line="277" w:lineRule="auto"/>
        <w:rPr>
          <w:sz w:val="20"/>
          <w:szCs w:val="20"/>
          <w:color w:val="auto"/>
        </w:rPr>
      </w:pPr>
      <w:r>
        <w:rPr>
          <w:rFonts w:ascii="Arial" w:cs="Arial" w:eastAsia="Arial" w:hAnsi="Arial"/>
          <w:sz w:val="18"/>
          <w:szCs w:val="18"/>
          <w:b w:val="1"/>
          <w:bCs w:val="1"/>
          <w:i w:val="1"/>
          <w:iCs w:val="1"/>
          <w:color w:val="auto"/>
        </w:rPr>
        <w:t>As a provider of contract research to the U.S. government, we are subject to federal rules, regulations, audits and investigations, the violation or failure of which could adversely affect our business.</w:t>
      </w:r>
    </w:p>
    <w:p>
      <w:pPr>
        <w:spacing w:after="0" w:line="62" w:lineRule="exact"/>
        <w:rPr>
          <w:sz w:val="20"/>
          <w:szCs w:val="20"/>
          <w:color w:val="auto"/>
        </w:rPr>
      </w:pPr>
    </w:p>
    <w:p>
      <w:pPr>
        <w:ind w:left="440"/>
        <w:spacing w:after="0"/>
        <w:rPr>
          <w:sz w:val="20"/>
          <w:szCs w:val="20"/>
          <w:color w:val="auto"/>
        </w:rPr>
      </w:pPr>
      <w:r>
        <w:rPr>
          <w:rFonts w:ascii="Arial" w:cs="Arial" w:eastAsia="Arial" w:hAnsi="Arial"/>
          <w:sz w:val="18"/>
          <w:szCs w:val="18"/>
          <w:color w:val="auto"/>
        </w:rPr>
        <w:t>We must comply with and are affected by laws and regulations relating to the award, administration and performance of U.S. government</w:t>
      </w:r>
    </w:p>
    <w:p>
      <w:pPr>
        <w:spacing w:after="0" w:line="23" w:lineRule="exact"/>
        <w:rPr>
          <w:sz w:val="20"/>
          <w:szCs w:val="20"/>
          <w:color w:val="auto"/>
        </w:rPr>
      </w:pPr>
    </w:p>
    <w:p>
      <w:pPr>
        <w:spacing w:after="0"/>
        <w:rPr>
          <w:sz w:val="20"/>
          <w:szCs w:val="20"/>
          <w:color w:val="auto"/>
        </w:rPr>
      </w:pPr>
      <w:r>
        <w:rPr>
          <w:rFonts w:ascii="Arial" w:cs="Arial" w:eastAsia="Arial" w:hAnsi="Arial"/>
          <w:sz w:val="16"/>
          <w:szCs w:val="16"/>
          <w:color w:val="auto"/>
        </w:rPr>
        <w:t>contracts. Government contract laws and regulations affect how we do business with our government customers and, in some instances, impose added costs</w:t>
      </w:r>
    </w:p>
    <w:p>
      <w:pPr>
        <w:spacing w:after="0" w:line="32" w:lineRule="exact"/>
        <w:rPr>
          <w:sz w:val="20"/>
          <w:szCs w:val="20"/>
          <w:color w:val="auto"/>
        </w:rPr>
      </w:pPr>
    </w:p>
    <w:p>
      <w:pPr>
        <w:spacing w:after="0"/>
        <w:rPr>
          <w:sz w:val="20"/>
          <w:szCs w:val="20"/>
          <w:color w:val="auto"/>
        </w:rPr>
      </w:pPr>
      <w:r>
        <w:rPr>
          <w:rFonts w:ascii="Arial" w:cs="Arial" w:eastAsia="Arial" w:hAnsi="Arial"/>
          <w:sz w:val="17"/>
          <w:szCs w:val="17"/>
          <w:color w:val="auto"/>
        </w:rPr>
        <w:t>on our business. A violation of a specific law or regulation could result in the imposition of fines and penalties, termination of our contracts or debarment</w:t>
      </w:r>
    </w:p>
    <w:p>
      <w:pPr>
        <w:spacing w:after="0" w:line="21" w:lineRule="exact"/>
        <w:rPr>
          <w:sz w:val="20"/>
          <w:szCs w:val="20"/>
          <w:color w:val="auto"/>
        </w:rPr>
      </w:pPr>
    </w:p>
    <w:p>
      <w:pPr>
        <w:spacing w:after="0"/>
        <w:rPr>
          <w:sz w:val="20"/>
          <w:szCs w:val="20"/>
          <w:color w:val="auto"/>
        </w:rPr>
      </w:pPr>
      <w:r>
        <w:rPr>
          <w:rFonts w:ascii="Arial" w:cs="Arial" w:eastAsia="Arial" w:hAnsi="Arial"/>
          <w:sz w:val="16"/>
          <w:szCs w:val="16"/>
          <w:color w:val="auto"/>
        </w:rPr>
        <w:t>from bidding on contracts. In some instances, these laws and regulations impose terms or rights that are more favorable to the government than those typically</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available to commercial parties in negotiated transactions. For example, the U.S. government may terminate any of our government contracts and, in general,</w:t>
      </w:r>
    </w:p>
    <w:p>
      <w:pPr>
        <w:spacing w:after="0" w:line="32" w:lineRule="exact"/>
        <w:rPr>
          <w:sz w:val="20"/>
          <w:szCs w:val="20"/>
          <w:color w:val="auto"/>
        </w:rPr>
      </w:pPr>
    </w:p>
    <w:p>
      <w:pPr>
        <w:spacing w:after="0"/>
        <w:rPr>
          <w:sz w:val="20"/>
          <w:szCs w:val="20"/>
          <w:color w:val="auto"/>
        </w:rPr>
      </w:pPr>
      <w:r>
        <w:rPr>
          <w:rFonts w:ascii="Arial" w:cs="Arial" w:eastAsia="Arial" w:hAnsi="Arial"/>
          <w:sz w:val="18"/>
          <w:szCs w:val="18"/>
          <w:color w:val="auto"/>
        </w:rPr>
        <w:t>subcontracts, at their convenience, as well as for default based on performance.</w:t>
      </w:r>
    </w:p>
    <w:p>
      <w:pPr>
        <w:spacing w:after="0" w:line="103" w:lineRule="exact"/>
        <w:rPr>
          <w:sz w:val="20"/>
          <w:szCs w:val="20"/>
          <w:color w:val="auto"/>
        </w:rPr>
      </w:pPr>
    </w:p>
    <w:p>
      <w:pPr>
        <w:ind w:right="160" w:firstLine="432"/>
        <w:spacing w:after="0" w:line="290" w:lineRule="auto"/>
        <w:rPr>
          <w:sz w:val="20"/>
          <w:szCs w:val="20"/>
          <w:color w:val="auto"/>
        </w:rPr>
      </w:pPr>
      <w:r>
        <w:rPr>
          <w:rFonts w:ascii="Arial" w:cs="Arial" w:eastAsia="Arial" w:hAnsi="Arial"/>
          <w:sz w:val="16"/>
          <w:szCs w:val="16"/>
          <w:color w:val="auto"/>
        </w:rPr>
        <w:t>In addition, U.S. government agencies, including the Defense Contract Audit Agency and the Department of Labor, routinely audit and investigate government contractors. These agencies review a contractor’s performance under its contracts, cost structure and compliance with applicable laws, regulations and standards. The U.S. government also may review the adequacy of, and a contractor’s compliance with, its internal control systems and policies, including the contractor’s purchasing, property, estimating, compensation and management information systems. Any costs found to be improperly allocated to a specific contract will not be reimbursed, while such costs already reimbursed must be refunded. If an audit uncovers the inclusion of certain claimed costs deemed to be expressly unallowable, or improper or illegal activities, we may be subject to civil and criminal penalties and administrative sanctions, including termination of contracts, forfeiture of profits, suspension of payments, fines and suspension or prohibition from doing business with the U.S. government. In addition, our reputation could suffer serious harm if allegations of impropriety were made against us.</w:t>
      </w:r>
    </w:p>
    <w:p>
      <w:pPr>
        <w:spacing w:after="0" w:line="58" w:lineRule="exact"/>
        <w:rPr>
          <w:sz w:val="20"/>
          <w:szCs w:val="20"/>
          <w:color w:val="auto"/>
        </w:rPr>
      </w:pPr>
    </w:p>
    <w:p>
      <w:pPr>
        <w:jc w:val="both"/>
        <w:ind w:right="60" w:firstLine="432"/>
        <w:spacing w:after="0" w:line="264" w:lineRule="auto"/>
        <w:rPr>
          <w:sz w:val="20"/>
          <w:szCs w:val="20"/>
          <w:color w:val="auto"/>
        </w:rPr>
      </w:pPr>
      <w:r>
        <w:rPr>
          <w:rFonts w:ascii="Arial" w:cs="Arial" w:eastAsia="Arial" w:hAnsi="Arial"/>
          <w:sz w:val="18"/>
          <w:szCs w:val="18"/>
          <w:color w:val="auto"/>
        </w:rPr>
        <w:t>In addition to the risk of government audits and investigations, U.S. government contracts and grants impose requirements on contractors and grantees relating to ethics and business practices, which carry civil and criminal penalties including monetary fines, assessments, loss of the ability to do business with the U.S. government and certain other criminal penalties.</w:t>
      </w:r>
    </w:p>
    <w:p>
      <w:pPr>
        <w:spacing w:after="0" w:line="73" w:lineRule="exact"/>
        <w:rPr>
          <w:sz w:val="20"/>
          <w:szCs w:val="20"/>
          <w:color w:val="auto"/>
        </w:rPr>
      </w:pPr>
    </w:p>
    <w:p>
      <w:pPr>
        <w:ind w:right="40" w:firstLine="432"/>
        <w:spacing w:after="0" w:line="279" w:lineRule="auto"/>
        <w:rPr>
          <w:sz w:val="20"/>
          <w:szCs w:val="20"/>
          <w:color w:val="auto"/>
        </w:rPr>
      </w:pPr>
      <w:r>
        <w:rPr>
          <w:rFonts w:ascii="Arial" w:cs="Arial" w:eastAsia="Arial" w:hAnsi="Arial"/>
          <w:sz w:val="17"/>
          <w:szCs w:val="17"/>
          <w:color w:val="auto"/>
        </w:rPr>
        <w:t>We may also be prohibited from commercially selling certain products that we develop under our Technology Development segment or related products based on the same core technologies if the U.S. government determines that the commercial availability of those products could pose a risk to national security. For example, certain of our wireless technologies have been classified as secret by the U.S. government and as a result we cannot sell them commercially. Any of these determinations would limit our ability to generate product sales and license revenues.</w:t>
      </w:r>
    </w:p>
    <w:p>
      <w:pPr>
        <w:spacing w:after="0" w:line="280" w:lineRule="exact"/>
        <w:rPr>
          <w:sz w:val="20"/>
          <w:szCs w:val="20"/>
          <w:color w:val="auto"/>
        </w:rPr>
      </w:pPr>
    </w:p>
    <w:p>
      <w:pPr>
        <w:ind w:right="320"/>
        <w:spacing w:after="0" w:line="277" w:lineRule="auto"/>
        <w:rPr>
          <w:sz w:val="20"/>
          <w:szCs w:val="20"/>
          <w:color w:val="auto"/>
        </w:rPr>
      </w:pPr>
      <w:r>
        <w:rPr>
          <w:rFonts w:ascii="Arial" w:cs="Arial" w:eastAsia="Arial" w:hAnsi="Arial"/>
          <w:sz w:val="18"/>
          <w:szCs w:val="18"/>
          <w:b w:val="1"/>
          <w:bCs w:val="1"/>
          <w:i w:val="1"/>
          <w:iCs w:val="1"/>
          <w:color w:val="auto"/>
        </w:rPr>
        <w:t>We rely and will continue to rely on contracts and grants awarded under the SBIR program for a significant portion of our revenues. A finding by the SBA that we no longer qualify to receive SBIR awards could adversely affect our business.</w:t>
      </w:r>
    </w:p>
    <w:p>
      <w:pPr>
        <w:spacing w:after="0" w:line="62" w:lineRule="exact"/>
        <w:rPr>
          <w:sz w:val="20"/>
          <w:szCs w:val="20"/>
          <w:color w:val="auto"/>
        </w:rPr>
      </w:pPr>
    </w:p>
    <w:p>
      <w:pPr>
        <w:ind w:right="40" w:firstLine="432"/>
        <w:spacing w:after="0" w:line="259" w:lineRule="auto"/>
        <w:rPr>
          <w:sz w:val="20"/>
          <w:szCs w:val="20"/>
          <w:color w:val="auto"/>
        </w:rPr>
      </w:pPr>
      <w:r>
        <w:rPr>
          <w:rFonts w:ascii="Arial" w:cs="Arial" w:eastAsia="Arial" w:hAnsi="Arial"/>
          <w:sz w:val="18"/>
          <w:szCs w:val="18"/>
          <w:color w:val="auto"/>
        </w:rPr>
        <w:t>We compete as a small business for some of our government contracts. Our revenues derived from the SBIR program account for a significant portion of our consolidated total revenues, and contract research, including SBIR contracts, will remain a significant portion of our consolidated total revenues for the foreseeable future. For the six months ended June 30, 2018 and 2017, revenues generated under the SBIR program represented 37% and 38%, respectively, of our total revenues.</w:t>
      </w:r>
    </w:p>
    <w:p>
      <w:pPr>
        <w:spacing w:after="0" w:line="79" w:lineRule="exact"/>
        <w:rPr>
          <w:sz w:val="20"/>
          <w:szCs w:val="20"/>
          <w:color w:val="auto"/>
        </w:rPr>
      </w:pPr>
    </w:p>
    <w:p>
      <w:pPr>
        <w:ind w:right="60" w:firstLine="432"/>
        <w:spacing w:after="0" w:line="312" w:lineRule="auto"/>
        <w:rPr>
          <w:sz w:val="20"/>
          <w:szCs w:val="20"/>
          <w:color w:val="auto"/>
        </w:rPr>
      </w:pPr>
      <w:r>
        <w:rPr>
          <w:rFonts w:ascii="Arial" w:cs="Arial" w:eastAsia="Arial" w:hAnsi="Arial"/>
          <w:sz w:val="16"/>
          <w:szCs w:val="16"/>
          <w:color w:val="auto"/>
        </w:rPr>
        <w:t>We may not continue to qualify to participate in the SBIR program or to receive new SBIR awards from federal agencies. In order to qualify for SBIR contracts and grants, we must meet certain size and ownership eligibility criteria. These eligibility criteria are applied as of the time of the award of a contract or grant. A company can be declared ineligible for a contract award as a result of a size challenge filed with the SBA by a competitor or a federal agency.</w:t>
      </w:r>
    </w:p>
    <w:p>
      <w:pPr>
        <w:spacing w:after="0" w:line="39" w:lineRule="exact"/>
        <w:rPr>
          <w:sz w:val="20"/>
          <w:szCs w:val="20"/>
          <w:color w:val="auto"/>
        </w:rPr>
      </w:pPr>
    </w:p>
    <w:p>
      <w:pPr>
        <w:ind w:right="80" w:firstLine="432"/>
        <w:spacing w:after="0" w:line="302" w:lineRule="auto"/>
        <w:rPr>
          <w:sz w:val="20"/>
          <w:szCs w:val="20"/>
          <w:color w:val="auto"/>
        </w:rPr>
      </w:pPr>
      <w:r>
        <w:rPr>
          <w:rFonts w:ascii="Arial" w:cs="Arial" w:eastAsia="Arial" w:hAnsi="Arial"/>
          <w:sz w:val="16"/>
          <w:szCs w:val="16"/>
          <w:color w:val="auto"/>
        </w:rPr>
        <w:t>In order to be eligible for SBIR contracts and grants, under current SBA rules we must be more than 50% owned and controlled by individuals who are U.S. citizens or permanent resident aliens, and/or other small business concerns (each of which is more than 50% owned and controlled by individuals who are U.S. citizens or permanent resident aliens) or certain qualified investment companies. In the event our institutional ownership significantly increases, either because of increased buying by institutions or selling by individuals, we could lose eligibility for new SBIR contracts and grants.</w:t>
      </w:r>
    </w:p>
    <w:p>
      <w:pPr>
        <w:spacing w:after="0" w:line="18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35</w:t>
      </w:r>
    </w:p>
    <w:p>
      <w:pPr>
        <w:sectPr>
          <w:pgSz w:w="11900" w:h="16838" w:orient="portrait"/>
          <w:cols w:equalWidth="0" w:num="1">
            <w:col w:w="11420"/>
          </w:cols>
          <w:pgMar w:left="240" w:top="118" w:right="239" w:bottom="1440" w:gutter="0" w:footer="0" w:header="0"/>
        </w:sectPr>
      </w:pPr>
    </w:p>
    <w:bookmarkStart w:id="35" w:name="page36"/>
    <w:bookmarkEnd w:id="35"/>
    <w:p>
      <w:pPr>
        <w:spacing w:after="0"/>
        <w:rPr>
          <w:rFonts w:ascii="Arial" w:cs="Arial" w:eastAsia="Arial" w:hAnsi="Arial"/>
          <w:sz w:val="14"/>
          <w:szCs w:val="14"/>
          <w:b w:val="1"/>
          <w:bCs w:val="1"/>
          <w:u w:val="single" w:color="auto"/>
          <w:color w:val="0000EE"/>
        </w:rPr>
      </w:pPr>
      <w:hyperlink w:anchor="page2">
        <w:r>
          <w:rPr>
            <w:rFonts w:ascii="Arial" w:cs="Arial" w:eastAsia="Arial" w:hAnsi="Arial"/>
            <w:sz w:val="14"/>
            <w:szCs w:val="14"/>
            <w:b w:val="1"/>
            <w:bCs w:val="1"/>
            <w:u w:val="single" w:color="auto"/>
            <w:color w:val="0000EE"/>
          </w:rPr>
          <w:t>Table of Contents</w:t>
        </w:r>
      </w:hyperlink>
    </w:p>
    <w:p>
      <w:pPr>
        <w:spacing w:after="0" w:line="360" w:lineRule="exact"/>
        <w:rPr>
          <w:sz w:val="20"/>
          <w:szCs w:val="20"/>
          <w:color w:val="auto"/>
        </w:rPr>
      </w:pPr>
    </w:p>
    <w:p>
      <w:pPr>
        <w:ind w:right="40" w:firstLine="432"/>
        <w:spacing w:after="0" w:line="289" w:lineRule="auto"/>
        <w:rPr>
          <w:sz w:val="20"/>
          <w:szCs w:val="20"/>
          <w:color w:val="auto"/>
        </w:rPr>
      </w:pPr>
      <w:r>
        <w:rPr>
          <w:rFonts w:ascii="Arial" w:cs="Arial" w:eastAsia="Arial" w:hAnsi="Arial"/>
          <w:sz w:val="16"/>
          <w:szCs w:val="16"/>
          <w:color w:val="auto"/>
        </w:rPr>
        <w:t>Also, in order to be eligible for SBIR contracts and grants, the number of our employees, including those of any entities that are considered to be affiliated with us, cannot exceed 500. As of June 30, 2018, we had approximately 216 full-time employees. In determining whether we are affiliated with any other entity, the SBA may analyze whether another entity controls or has the power to control us. Carilion Clinic is our largest institutional stockholder. Since early 2011, a formal size determination by the SBA that focused on whether or not Carilion is or was our affiliate has been outstanding. Although we do not believe that Carilion has or had the power to control our company, we cannot assure you that the SBA will interpret its regulations in our favor on this question. If the SBA were to make a determination that we are or were affiliated with Carilion, we would exceed the size limitations, as Carilion has over 500 employees. In that case, we would lose eligibility for new SBIR contracts and grants and other awards that are set aside for small businesses based on the criterion of number of employees, and the relevant government agency would have the discretion to suspend performance on existing SBIR grants. The loss of our eligibility to receive SBIR awards would have a material adverse impact on our revenues, cash flows and our ability to fund our growth.</w:t>
      </w:r>
    </w:p>
    <w:p>
      <w:pPr>
        <w:spacing w:after="0" w:line="59" w:lineRule="exact"/>
        <w:rPr>
          <w:sz w:val="20"/>
          <w:szCs w:val="20"/>
          <w:color w:val="auto"/>
        </w:rPr>
      </w:pPr>
    </w:p>
    <w:p>
      <w:pPr>
        <w:ind w:right="220" w:firstLine="432"/>
        <w:spacing w:after="0" w:line="277" w:lineRule="auto"/>
        <w:rPr>
          <w:sz w:val="20"/>
          <w:szCs w:val="20"/>
          <w:color w:val="auto"/>
        </w:rPr>
      </w:pPr>
      <w:r>
        <w:rPr>
          <w:rFonts w:ascii="Arial" w:cs="Arial" w:eastAsia="Arial" w:hAnsi="Arial"/>
          <w:sz w:val="18"/>
          <w:szCs w:val="18"/>
          <w:color w:val="auto"/>
        </w:rPr>
        <w:t>Moreover, as our business grows, it is foreseeable that we will eventually exceed the SBIR size limitations, in which case we may be required to seek alternative sources of revenues or capital.</w:t>
      </w:r>
    </w:p>
    <w:p>
      <w:pPr>
        <w:spacing w:after="0" w:line="279" w:lineRule="exact"/>
        <w:rPr>
          <w:sz w:val="20"/>
          <w:szCs w:val="20"/>
          <w:color w:val="auto"/>
        </w:rPr>
      </w:pPr>
    </w:p>
    <w:p>
      <w:pPr>
        <w:ind w:right="720"/>
        <w:spacing w:after="0" w:line="277" w:lineRule="auto"/>
        <w:rPr>
          <w:sz w:val="20"/>
          <w:szCs w:val="20"/>
          <w:color w:val="auto"/>
        </w:rPr>
      </w:pPr>
      <w:r>
        <w:rPr>
          <w:rFonts w:ascii="Arial" w:cs="Arial" w:eastAsia="Arial" w:hAnsi="Arial"/>
          <w:sz w:val="18"/>
          <w:szCs w:val="18"/>
          <w:b w:val="1"/>
          <w:bCs w:val="1"/>
          <w:i w:val="1"/>
          <w:iCs w:val="1"/>
          <w:color w:val="auto"/>
        </w:rPr>
        <w:t>A decline in government research contract awards or government funding for existing or future government research contracts, including SBIR contracts, could adversely affect our revenues, cash flows and ability to fund our growth.</w:t>
      </w:r>
    </w:p>
    <w:p>
      <w:pPr>
        <w:spacing w:after="0" w:line="62" w:lineRule="exact"/>
        <w:rPr>
          <w:sz w:val="20"/>
          <w:szCs w:val="20"/>
          <w:color w:val="auto"/>
        </w:rPr>
      </w:pPr>
    </w:p>
    <w:p>
      <w:pPr>
        <w:ind w:right="80" w:firstLine="432"/>
        <w:spacing w:after="0" w:line="290" w:lineRule="auto"/>
        <w:rPr>
          <w:sz w:val="20"/>
          <w:szCs w:val="20"/>
          <w:color w:val="auto"/>
        </w:rPr>
      </w:pPr>
      <w:r>
        <w:rPr>
          <w:rFonts w:ascii="Arial" w:cs="Arial" w:eastAsia="Arial" w:hAnsi="Arial"/>
          <w:sz w:val="16"/>
          <w:szCs w:val="16"/>
          <w:color w:val="auto"/>
        </w:rPr>
        <w:t>Technology Development segment revenues, which consist primarily of government-funded research, accounted for 39% and 41% of our consolidated total revenues for the six months ended June 30, 2018 and 2017, respectively. As a result, we are vulnerable to adverse changes in our revenues and cash flows if a significant number of our research contracts and subcontracts were to be simultaneously delayed or canceled for budgetary, performance or other reasons. For example, the U.S. government may cancel these contracts at any time without cause and without penalty or may change its requirements, programs or contract budget, any of which could reduce our revenues and cash flows from U.S. government research contracts. Our revenues and cash flows from U.S. government research contracts and subcontracts could also be reduced by declines or other changes in U.S. defense, homeland security and other federal agency budgets. In addition, we compete as a small business for some of these contracts, and in order to maintain our eligibility to compete as a small business, we, together with any affiliates, must continue to meet size and revenue limitations established by the U.S. government.</w:t>
      </w:r>
    </w:p>
    <w:p>
      <w:pPr>
        <w:spacing w:after="0" w:line="58" w:lineRule="exact"/>
        <w:rPr>
          <w:sz w:val="20"/>
          <w:szCs w:val="20"/>
          <w:color w:val="auto"/>
        </w:rPr>
      </w:pPr>
    </w:p>
    <w:p>
      <w:pPr>
        <w:jc w:val="both"/>
        <w:ind w:right="140" w:firstLine="432"/>
        <w:spacing w:after="0" w:line="264" w:lineRule="auto"/>
        <w:rPr>
          <w:sz w:val="20"/>
          <w:szCs w:val="20"/>
          <w:color w:val="auto"/>
        </w:rPr>
      </w:pPr>
      <w:r>
        <w:rPr>
          <w:rFonts w:ascii="Arial" w:cs="Arial" w:eastAsia="Arial" w:hAnsi="Arial"/>
          <w:sz w:val="18"/>
          <w:szCs w:val="18"/>
          <w:color w:val="auto"/>
        </w:rPr>
        <w:t>Our contract research customer base includes government agencies, corporations and academic institutions. Our customers are not obligated to extend their agreements with us and may elect not to do so. Also, our customers’ priorities regarding funding for certain projects may change and funding resources may no longer be available at previous levels.</w:t>
      </w:r>
    </w:p>
    <w:p>
      <w:pPr>
        <w:spacing w:after="0" w:line="73" w:lineRule="exact"/>
        <w:rPr>
          <w:sz w:val="20"/>
          <w:szCs w:val="20"/>
          <w:color w:val="auto"/>
        </w:rPr>
      </w:pPr>
    </w:p>
    <w:p>
      <w:pPr>
        <w:ind w:firstLine="432"/>
        <w:spacing w:after="0" w:line="271" w:lineRule="auto"/>
        <w:rPr>
          <w:sz w:val="20"/>
          <w:szCs w:val="20"/>
          <w:color w:val="auto"/>
        </w:rPr>
      </w:pPr>
      <w:r>
        <w:rPr>
          <w:rFonts w:ascii="Arial" w:cs="Arial" w:eastAsia="Arial" w:hAnsi="Arial"/>
          <w:sz w:val="17"/>
          <w:szCs w:val="17"/>
          <w:color w:val="auto"/>
        </w:rPr>
        <w:t>In addition to contract cancellations and changes in agency budgets, our future financial results may be adversely affected by curtailment of or restrictions on the U.S. government’s use of contract research providers, including curtailment due to government budget reductions and related fiscal matters or any legislation or resolution limiting the number or amount of awards we may receive. These or other factors could cause U.S. defense and other federal agencies to conduct research internally rather than through commercial research organizations or direct awards to other organizations, to reduce their overall contract research requirements or to exercise their rights to terminate contracts. Alternatively, the U.S. government may discontinue the SBIR program or its funding altogether. Also, SBIR regulations permit increased competition for SBIR awards from companies that may not have previously been eligible, such as those backed by venture capital operating companies, hedge funds and private equity firms. Any of these developments could limit our ability to obtain new contract awards and adversely affect our revenues, cash flows and ability to fund our growth.</w:t>
      </w:r>
    </w:p>
    <w:p>
      <w:pPr>
        <w:spacing w:after="0" w:line="287" w:lineRule="exact"/>
        <w:rPr>
          <w:sz w:val="20"/>
          <w:szCs w:val="20"/>
          <w:color w:val="auto"/>
        </w:rPr>
      </w:pPr>
    </w:p>
    <w:p>
      <w:pPr>
        <w:ind w:right="420"/>
        <w:spacing w:after="0" w:line="277" w:lineRule="auto"/>
        <w:rPr>
          <w:sz w:val="20"/>
          <w:szCs w:val="20"/>
          <w:color w:val="auto"/>
        </w:rPr>
      </w:pPr>
      <w:r>
        <w:rPr>
          <w:rFonts w:ascii="Arial" w:cs="Arial" w:eastAsia="Arial" w:hAnsi="Arial"/>
          <w:sz w:val="18"/>
          <w:szCs w:val="18"/>
          <w:b w:val="1"/>
          <w:bCs w:val="1"/>
          <w:i w:val="1"/>
          <w:iCs w:val="1"/>
          <w:color w:val="auto"/>
        </w:rPr>
        <w:t>Our failure to attract, train and retain skilled employees or members of our senior management and to obtain necessary security clearances for such persons or maintain a facility security clearance would adversely affect our business and operating results.</w:t>
      </w:r>
    </w:p>
    <w:p>
      <w:pPr>
        <w:spacing w:after="0" w:line="62" w:lineRule="exact"/>
        <w:rPr>
          <w:sz w:val="20"/>
          <w:szCs w:val="20"/>
          <w:color w:val="auto"/>
        </w:rPr>
      </w:pPr>
    </w:p>
    <w:p>
      <w:pPr>
        <w:ind w:right="160" w:firstLine="432"/>
        <w:spacing w:after="0" w:line="253" w:lineRule="auto"/>
        <w:rPr>
          <w:sz w:val="20"/>
          <w:szCs w:val="20"/>
          <w:color w:val="auto"/>
        </w:rPr>
      </w:pPr>
      <w:r>
        <w:rPr>
          <w:rFonts w:ascii="Arial" w:cs="Arial" w:eastAsia="Arial" w:hAnsi="Arial"/>
          <w:sz w:val="18"/>
          <w:szCs w:val="18"/>
          <w:color w:val="auto"/>
        </w:rPr>
        <w:t>The availability of highly trained and skilled technical and professional personnel is critical to our future growth and profitability. Competition for scientists, engineers, technicians and professional personnel is intense and our competitors aggressively recruit key employees. In the past, we have experienced difficulties in recruiting and hiring these personnel as a result of the tight labor market in certain fields. Any difficulty in hiring or retaining qualified employees, combined with our growth strategy and future needs for additional experienced personnel, particularly in highly specialized areas such as nanomaterial manufacturing and fiber optic sensing technologies, may make it more difficult to meet all of our needs for these employees in a timely manner. Although we intend to continue to devote significant resources to recruit, train and retain qualified employees, we may not be able to attract and retain these employees, especially in technical fields in which the supply of experienced qualified candidates is limited, or at the senior management level. Any failure to do so would have an adverse effect on our business. Any loss of key personnel could have a material adverse effect on our ability to meet key operational</w:t>
      </w:r>
    </w:p>
    <w:p>
      <w:pPr>
        <w:spacing w:after="0" w:line="22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36</w:t>
      </w:r>
    </w:p>
    <w:p>
      <w:pPr>
        <w:sectPr>
          <w:pgSz w:w="11900" w:h="16838" w:orient="portrait"/>
          <w:cols w:equalWidth="0" w:num="1">
            <w:col w:w="11420"/>
          </w:cols>
          <w:pgMar w:left="240" w:top="118" w:right="239" w:bottom="1440" w:gutter="0" w:footer="0" w:header="0"/>
        </w:sectPr>
      </w:pPr>
    </w:p>
    <w:bookmarkStart w:id="36" w:name="page37"/>
    <w:bookmarkEnd w:id="36"/>
    <w:p>
      <w:pPr>
        <w:spacing w:after="0"/>
        <w:rPr>
          <w:rFonts w:ascii="Arial" w:cs="Arial" w:eastAsia="Arial" w:hAnsi="Arial"/>
          <w:sz w:val="14"/>
          <w:szCs w:val="14"/>
          <w:b w:val="1"/>
          <w:bCs w:val="1"/>
          <w:u w:val="single" w:color="auto"/>
          <w:color w:val="0000EE"/>
        </w:rPr>
      </w:pPr>
      <w:hyperlink w:anchor="page2">
        <w:r>
          <w:rPr>
            <w:rFonts w:ascii="Arial" w:cs="Arial" w:eastAsia="Arial" w:hAnsi="Arial"/>
            <w:sz w:val="14"/>
            <w:szCs w:val="14"/>
            <w:b w:val="1"/>
            <w:bCs w:val="1"/>
            <w:u w:val="single" w:color="auto"/>
            <w:color w:val="0000EE"/>
          </w:rPr>
          <w:t>Table of Contents</w:t>
        </w:r>
      </w:hyperlink>
    </w:p>
    <w:p>
      <w:pPr>
        <w:spacing w:after="0" w:line="360" w:lineRule="exact"/>
        <w:rPr>
          <w:sz w:val="20"/>
          <w:szCs w:val="20"/>
          <w:color w:val="auto"/>
        </w:rPr>
      </w:pPr>
    </w:p>
    <w:p>
      <w:pPr>
        <w:ind w:right="140"/>
        <w:spacing w:after="0" w:line="277" w:lineRule="auto"/>
        <w:rPr>
          <w:sz w:val="20"/>
          <w:szCs w:val="20"/>
          <w:color w:val="auto"/>
        </w:rPr>
      </w:pPr>
      <w:r>
        <w:rPr>
          <w:rFonts w:ascii="Arial" w:cs="Arial" w:eastAsia="Arial" w:hAnsi="Arial"/>
          <w:sz w:val="18"/>
          <w:szCs w:val="18"/>
          <w:color w:val="auto"/>
        </w:rPr>
        <w:t>objectives, such as timely and effective project milestones and product introductions, which in turn could adversely affect our business, results of operations and financial condition.</w:t>
      </w:r>
    </w:p>
    <w:p>
      <w:pPr>
        <w:spacing w:after="0" w:line="62" w:lineRule="exact"/>
        <w:rPr>
          <w:sz w:val="20"/>
          <w:szCs w:val="20"/>
          <w:color w:val="auto"/>
        </w:rPr>
      </w:pPr>
    </w:p>
    <w:p>
      <w:pPr>
        <w:ind w:right="160" w:firstLine="432"/>
        <w:spacing w:after="0" w:line="279" w:lineRule="auto"/>
        <w:rPr>
          <w:sz w:val="20"/>
          <w:szCs w:val="20"/>
          <w:color w:val="auto"/>
        </w:rPr>
      </w:pPr>
      <w:r>
        <w:rPr>
          <w:rFonts w:ascii="Arial" w:cs="Arial" w:eastAsia="Arial" w:hAnsi="Arial"/>
          <w:sz w:val="17"/>
          <w:szCs w:val="17"/>
          <w:color w:val="auto"/>
        </w:rPr>
        <w:t>We provide certain services to the U.S. government that require us to maintain a facility security clearance and for certain of our employees and our board chairman to hold security clearances. In general, the failure for necessary persons to obtain or retain sufficient security clearances, any loss by us of a facility security clearance or any public reprimand related to security matters could result in a U.S. government customer terminating an existing contract or choosing not to renew a contract or prevent us from bidding on or winning certain new government contracts.</w:t>
      </w:r>
    </w:p>
    <w:p>
      <w:pPr>
        <w:spacing w:after="0" w:line="63" w:lineRule="exact"/>
        <w:rPr>
          <w:sz w:val="20"/>
          <w:szCs w:val="20"/>
          <w:color w:val="auto"/>
        </w:rPr>
      </w:pPr>
    </w:p>
    <w:p>
      <w:pPr>
        <w:ind w:right="100" w:firstLine="432"/>
        <w:spacing w:after="0" w:line="264" w:lineRule="auto"/>
        <w:rPr>
          <w:sz w:val="20"/>
          <w:szCs w:val="20"/>
          <w:color w:val="auto"/>
        </w:rPr>
      </w:pPr>
      <w:r>
        <w:rPr>
          <w:rFonts w:ascii="Arial" w:cs="Arial" w:eastAsia="Arial" w:hAnsi="Arial"/>
          <w:sz w:val="18"/>
          <w:szCs w:val="18"/>
          <w:color w:val="auto"/>
        </w:rPr>
        <w:t>In addition, our future success depends in a large part upon the continued service of key members of our senior management team. We do not maintain any key-person life insurance policies on our officers. The loss of any members of our management team or other key personnel could seriously harm our business.</w:t>
      </w:r>
    </w:p>
    <w:p>
      <w:pPr>
        <w:spacing w:after="0" w:line="289" w:lineRule="exact"/>
        <w:rPr>
          <w:sz w:val="20"/>
          <w:szCs w:val="20"/>
          <w:color w:val="auto"/>
        </w:rPr>
      </w:pPr>
    </w:p>
    <w:p>
      <w:pPr>
        <w:ind w:right="360"/>
        <w:spacing w:after="0" w:line="277" w:lineRule="auto"/>
        <w:rPr>
          <w:sz w:val="20"/>
          <w:szCs w:val="20"/>
          <w:color w:val="auto"/>
        </w:rPr>
      </w:pPr>
      <w:r>
        <w:rPr>
          <w:rFonts w:ascii="Arial" w:cs="Arial" w:eastAsia="Arial" w:hAnsi="Arial"/>
          <w:sz w:val="18"/>
          <w:szCs w:val="18"/>
          <w:b w:val="1"/>
          <w:bCs w:val="1"/>
          <w:i w:val="1"/>
          <w:iCs w:val="1"/>
          <w:color w:val="auto"/>
        </w:rPr>
        <w:t>Our business is subject to the cyclical nature of the markets in which we compete and any future downturn may reduce demand for our products and revenue.</w:t>
      </w:r>
    </w:p>
    <w:p>
      <w:pPr>
        <w:spacing w:after="0" w:line="62" w:lineRule="exact"/>
        <w:rPr>
          <w:sz w:val="20"/>
          <w:szCs w:val="20"/>
          <w:color w:val="auto"/>
        </w:rPr>
      </w:pPr>
    </w:p>
    <w:p>
      <w:pPr>
        <w:ind w:right="320" w:firstLine="432"/>
        <w:spacing w:after="0" w:line="312" w:lineRule="auto"/>
        <w:rPr>
          <w:sz w:val="20"/>
          <w:szCs w:val="20"/>
          <w:color w:val="auto"/>
        </w:rPr>
      </w:pPr>
      <w:r>
        <w:rPr>
          <w:rFonts w:ascii="Arial" w:cs="Arial" w:eastAsia="Arial" w:hAnsi="Arial"/>
          <w:sz w:val="16"/>
          <w:szCs w:val="16"/>
          <w:color w:val="auto"/>
        </w:rPr>
        <w:t>Many factors beyond our control affect our business, including consumer confidence in the economy, interest rates, fuel prices and the general availability of credit. The overall economic climate and changes in Gross National Product growth have a direct impact on some of our customers and the demand for our products. We cannot be sure that our business will not be adversely affected as a result of an industry or general economic downturn.</w:t>
      </w:r>
    </w:p>
    <w:p>
      <w:pPr>
        <w:spacing w:after="0" w:line="39" w:lineRule="exact"/>
        <w:rPr>
          <w:sz w:val="20"/>
          <w:szCs w:val="20"/>
          <w:color w:val="auto"/>
        </w:rPr>
      </w:pPr>
    </w:p>
    <w:p>
      <w:pPr>
        <w:ind w:right="300" w:firstLine="432"/>
        <w:spacing w:after="0" w:line="277" w:lineRule="auto"/>
        <w:rPr>
          <w:sz w:val="20"/>
          <w:szCs w:val="20"/>
          <w:color w:val="auto"/>
        </w:rPr>
      </w:pPr>
      <w:r>
        <w:rPr>
          <w:rFonts w:ascii="Arial" w:cs="Arial" w:eastAsia="Arial" w:hAnsi="Arial"/>
          <w:sz w:val="18"/>
          <w:szCs w:val="18"/>
          <w:color w:val="auto"/>
        </w:rPr>
        <w:t>Our customers may reduce capital expenditures and have difficulty satisfying liquidity needs because of continued turbulence in the U.S. and global economies, resulting in reduced sales of our products and harm to our financial condition and results of operations.</w:t>
      </w:r>
    </w:p>
    <w:p>
      <w:pPr>
        <w:spacing w:after="0" w:line="62" w:lineRule="exact"/>
        <w:rPr>
          <w:sz w:val="20"/>
          <w:szCs w:val="20"/>
          <w:color w:val="auto"/>
        </w:rPr>
      </w:pPr>
    </w:p>
    <w:p>
      <w:pPr>
        <w:ind w:right="120" w:firstLine="432"/>
        <w:spacing w:after="0" w:line="302" w:lineRule="auto"/>
        <w:rPr>
          <w:sz w:val="20"/>
          <w:szCs w:val="20"/>
          <w:color w:val="auto"/>
        </w:rPr>
      </w:pPr>
      <w:r>
        <w:rPr>
          <w:rFonts w:ascii="Arial" w:cs="Arial" w:eastAsia="Arial" w:hAnsi="Arial"/>
          <w:sz w:val="16"/>
          <w:szCs w:val="16"/>
          <w:color w:val="auto"/>
        </w:rPr>
        <w:t>In particular, our historical results of operations have been subject to substantial fluctuations, and we may experience substantial period-to-period fluctuations in future results of operations. Any future downturn in the markets in which we compete could significantly reduce the demand for our products and therefore may result in a significant reduction in revenue or increase the volatility of the price of our common stock. Our revenue and results of operations may be adversely affected in the future due to changes in demand from customers or cyclical changes in the markets utilizing our products.</w:t>
      </w:r>
    </w:p>
    <w:p>
      <w:pPr>
        <w:spacing w:after="0" w:line="46" w:lineRule="exact"/>
        <w:rPr>
          <w:sz w:val="20"/>
          <w:szCs w:val="20"/>
          <w:color w:val="auto"/>
        </w:rPr>
      </w:pPr>
    </w:p>
    <w:p>
      <w:pPr>
        <w:ind w:right="40" w:firstLine="432"/>
        <w:spacing w:after="0" w:line="276" w:lineRule="auto"/>
        <w:rPr>
          <w:sz w:val="20"/>
          <w:szCs w:val="20"/>
          <w:color w:val="auto"/>
        </w:rPr>
      </w:pPr>
      <w:r>
        <w:rPr>
          <w:rFonts w:ascii="Arial" w:cs="Arial" w:eastAsia="Arial" w:hAnsi="Arial"/>
          <w:sz w:val="17"/>
          <w:szCs w:val="17"/>
          <w:color w:val="auto"/>
        </w:rPr>
        <w:t>In addition, the telecommunications industry has, from time to time, experienced, and may again experience, a pronounced downturn. To respond to a downturn, many service providers may slow their capital expenditures, cancel or delay new developments, reduce their workforces and inventories and take a cautious approach to acquiring new equipment and technologies from original equipment manufacturers, which would have a negative impact on our business. Weakness in the global economy or a future downturn in the telecommunications industry may cause our results of operations to fluctuate from quarter-to-quarter and year-to-year, harm our business, and may increase the volatility of the price of our common stock.</w:t>
      </w:r>
    </w:p>
    <w:p>
      <w:pPr>
        <w:spacing w:after="0" w:line="281" w:lineRule="exact"/>
        <w:rPr>
          <w:sz w:val="20"/>
          <w:szCs w:val="20"/>
          <w:color w:val="auto"/>
        </w:rPr>
      </w:pPr>
    </w:p>
    <w:p>
      <w:pPr>
        <w:ind w:right="180"/>
        <w:spacing w:after="0" w:line="277" w:lineRule="auto"/>
        <w:rPr>
          <w:sz w:val="20"/>
          <w:szCs w:val="20"/>
          <w:color w:val="auto"/>
        </w:rPr>
      </w:pPr>
      <w:r>
        <w:rPr>
          <w:rFonts w:ascii="Arial" w:cs="Arial" w:eastAsia="Arial" w:hAnsi="Arial"/>
          <w:sz w:val="18"/>
          <w:szCs w:val="18"/>
          <w:b w:val="1"/>
          <w:bCs w:val="1"/>
          <w:i w:val="1"/>
          <w:iCs w:val="1"/>
          <w:color w:val="auto"/>
        </w:rPr>
        <w:t>Customer acceptance of our products is dependent on our ability to meet changing requirements, and any decrease in acceptance could adversely affect our revenue.</w:t>
      </w:r>
    </w:p>
    <w:p>
      <w:pPr>
        <w:spacing w:after="0" w:line="62" w:lineRule="exact"/>
        <w:rPr>
          <w:sz w:val="20"/>
          <w:szCs w:val="20"/>
          <w:color w:val="auto"/>
        </w:rPr>
      </w:pPr>
    </w:p>
    <w:p>
      <w:pPr>
        <w:ind w:firstLine="432"/>
        <w:spacing w:after="0" w:line="264" w:lineRule="auto"/>
        <w:rPr>
          <w:sz w:val="20"/>
          <w:szCs w:val="20"/>
          <w:color w:val="auto"/>
        </w:rPr>
      </w:pPr>
      <w:r>
        <w:rPr>
          <w:rFonts w:ascii="Arial" w:cs="Arial" w:eastAsia="Arial" w:hAnsi="Arial"/>
          <w:sz w:val="18"/>
          <w:szCs w:val="18"/>
          <w:color w:val="auto"/>
        </w:rPr>
        <w:t>Customer acceptance of our products is significantly dependent on our ability to offer products that meet the changing requirements of our customers, including telecommunication, military, medical and industrial corporations, as well as government agencies. Any decrease in the level of customer acceptance of our products could harm our business.</w:t>
      </w:r>
    </w:p>
    <w:p>
      <w:pPr>
        <w:spacing w:after="0" w:line="289" w:lineRule="exact"/>
        <w:rPr>
          <w:sz w:val="20"/>
          <w:szCs w:val="20"/>
          <w:color w:val="auto"/>
        </w:rPr>
      </w:pPr>
    </w:p>
    <w:p>
      <w:pPr>
        <w:spacing w:after="0"/>
        <w:rPr>
          <w:sz w:val="20"/>
          <w:szCs w:val="20"/>
          <w:color w:val="auto"/>
        </w:rPr>
      </w:pPr>
      <w:r>
        <w:rPr>
          <w:rFonts w:ascii="Arial" w:cs="Arial" w:eastAsia="Arial" w:hAnsi="Arial"/>
          <w:sz w:val="15"/>
          <w:szCs w:val="15"/>
          <w:b w:val="1"/>
          <w:bCs w:val="1"/>
          <w:i w:val="1"/>
          <w:iCs w:val="1"/>
          <w:color w:val="auto"/>
        </w:rPr>
        <w:t>Our products must meet exacting specifications, and defects and failures may occur, which may cause customers to return or stop buying our products.</w:t>
      </w:r>
    </w:p>
    <w:p>
      <w:pPr>
        <w:spacing w:after="0" w:line="152" w:lineRule="exact"/>
        <w:rPr>
          <w:sz w:val="20"/>
          <w:szCs w:val="20"/>
          <w:color w:val="auto"/>
        </w:rPr>
      </w:pPr>
    </w:p>
    <w:p>
      <w:pPr>
        <w:ind w:firstLine="432"/>
        <w:spacing w:after="0" w:line="271" w:lineRule="auto"/>
        <w:rPr>
          <w:sz w:val="20"/>
          <w:szCs w:val="20"/>
          <w:color w:val="auto"/>
        </w:rPr>
      </w:pPr>
      <w:r>
        <w:rPr>
          <w:rFonts w:ascii="Arial" w:cs="Arial" w:eastAsia="Arial" w:hAnsi="Arial"/>
          <w:sz w:val="17"/>
          <w:szCs w:val="17"/>
          <w:color w:val="auto"/>
        </w:rPr>
        <w:t>Our customers generally establish demanding specifications for quality, performance and reliability that our products must meet. However, our products are highly complex and may contain defects and failures when they are first introduced or as new versions are released. Our products are also subject to rough environments as they are integrated into our customer products for use by the end customers. If defects and failures occur in our products, we could experience lost revenue, increased costs, including warranty expense and costs associated with customer support, delays in or cancellations or rescheduling of orders or shipments, product returns or discounts, diversion of management resources or damage to our reputation and brand equity, and in some cases consequential damages, any of which would harm our operating results. In addition, delays in our ability to fill product orders as a result of quality control issues may negatively impact our relationship with our customers. We cannot assure you that we will have sufficient resources, including any available insurance, to satisfy any asserted claims.</w:t>
      </w:r>
    </w:p>
    <w:p>
      <w:pPr>
        <w:spacing w:after="0" w:line="287" w:lineRule="exact"/>
        <w:rPr>
          <w:sz w:val="20"/>
          <w:szCs w:val="20"/>
          <w:color w:val="auto"/>
        </w:rPr>
      </w:pPr>
    </w:p>
    <w:p>
      <w:pPr>
        <w:spacing w:after="0"/>
        <w:rPr>
          <w:sz w:val="20"/>
          <w:szCs w:val="20"/>
          <w:color w:val="auto"/>
        </w:rPr>
      </w:pPr>
      <w:r>
        <w:rPr>
          <w:rFonts w:ascii="Arial" w:cs="Arial" w:eastAsia="Arial" w:hAnsi="Arial"/>
          <w:sz w:val="16"/>
          <w:szCs w:val="16"/>
          <w:b w:val="1"/>
          <w:bCs w:val="1"/>
          <w:i w:val="1"/>
          <w:iCs w:val="1"/>
          <w:color w:val="auto"/>
        </w:rPr>
        <w:t>Rapidly changing standards and regulations could make our products obsolete, which would cause our revenue and results of operations to suffer.</w:t>
      </w:r>
    </w:p>
    <w:p>
      <w:pPr>
        <w:spacing w:after="0" w:line="27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37</w:t>
      </w:r>
    </w:p>
    <w:p>
      <w:pPr>
        <w:sectPr>
          <w:pgSz w:w="11900" w:h="16838" w:orient="portrait"/>
          <w:cols w:equalWidth="0" w:num="1">
            <w:col w:w="11400"/>
          </w:cols>
          <w:pgMar w:left="240" w:top="118" w:right="259" w:bottom="1440" w:gutter="0" w:footer="0" w:header="0"/>
        </w:sectPr>
      </w:pPr>
    </w:p>
    <w:bookmarkStart w:id="37" w:name="page38"/>
    <w:bookmarkEnd w:id="37"/>
    <w:p>
      <w:pPr>
        <w:spacing w:after="0"/>
        <w:rPr>
          <w:rFonts w:ascii="Arial" w:cs="Arial" w:eastAsia="Arial" w:hAnsi="Arial"/>
          <w:sz w:val="14"/>
          <w:szCs w:val="14"/>
          <w:b w:val="1"/>
          <w:bCs w:val="1"/>
          <w:u w:val="single" w:color="auto"/>
          <w:color w:val="0000EE"/>
        </w:rPr>
      </w:pPr>
      <w:hyperlink w:anchor="page2">
        <w:r>
          <w:rPr>
            <w:rFonts w:ascii="Arial" w:cs="Arial" w:eastAsia="Arial" w:hAnsi="Arial"/>
            <w:sz w:val="14"/>
            <w:szCs w:val="14"/>
            <w:b w:val="1"/>
            <w:bCs w:val="1"/>
            <w:u w:val="single" w:color="auto"/>
            <w:color w:val="0000EE"/>
          </w:rPr>
          <w:t>Table of Contents</w:t>
        </w:r>
      </w:hyperlink>
    </w:p>
    <w:p>
      <w:pPr>
        <w:spacing w:after="0" w:line="360" w:lineRule="exact"/>
        <w:rPr>
          <w:sz w:val="20"/>
          <w:szCs w:val="20"/>
          <w:color w:val="auto"/>
        </w:rPr>
      </w:pPr>
    </w:p>
    <w:p>
      <w:pPr>
        <w:ind w:firstLine="432"/>
        <w:spacing w:after="0" w:line="255" w:lineRule="auto"/>
        <w:rPr>
          <w:sz w:val="20"/>
          <w:szCs w:val="20"/>
          <w:color w:val="auto"/>
        </w:rPr>
      </w:pPr>
      <w:r>
        <w:rPr>
          <w:rFonts w:ascii="Arial" w:cs="Arial" w:eastAsia="Arial" w:hAnsi="Arial"/>
          <w:sz w:val="18"/>
          <w:szCs w:val="18"/>
          <w:color w:val="auto"/>
        </w:rPr>
        <w:t>We design products to conform to our customers’ requirements and our customers’ systems may be subject to regulations established by governments or industry standards bodies worldwide. Because some of our products are designed to conform to current specific industry standards, if competing or new standards emerge that are preferred by our customers, we would have to make significant expenditures to develop new products. If our customers adopt new or competing industry standards with which our products are not compatible, or the industry groups adopt standards or governments issue regulations with which our products are not compatible, our existing products would become less desirable to our customers and our revenue and results of operations would suffer.</w:t>
      </w:r>
    </w:p>
    <w:p>
      <w:pPr>
        <w:spacing w:after="0" w:line="301" w:lineRule="exact"/>
        <w:rPr>
          <w:sz w:val="20"/>
          <w:szCs w:val="20"/>
          <w:color w:val="auto"/>
        </w:rPr>
      </w:pPr>
    </w:p>
    <w:p>
      <w:pPr>
        <w:ind w:right="420"/>
        <w:spacing w:after="0" w:line="277" w:lineRule="auto"/>
        <w:rPr>
          <w:sz w:val="20"/>
          <w:szCs w:val="20"/>
          <w:color w:val="auto"/>
        </w:rPr>
      </w:pPr>
      <w:r>
        <w:rPr>
          <w:rFonts w:ascii="Arial" w:cs="Arial" w:eastAsia="Arial" w:hAnsi="Arial"/>
          <w:sz w:val="18"/>
          <w:szCs w:val="18"/>
          <w:b w:val="1"/>
          <w:bCs w:val="1"/>
          <w:i w:val="1"/>
          <w:iCs w:val="1"/>
          <w:color w:val="auto"/>
        </w:rPr>
        <w:t>The markets for many of our products are characterized by changing technology which could cause obsolescence of our products, and we may incur substantial costs in delivering new products.</w:t>
      </w:r>
    </w:p>
    <w:p>
      <w:pPr>
        <w:spacing w:after="0" w:line="62" w:lineRule="exact"/>
        <w:rPr>
          <w:sz w:val="20"/>
          <w:szCs w:val="20"/>
          <w:color w:val="auto"/>
        </w:rPr>
      </w:pPr>
    </w:p>
    <w:p>
      <w:pPr>
        <w:ind w:right="240" w:firstLine="432"/>
        <w:spacing w:after="0" w:line="269" w:lineRule="auto"/>
        <w:rPr>
          <w:sz w:val="20"/>
          <w:szCs w:val="20"/>
          <w:color w:val="auto"/>
        </w:rPr>
      </w:pPr>
      <w:r>
        <w:rPr>
          <w:rFonts w:ascii="Arial" w:cs="Arial" w:eastAsia="Arial" w:hAnsi="Arial"/>
          <w:sz w:val="17"/>
          <w:szCs w:val="17"/>
          <w:color w:val="auto"/>
        </w:rPr>
        <w:t>The markets for many of our products are characterized by changing technology, new product introductions and product enhancements, and evolving industry standards. The introduction or enhancement of products embodying new technology or the emergence of new industry standards could render existing products obsolete, and result in a write down to the value of our inventory, or result in shortened product life cycles. Accordingly, our ability to compete is in part dependent on our ability to continually offer enhanced and improved products.</w:t>
      </w:r>
    </w:p>
    <w:p>
      <w:pPr>
        <w:spacing w:after="0" w:line="2" w:lineRule="exact"/>
        <w:rPr>
          <w:sz w:val="20"/>
          <w:szCs w:val="20"/>
          <w:color w:val="auto"/>
        </w:rPr>
      </w:pPr>
    </w:p>
    <w:p>
      <w:pPr>
        <w:ind w:left="420"/>
        <w:spacing w:after="0"/>
        <w:rPr>
          <w:sz w:val="20"/>
          <w:szCs w:val="20"/>
          <w:color w:val="auto"/>
        </w:rPr>
      </w:pPr>
      <w:r>
        <w:rPr>
          <w:rFonts w:ascii="Arial" w:cs="Arial" w:eastAsia="Arial" w:hAnsi="Arial"/>
          <w:sz w:val="18"/>
          <w:szCs w:val="18"/>
          <w:color w:val="auto"/>
        </w:rPr>
        <w:t>The success of our new product offerings will depend upon several factors, including our ability to:</w:t>
      </w:r>
    </w:p>
    <w:p>
      <w:pPr>
        <w:spacing w:after="0" w:line="211" w:lineRule="exact"/>
        <w:rPr>
          <w:sz w:val="20"/>
          <w:szCs w:val="20"/>
          <w:color w:val="auto"/>
        </w:rPr>
      </w:pPr>
    </w:p>
    <w:p>
      <w:pPr>
        <w:ind w:left="500" w:hanging="330"/>
        <w:spacing w:after="0"/>
        <w:tabs>
          <w:tab w:leader="none" w:pos="500" w:val="left"/>
        </w:tabs>
        <w:numPr>
          <w:ilvl w:val="0"/>
          <w:numId w:val="17"/>
        </w:numPr>
        <w:rPr>
          <w:rFonts w:ascii="Arial" w:cs="Arial" w:eastAsia="Arial" w:hAnsi="Arial"/>
          <w:sz w:val="18"/>
          <w:szCs w:val="18"/>
          <w:color w:val="auto"/>
        </w:rPr>
      </w:pPr>
      <w:r>
        <w:rPr>
          <w:rFonts w:ascii="Arial" w:cs="Arial" w:eastAsia="Arial" w:hAnsi="Arial"/>
          <w:sz w:val="18"/>
          <w:szCs w:val="18"/>
          <w:color w:val="auto"/>
        </w:rPr>
        <w:t>accurately anticipate customer needs;</w:t>
      </w:r>
    </w:p>
    <w:p>
      <w:pPr>
        <w:spacing w:after="0" w:line="23" w:lineRule="exact"/>
        <w:rPr>
          <w:rFonts w:ascii="Arial" w:cs="Arial" w:eastAsia="Arial" w:hAnsi="Arial"/>
          <w:sz w:val="18"/>
          <w:szCs w:val="18"/>
          <w:color w:val="auto"/>
        </w:rPr>
      </w:pPr>
    </w:p>
    <w:p>
      <w:pPr>
        <w:ind w:left="500" w:hanging="330"/>
        <w:spacing w:after="0"/>
        <w:tabs>
          <w:tab w:leader="none" w:pos="500" w:val="left"/>
        </w:tabs>
        <w:numPr>
          <w:ilvl w:val="0"/>
          <w:numId w:val="17"/>
        </w:numPr>
        <w:rPr>
          <w:rFonts w:ascii="Arial" w:cs="Arial" w:eastAsia="Arial" w:hAnsi="Arial"/>
          <w:sz w:val="18"/>
          <w:szCs w:val="18"/>
          <w:color w:val="auto"/>
        </w:rPr>
      </w:pPr>
      <w:r>
        <w:rPr>
          <w:rFonts w:ascii="Arial" w:cs="Arial" w:eastAsia="Arial" w:hAnsi="Arial"/>
          <w:sz w:val="18"/>
          <w:szCs w:val="18"/>
          <w:color w:val="auto"/>
        </w:rPr>
        <w:t>innovate and develop new technologies and applications;</w:t>
      </w:r>
    </w:p>
    <w:p>
      <w:pPr>
        <w:spacing w:after="0" w:line="9" w:lineRule="exact"/>
        <w:rPr>
          <w:rFonts w:ascii="Arial" w:cs="Arial" w:eastAsia="Arial" w:hAnsi="Arial"/>
          <w:sz w:val="18"/>
          <w:szCs w:val="18"/>
          <w:color w:val="auto"/>
        </w:rPr>
      </w:pPr>
    </w:p>
    <w:p>
      <w:pPr>
        <w:ind w:left="500" w:hanging="330"/>
        <w:spacing w:after="0"/>
        <w:tabs>
          <w:tab w:leader="none" w:pos="500" w:val="left"/>
        </w:tabs>
        <w:numPr>
          <w:ilvl w:val="0"/>
          <w:numId w:val="17"/>
        </w:numPr>
        <w:rPr>
          <w:rFonts w:ascii="Arial" w:cs="Arial" w:eastAsia="Arial" w:hAnsi="Arial"/>
          <w:sz w:val="18"/>
          <w:szCs w:val="18"/>
          <w:color w:val="auto"/>
        </w:rPr>
      </w:pPr>
      <w:r>
        <w:rPr>
          <w:rFonts w:ascii="Arial" w:cs="Arial" w:eastAsia="Arial" w:hAnsi="Arial"/>
          <w:sz w:val="18"/>
          <w:szCs w:val="18"/>
          <w:color w:val="auto"/>
        </w:rPr>
        <w:t>successfully commercialize new technologies in a timely manner;</w:t>
      </w:r>
    </w:p>
    <w:p>
      <w:pPr>
        <w:spacing w:after="0" w:line="9" w:lineRule="exact"/>
        <w:rPr>
          <w:rFonts w:ascii="Arial" w:cs="Arial" w:eastAsia="Arial" w:hAnsi="Arial"/>
          <w:sz w:val="18"/>
          <w:szCs w:val="18"/>
          <w:color w:val="auto"/>
        </w:rPr>
      </w:pPr>
    </w:p>
    <w:p>
      <w:pPr>
        <w:ind w:left="500" w:hanging="330"/>
        <w:spacing w:after="0"/>
        <w:tabs>
          <w:tab w:leader="none" w:pos="500" w:val="left"/>
        </w:tabs>
        <w:numPr>
          <w:ilvl w:val="0"/>
          <w:numId w:val="17"/>
        </w:numPr>
        <w:rPr>
          <w:rFonts w:ascii="Arial" w:cs="Arial" w:eastAsia="Arial" w:hAnsi="Arial"/>
          <w:sz w:val="18"/>
          <w:szCs w:val="18"/>
          <w:color w:val="auto"/>
        </w:rPr>
      </w:pPr>
      <w:r>
        <w:rPr>
          <w:rFonts w:ascii="Arial" w:cs="Arial" w:eastAsia="Arial" w:hAnsi="Arial"/>
          <w:sz w:val="18"/>
          <w:szCs w:val="18"/>
          <w:color w:val="auto"/>
        </w:rPr>
        <w:t>price products competitively and manufacture and deliver products in sufficient volumes and on time; and</w:t>
      </w:r>
    </w:p>
    <w:p>
      <w:pPr>
        <w:spacing w:after="0" w:line="9" w:lineRule="exact"/>
        <w:rPr>
          <w:rFonts w:ascii="Arial" w:cs="Arial" w:eastAsia="Arial" w:hAnsi="Arial"/>
          <w:sz w:val="18"/>
          <w:szCs w:val="18"/>
          <w:color w:val="auto"/>
        </w:rPr>
      </w:pPr>
    </w:p>
    <w:p>
      <w:pPr>
        <w:ind w:left="500" w:hanging="330"/>
        <w:spacing w:after="0"/>
        <w:tabs>
          <w:tab w:leader="none" w:pos="500" w:val="left"/>
        </w:tabs>
        <w:numPr>
          <w:ilvl w:val="0"/>
          <w:numId w:val="17"/>
        </w:numPr>
        <w:rPr>
          <w:rFonts w:ascii="Arial" w:cs="Arial" w:eastAsia="Arial" w:hAnsi="Arial"/>
          <w:sz w:val="18"/>
          <w:szCs w:val="18"/>
          <w:color w:val="auto"/>
        </w:rPr>
      </w:pPr>
      <w:r>
        <w:rPr>
          <w:rFonts w:ascii="Arial" w:cs="Arial" w:eastAsia="Arial" w:hAnsi="Arial"/>
          <w:sz w:val="18"/>
          <w:szCs w:val="18"/>
          <w:color w:val="auto"/>
        </w:rPr>
        <w:t>differentiate our product offerings from those of our competitors.</w:t>
      </w:r>
    </w:p>
    <w:p>
      <w:pPr>
        <w:spacing w:after="0" w:line="200" w:lineRule="exact"/>
        <w:rPr>
          <w:sz w:val="20"/>
          <w:szCs w:val="20"/>
          <w:color w:val="auto"/>
        </w:rPr>
      </w:pPr>
    </w:p>
    <w:p>
      <w:pPr>
        <w:spacing w:after="0" w:line="24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Our inability to find new customers or retain existing customers could harm our business.</w:t>
      </w:r>
    </w:p>
    <w:p>
      <w:pPr>
        <w:spacing w:after="0" w:line="117" w:lineRule="exact"/>
        <w:rPr>
          <w:sz w:val="20"/>
          <w:szCs w:val="20"/>
          <w:color w:val="auto"/>
        </w:rPr>
      </w:pPr>
    </w:p>
    <w:p>
      <w:pPr>
        <w:ind w:right="100" w:firstLine="432"/>
        <w:spacing w:after="0" w:line="259" w:lineRule="auto"/>
        <w:rPr>
          <w:sz w:val="20"/>
          <w:szCs w:val="20"/>
          <w:color w:val="auto"/>
        </w:rPr>
      </w:pPr>
      <w:r>
        <w:rPr>
          <w:rFonts w:ascii="Arial" w:cs="Arial" w:eastAsia="Arial" w:hAnsi="Arial"/>
          <w:sz w:val="18"/>
          <w:szCs w:val="18"/>
          <w:color w:val="auto"/>
        </w:rPr>
        <w:t>Our business is reliant on our ability to find new customers and retain existing customers. In particular, customers normally purchase certain of our products and incorporate them into products that they, in turn, sell in their own markets on an ongoing basis. As a result, the historical sales or these products have been dependent upon the success of our customers’ products and our future performance is dependent upon our success in finding new customers and receiving new orders from existing customers.</w:t>
      </w:r>
    </w:p>
    <w:p>
      <w:pPr>
        <w:spacing w:after="0" w:line="79" w:lineRule="exact"/>
        <w:rPr>
          <w:sz w:val="20"/>
          <w:szCs w:val="20"/>
          <w:color w:val="auto"/>
        </w:rPr>
      </w:pPr>
    </w:p>
    <w:p>
      <w:pPr>
        <w:jc w:val="both"/>
        <w:ind w:right="580" w:firstLine="432"/>
        <w:spacing w:after="0" w:line="264" w:lineRule="auto"/>
        <w:rPr>
          <w:sz w:val="20"/>
          <w:szCs w:val="20"/>
          <w:color w:val="auto"/>
        </w:rPr>
      </w:pPr>
      <w:r>
        <w:rPr>
          <w:rFonts w:ascii="Arial" w:cs="Arial" w:eastAsia="Arial" w:hAnsi="Arial"/>
          <w:sz w:val="18"/>
          <w:szCs w:val="18"/>
          <w:color w:val="auto"/>
        </w:rPr>
        <w:t>In several markets, the quality and reliability of our products are a major concern for our customers, not only upon the initial manufacture of the product, but for the life of the product. Many of our products are used in remote locations for higher value assembly, making servicing of our products unfeasible. Any failure of the quality or reliability of our products could harm our business.</w:t>
      </w:r>
    </w:p>
    <w:p>
      <w:pPr>
        <w:spacing w:after="0" w:line="28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If our customers do not qualify our products or if their customers do not qualify their products, our results of operations may suffer.</w:t>
      </w:r>
    </w:p>
    <w:p>
      <w:pPr>
        <w:spacing w:after="0" w:line="117" w:lineRule="exact"/>
        <w:rPr>
          <w:sz w:val="20"/>
          <w:szCs w:val="20"/>
          <w:color w:val="auto"/>
        </w:rPr>
      </w:pPr>
    </w:p>
    <w:p>
      <w:pPr>
        <w:ind w:right="100" w:firstLine="432"/>
        <w:spacing w:after="0" w:line="255" w:lineRule="auto"/>
        <w:rPr>
          <w:sz w:val="20"/>
          <w:szCs w:val="20"/>
          <w:color w:val="auto"/>
        </w:rPr>
      </w:pPr>
      <w:r>
        <w:rPr>
          <w:rFonts w:ascii="Arial" w:cs="Arial" w:eastAsia="Arial" w:hAnsi="Arial"/>
          <w:sz w:val="18"/>
          <w:szCs w:val="18"/>
          <w:color w:val="auto"/>
        </w:rPr>
        <w:t>Most of our customers do not purchase our products prior to qualification of the products and satisfactory completion of factory audits and vendor evaluation. Our existing products, as well as each new product, must pass through varying levels of qualification with our customers. In addition, because of the rapid technological changes in some markets, a customer may cancel or modify a design project before we begin large-scale manufacturing and receiving revenues from the customer. It is difficult to predict with any certainty whether our customers will delay or terminate product qualification or the frequency with which customers will cancel or modify their projects. Any such delay, cancellation or modification could have a negative effect on our results of operations.</w:t>
      </w:r>
    </w:p>
    <w:p>
      <w:pPr>
        <w:spacing w:after="0" w:line="85" w:lineRule="exact"/>
        <w:rPr>
          <w:sz w:val="20"/>
          <w:szCs w:val="20"/>
          <w:color w:val="auto"/>
        </w:rPr>
      </w:pPr>
    </w:p>
    <w:p>
      <w:pPr>
        <w:ind w:right="80" w:firstLine="432"/>
        <w:spacing w:after="0" w:line="276" w:lineRule="auto"/>
        <w:rPr>
          <w:sz w:val="20"/>
          <w:szCs w:val="20"/>
          <w:color w:val="auto"/>
        </w:rPr>
      </w:pPr>
      <w:r>
        <w:rPr>
          <w:rFonts w:ascii="Arial" w:cs="Arial" w:eastAsia="Arial" w:hAnsi="Arial"/>
          <w:sz w:val="17"/>
          <w:szCs w:val="17"/>
          <w:color w:val="auto"/>
        </w:rPr>
        <w:t>In addition, once a customer qualifies a particular supplier’s product or component, these potential customers design the product into their system, which is known as a design-in win. Suppliers whose products or components are not designed in are unlikely to make sales to that customer until at least the adoption of a future redesigned system. Even then, many customers may be reluctant to incorporate entirely new products into their new systems, as doing so could involve significant additional redesign efforts and increased costs. If we fail to achieve design-in wins in potential customers’ qualification processes, we will likely lose the opportunity for significant sales to those customers for a lengthy period of time.</w:t>
      </w:r>
    </w:p>
    <w:p>
      <w:pPr>
        <w:spacing w:after="0" w:line="64" w:lineRule="exact"/>
        <w:rPr>
          <w:sz w:val="20"/>
          <w:szCs w:val="20"/>
          <w:color w:val="auto"/>
        </w:rPr>
      </w:pPr>
    </w:p>
    <w:p>
      <w:pPr>
        <w:ind w:right="120" w:firstLine="432"/>
        <w:spacing w:after="0" w:line="259" w:lineRule="auto"/>
        <w:rPr>
          <w:sz w:val="20"/>
          <w:szCs w:val="20"/>
          <w:color w:val="auto"/>
        </w:rPr>
      </w:pPr>
      <w:r>
        <w:rPr>
          <w:rFonts w:ascii="Arial" w:cs="Arial" w:eastAsia="Arial" w:hAnsi="Arial"/>
          <w:sz w:val="18"/>
          <w:szCs w:val="18"/>
          <w:color w:val="auto"/>
        </w:rPr>
        <w:t>If the end user customers that purchase systems from our customers fail to qualify or delay qualifications of any products sold by our customers that contain our products, our business could be harmed. The qualification and field testing of our customers’ systems by end user customers is long and unpredictable. This process is not under our control or that of our customers and, as a result, the timing of our sales may be unpredictable. Any unanticipated delay in qualification of one of our</w:t>
      </w:r>
    </w:p>
    <w:p>
      <w:pPr>
        <w:spacing w:after="0" w:line="21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38</w:t>
      </w:r>
    </w:p>
    <w:p>
      <w:pPr>
        <w:sectPr>
          <w:pgSz w:w="11900" w:h="16838" w:orient="portrait"/>
          <w:cols w:equalWidth="0" w:num="1">
            <w:col w:w="11420"/>
          </w:cols>
          <w:pgMar w:left="240" w:top="118" w:right="239" w:bottom="1440" w:gutter="0" w:footer="0" w:header="0"/>
        </w:sectPr>
      </w:pPr>
    </w:p>
    <w:bookmarkStart w:id="38" w:name="page39"/>
    <w:bookmarkEnd w:id="38"/>
    <w:p>
      <w:pPr>
        <w:spacing w:after="0"/>
        <w:rPr>
          <w:rFonts w:ascii="Arial" w:cs="Arial" w:eastAsia="Arial" w:hAnsi="Arial"/>
          <w:sz w:val="14"/>
          <w:szCs w:val="14"/>
          <w:b w:val="1"/>
          <w:bCs w:val="1"/>
          <w:u w:val="single" w:color="auto"/>
          <w:color w:val="0000EE"/>
        </w:rPr>
      </w:pPr>
      <w:hyperlink w:anchor="page2">
        <w:r>
          <w:rPr>
            <w:rFonts w:ascii="Arial" w:cs="Arial" w:eastAsia="Arial" w:hAnsi="Arial"/>
            <w:sz w:val="14"/>
            <w:szCs w:val="14"/>
            <w:b w:val="1"/>
            <w:bCs w:val="1"/>
            <w:u w:val="single" w:color="auto"/>
            <w:color w:val="0000EE"/>
          </w:rPr>
          <w:t>Table of Contents</w:t>
        </w:r>
      </w:hyperlink>
    </w:p>
    <w:p>
      <w:pPr>
        <w:spacing w:after="0" w:line="360" w:lineRule="exact"/>
        <w:rPr>
          <w:sz w:val="20"/>
          <w:szCs w:val="20"/>
          <w:color w:val="auto"/>
        </w:rPr>
      </w:pPr>
    </w:p>
    <w:p>
      <w:pPr>
        <w:ind w:right="300"/>
        <w:spacing w:after="0" w:line="277" w:lineRule="auto"/>
        <w:rPr>
          <w:sz w:val="20"/>
          <w:szCs w:val="20"/>
          <w:color w:val="auto"/>
        </w:rPr>
      </w:pPr>
      <w:r>
        <w:rPr>
          <w:rFonts w:ascii="Arial" w:cs="Arial" w:eastAsia="Arial" w:hAnsi="Arial"/>
          <w:sz w:val="18"/>
          <w:szCs w:val="18"/>
          <w:color w:val="auto"/>
        </w:rPr>
        <w:t>customers’ products could result in the delay or cancellation of orders from our customers for products included in their equipment, which could harm our results of operations.</w:t>
      </w:r>
    </w:p>
    <w:p>
      <w:pPr>
        <w:spacing w:after="0" w:line="279" w:lineRule="exact"/>
        <w:rPr>
          <w:sz w:val="20"/>
          <w:szCs w:val="20"/>
          <w:color w:val="auto"/>
        </w:rPr>
      </w:pPr>
    </w:p>
    <w:p>
      <w:pPr>
        <w:ind w:right="400"/>
        <w:spacing w:after="0" w:line="277" w:lineRule="auto"/>
        <w:rPr>
          <w:sz w:val="20"/>
          <w:szCs w:val="20"/>
          <w:color w:val="auto"/>
        </w:rPr>
      </w:pPr>
      <w:r>
        <w:rPr>
          <w:rFonts w:ascii="Arial" w:cs="Arial" w:eastAsia="Arial" w:hAnsi="Arial"/>
          <w:sz w:val="18"/>
          <w:szCs w:val="18"/>
          <w:b w:val="1"/>
          <w:bCs w:val="1"/>
          <w:i w:val="1"/>
          <w:iCs w:val="1"/>
          <w:color w:val="auto"/>
        </w:rPr>
        <w:t>Customer demand for our products is difficult to accurately forecast and, as a result, we may be unable to optimally match production with customer demand, which could adversely affect our business and financial results.</w:t>
      </w:r>
    </w:p>
    <w:p>
      <w:pPr>
        <w:spacing w:after="0" w:line="62" w:lineRule="exact"/>
        <w:rPr>
          <w:sz w:val="20"/>
          <w:szCs w:val="20"/>
          <w:color w:val="auto"/>
        </w:rPr>
      </w:pPr>
    </w:p>
    <w:p>
      <w:pPr>
        <w:ind w:right="20" w:firstLine="432"/>
        <w:spacing w:after="0" w:line="288" w:lineRule="auto"/>
        <w:rPr>
          <w:sz w:val="20"/>
          <w:szCs w:val="20"/>
          <w:color w:val="auto"/>
        </w:rPr>
      </w:pPr>
      <w:r>
        <w:rPr>
          <w:rFonts w:ascii="Arial" w:cs="Arial" w:eastAsia="Arial" w:hAnsi="Arial"/>
          <w:sz w:val="16"/>
          <w:szCs w:val="16"/>
          <w:color w:val="auto"/>
        </w:rPr>
        <w:t>We make planning and spending decisions, including determining the levels of business that we will seek and accept, production schedules, inventory levels, component procurement commitments, personnel needs and other resource requirements, based on our estimates of customer requirements. The short-term nature of commitments by many of our customers and the possibility of unexpected changes in demand for their products reduce our ability to accurately estimate future customer requirements. On occasion, customers may require rapid increases in production, which can strain our resources, cause our manufacturing to be negatively impacted by materials shortages, necessitate higher or more restrictive procurement commitments, increase our manufacturing yield loss and scrapping of excess materials, and reduce our gross margin. We may not have sufficient capacity at any given time to meet the volume demands of our customers, or one or more of our suppliers may not have sufficient capacity at any given time to meet our volume demands. Conversely, a downturn in the markets in which our customers compete can cause, and in the past have caused, our customers to significantly reduce or delay the amount of products ordered or to cancel existing orders, leading to lower utilization of our facilities. Because many of our costs and operating expenses are relatively fixed, reduction in customer demand due to market downturns or other reasons would have a negative effect on our gross margin, operating income and cash flow.</w:t>
      </w:r>
    </w:p>
    <w:p>
      <w:pPr>
        <w:spacing w:after="0" w:line="277"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Customer orders and forecasts are subject to cancellation or modification at any time which could result in higher manufacturing costs.</w:t>
      </w:r>
    </w:p>
    <w:p>
      <w:pPr>
        <w:spacing w:after="0" w:line="129" w:lineRule="exact"/>
        <w:rPr>
          <w:sz w:val="20"/>
          <w:szCs w:val="20"/>
          <w:color w:val="auto"/>
        </w:rPr>
      </w:pPr>
    </w:p>
    <w:p>
      <w:pPr>
        <w:ind w:right="60" w:firstLine="432"/>
        <w:spacing w:after="0" w:line="257" w:lineRule="auto"/>
        <w:rPr>
          <w:sz w:val="20"/>
          <w:szCs w:val="20"/>
          <w:color w:val="auto"/>
        </w:rPr>
      </w:pPr>
      <w:r>
        <w:rPr>
          <w:rFonts w:ascii="Arial" w:cs="Arial" w:eastAsia="Arial" w:hAnsi="Arial"/>
          <w:sz w:val="18"/>
          <w:szCs w:val="18"/>
          <w:color w:val="auto"/>
        </w:rPr>
        <w:t>Our sales are made primarily pursuant to standard purchase orders for delivery of products. However, by industry practice, some orders may be canceled or modified at any time. When a customer cancels an order, they may responsible for all finished goods, all costs, direct and indirect, incurred by us, as well as a reasonable allowance for anticipated profits. No assurance can be given that we will receive these amounts after cancellation. Furthermore, uncertainty in customer forecasts of their demands and other factors may lead to delays and disruptions in manufacturing, which could result in delays in product shipments to customers and could adversely affect our business.</w:t>
      </w:r>
    </w:p>
    <w:p>
      <w:pPr>
        <w:spacing w:after="0" w:line="80" w:lineRule="exact"/>
        <w:rPr>
          <w:sz w:val="20"/>
          <w:szCs w:val="20"/>
          <w:color w:val="auto"/>
        </w:rPr>
      </w:pPr>
    </w:p>
    <w:p>
      <w:pPr>
        <w:ind w:right="60" w:firstLine="432"/>
        <w:spacing w:after="0" w:line="273" w:lineRule="auto"/>
        <w:rPr>
          <w:sz w:val="20"/>
          <w:szCs w:val="20"/>
          <w:color w:val="auto"/>
        </w:rPr>
      </w:pPr>
      <w:r>
        <w:rPr>
          <w:rFonts w:ascii="Arial" w:cs="Arial" w:eastAsia="Arial" w:hAnsi="Arial"/>
          <w:sz w:val="17"/>
          <w:szCs w:val="17"/>
          <w:color w:val="auto"/>
        </w:rPr>
        <w:t>Fluctuations and changes in customer demand are common in our business. Such fluctuations, as well as quality control problems experienced in manufacturing operations, may cause delays and disruptions in our manufacturing process and overall operations and reduce output capacity. As a result, product shipments could be delayed beyond the shipment schedules requested by our customers or could be canceled, which would negatively affect our sales, operating income, strategic position at customers, market share and reputation. In addition, disruptions, delays or cancellations could cause inefficient production which in turn could result in higher manufacturing costs, lower yields and potential excess and obsolete inventory or manufacturing equipment. In the past, we have experienced such delays, disruptions and cancellations.</w:t>
      </w:r>
    </w:p>
    <w:p>
      <w:pPr>
        <w:spacing w:after="0" w:line="287" w:lineRule="exact"/>
        <w:rPr>
          <w:sz w:val="20"/>
          <w:szCs w:val="20"/>
          <w:color w:val="auto"/>
        </w:rPr>
      </w:pPr>
    </w:p>
    <w:p>
      <w:pPr>
        <w:ind w:right="520"/>
        <w:spacing w:after="0" w:line="277" w:lineRule="auto"/>
        <w:rPr>
          <w:sz w:val="20"/>
          <w:szCs w:val="20"/>
          <w:color w:val="auto"/>
        </w:rPr>
      </w:pPr>
      <w:r>
        <w:rPr>
          <w:rFonts w:ascii="Arial" w:cs="Arial" w:eastAsia="Arial" w:hAnsi="Arial"/>
          <w:sz w:val="18"/>
          <w:szCs w:val="18"/>
          <w:b w:val="1"/>
          <w:bCs w:val="1"/>
          <w:i w:val="1"/>
          <w:iCs w:val="1"/>
          <w:color w:val="auto"/>
        </w:rPr>
        <w:t>The results of our operations could be adversely affected by economic and political conditions and the effects of these conditions on our customers’ businesses and levels of business activity.</w:t>
      </w:r>
    </w:p>
    <w:p>
      <w:pPr>
        <w:spacing w:after="0" w:line="62" w:lineRule="exact"/>
        <w:rPr>
          <w:sz w:val="20"/>
          <w:szCs w:val="20"/>
          <w:color w:val="auto"/>
        </w:rPr>
      </w:pPr>
    </w:p>
    <w:p>
      <w:pPr>
        <w:ind w:right="20" w:firstLine="432"/>
        <w:spacing w:after="0" w:line="293" w:lineRule="auto"/>
        <w:rPr>
          <w:sz w:val="20"/>
          <w:szCs w:val="20"/>
          <w:color w:val="auto"/>
        </w:rPr>
      </w:pPr>
      <w:r>
        <w:rPr>
          <w:rFonts w:ascii="Arial" w:cs="Arial" w:eastAsia="Arial" w:hAnsi="Arial"/>
          <w:sz w:val="16"/>
          <w:szCs w:val="16"/>
          <w:color w:val="auto"/>
        </w:rPr>
        <w:t>Global economic and political conditions affect our customers’ businesses and the markets they serve. A severe or prolonged economic downturn or a negative or uncertain political climate could adversely affect our customers’ financial conditions and the timing or levels of business activity of our customers and the industries we serve. This may reduce the demand for our products or depress pricing for our products and have a material adverse effect on our results of operations. Changes in global economic conditions could also shift demand to products or services for which we do not have competitive advantages, and this could negatively affect the amount of business we are able to obtain. In addition, if we are unable to successfully anticipate changing economic and political conditions, we may be unable to effectively plan for and respond to those changes, and our business could be negatively affected as a result.</w:t>
      </w:r>
    </w:p>
    <w:p>
      <w:pPr>
        <w:spacing w:after="0" w:line="273" w:lineRule="exact"/>
        <w:rPr>
          <w:sz w:val="20"/>
          <w:szCs w:val="20"/>
          <w:color w:val="auto"/>
        </w:rPr>
      </w:pPr>
    </w:p>
    <w:p>
      <w:pPr>
        <w:ind w:right="740"/>
        <w:spacing w:after="0" w:line="277" w:lineRule="auto"/>
        <w:rPr>
          <w:sz w:val="20"/>
          <w:szCs w:val="20"/>
          <w:color w:val="auto"/>
        </w:rPr>
      </w:pPr>
      <w:r>
        <w:rPr>
          <w:rFonts w:ascii="Arial" w:cs="Arial" w:eastAsia="Arial" w:hAnsi="Arial"/>
          <w:sz w:val="18"/>
          <w:szCs w:val="18"/>
          <w:b w:val="1"/>
          <w:bCs w:val="1"/>
          <w:i w:val="1"/>
          <w:iCs w:val="1"/>
          <w:color w:val="auto"/>
        </w:rPr>
        <w:t>We have a history of losses, and because our strategy for expansion may be costly to implement, we may experience losses and may not maintain profitability or positive cash flow.</w:t>
      </w:r>
    </w:p>
    <w:p>
      <w:pPr>
        <w:spacing w:after="0" w:line="62" w:lineRule="exact"/>
        <w:rPr>
          <w:sz w:val="20"/>
          <w:szCs w:val="20"/>
          <w:color w:val="auto"/>
        </w:rPr>
      </w:pPr>
    </w:p>
    <w:p>
      <w:pPr>
        <w:ind w:firstLine="432"/>
        <w:spacing w:after="0" w:line="302" w:lineRule="auto"/>
        <w:rPr>
          <w:sz w:val="20"/>
          <w:szCs w:val="20"/>
          <w:color w:val="auto"/>
        </w:rPr>
      </w:pPr>
      <w:r>
        <w:rPr>
          <w:rFonts w:ascii="Arial" w:cs="Arial" w:eastAsia="Arial" w:hAnsi="Arial"/>
          <w:sz w:val="16"/>
          <w:szCs w:val="16"/>
          <w:color w:val="auto"/>
        </w:rPr>
        <w:t>We have a history of net losses, including a net loss from continuing operations during the year ended December 31, 2017. We expect to continue to incur significant expenses as we pursue our strategic initiatives, including increased expenses for research and development, sales and marketing and manufacturing. We may also grow our business in part through acquisitions of additional companies and complementary technologies which could cause us to incur greater than anticipated transaction expenses, amortization or write-offs of intangible assets and other acquisition-related expenses. As a result, we may</w:t>
      </w:r>
    </w:p>
    <w:p>
      <w:pPr>
        <w:spacing w:after="0" w:line="18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39</w:t>
      </w:r>
    </w:p>
    <w:p>
      <w:pPr>
        <w:sectPr>
          <w:pgSz w:w="11900" w:h="16838" w:orient="portrait"/>
          <w:cols w:equalWidth="0" w:num="1">
            <w:col w:w="11420"/>
          </w:cols>
          <w:pgMar w:left="240" w:top="118" w:right="239" w:bottom="1440" w:gutter="0" w:footer="0" w:header="0"/>
        </w:sectPr>
      </w:pPr>
    </w:p>
    <w:bookmarkStart w:id="39" w:name="page40"/>
    <w:bookmarkEnd w:id="39"/>
    <w:p>
      <w:pPr>
        <w:spacing w:after="0"/>
        <w:rPr>
          <w:rFonts w:ascii="Arial" w:cs="Arial" w:eastAsia="Arial" w:hAnsi="Arial"/>
          <w:sz w:val="14"/>
          <w:szCs w:val="14"/>
          <w:b w:val="1"/>
          <w:bCs w:val="1"/>
          <w:u w:val="single" w:color="auto"/>
          <w:color w:val="0000EE"/>
        </w:rPr>
      </w:pPr>
      <w:hyperlink w:anchor="page2">
        <w:r>
          <w:rPr>
            <w:rFonts w:ascii="Arial" w:cs="Arial" w:eastAsia="Arial" w:hAnsi="Arial"/>
            <w:sz w:val="14"/>
            <w:szCs w:val="14"/>
            <w:b w:val="1"/>
            <w:bCs w:val="1"/>
            <w:u w:val="single" w:color="auto"/>
            <w:color w:val="0000EE"/>
          </w:rPr>
          <w:t>Table of Contents</w:t>
        </w:r>
      </w:hyperlink>
    </w:p>
    <w:p>
      <w:pPr>
        <w:spacing w:after="0" w:line="360" w:lineRule="exact"/>
        <w:rPr>
          <w:sz w:val="20"/>
          <w:szCs w:val="20"/>
          <w:color w:val="auto"/>
        </w:rPr>
      </w:pPr>
    </w:p>
    <w:p>
      <w:pPr>
        <w:ind w:right="280"/>
        <w:spacing w:after="0" w:line="277" w:lineRule="auto"/>
        <w:rPr>
          <w:sz w:val="20"/>
          <w:szCs w:val="20"/>
          <w:color w:val="auto"/>
        </w:rPr>
      </w:pPr>
      <w:r>
        <w:rPr>
          <w:rFonts w:ascii="Arial" w:cs="Arial" w:eastAsia="Arial" w:hAnsi="Arial"/>
          <w:sz w:val="18"/>
          <w:szCs w:val="18"/>
          <w:color w:val="auto"/>
        </w:rPr>
        <w:t>incur net losses in the future, and these losses could be substantial. At a certain level, continued net losses could impair our ability to comply with Nasdaq continued listing standards, as described further below.</w:t>
      </w:r>
    </w:p>
    <w:p>
      <w:pPr>
        <w:spacing w:after="0" w:line="62" w:lineRule="exact"/>
        <w:rPr>
          <w:sz w:val="20"/>
          <w:szCs w:val="20"/>
          <w:color w:val="auto"/>
        </w:rPr>
      </w:pPr>
    </w:p>
    <w:p>
      <w:pPr>
        <w:ind w:right="100" w:firstLine="432"/>
        <w:spacing w:after="0" w:line="312" w:lineRule="auto"/>
        <w:rPr>
          <w:sz w:val="20"/>
          <w:szCs w:val="20"/>
          <w:color w:val="auto"/>
        </w:rPr>
      </w:pPr>
      <w:r>
        <w:rPr>
          <w:rFonts w:ascii="Arial" w:cs="Arial" w:eastAsia="Arial" w:hAnsi="Arial"/>
          <w:sz w:val="16"/>
          <w:szCs w:val="16"/>
          <w:color w:val="auto"/>
        </w:rPr>
        <w:t>Our ability to generate additional revenues and to become profitable will depend on our ability to execute our key growth initiative regarding the development, marketing and sale of sensing products, develop and commercialize innovative technologies, expand our contract research capabilities and sell the products that result from those development initiatives. We may not be able to sustain or increase our profitability on a quarterly or annual basis.</w:t>
      </w:r>
    </w:p>
    <w:p>
      <w:pPr>
        <w:spacing w:after="0" w:line="363" w:lineRule="exact"/>
        <w:rPr>
          <w:sz w:val="20"/>
          <w:szCs w:val="20"/>
          <w:color w:val="auto"/>
        </w:rPr>
      </w:pPr>
    </w:p>
    <w:p>
      <w:pPr>
        <w:ind w:right="240"/>
        <w:spacing w:after="0" w:line="277" w:lineRule="auto"/>
        <w:rPr>
          <w:sz w:val="20"/>
          <w:szCs w:val="20"/>
          <w:color w:val="auto"/>
        </w:rPr>
      </w:pPr>
      <w:r>
        <w:rPr>
          <w:rFonts w:ascii="Arial" w:cs="Arial" w:eastAsia="Arial" w:hAnsi="Arial"/>
          <w:sz w:val="18"/>
          <w:szCs w:val="18"/>
          <w:b w:val="1"/>
          <w:bCs w:val="1"/>
          <w:i w:val="1"/>
          <w:iCs w:val="1"/>
          <w:color w:val="auto"/>
        </w:rPr>
        <w:t>We have obtained capital by borrowing money under term loans and we might require additional capital to support and expand our business; our term loan has various loan covenants with which we must comply.</w:t>
      </w:r>
    </w:p>
    <w:p>
      <w:pPr>
        <w:spacing w:after="0" w:line="62" w:lineRule="exact"/>
        <w:rPr>
          <w:sz w:val="20"/>
          <w:szCs w:val="20"/>
          <w:color w:val="auto"/>
        </w:rPr>
      </w:pPr>
    </w:p>
    <w:p>
      <w:pPr>
        <w:ind w:right="180" w:firstLine="432"/>
        <w:spacing w:after="0" w:line="259" w:lineRule="auto"/>
        <w:rPr>
          <w:sz w:val="20"/>
          <w:szCs w:val="20"/>
          <w:color w:val="auto"/>
        </w:rPr>
      </w:pPr>
      <w:r>
        <w:rPr>
          <w:rFonts w:ascii="Arial" w:cs="Arial" w:eastAsia="Arial" w:hAnsi="Arial"/>
          <w:sz w:val="18"/>
          <w:szCs w:val="18"/>
          <w:color w:val="auto"/>
        </w:rPr>
        <w:t>We intend to continue to make investments to support our business growth, including developing new products, enhancing our existing products, obtaining important regulatory approvals, enhancing our operating infrastructure, completing our development activities and building our commercial scale manufacturing facilities. To the extent that we are unable to become or remain profitable and to finance our activities from continuing operations, we may require additional funds to support these initiatives and to grow our business.</w:t>
      </w:r>
    </w:p>
    <w:p>
      <w:pPr>
        <w:spacing w:after="0" w:line="79" w:lineRule="exact"/>
        <w:rPr>
          <w:sz w:val="20"/>
          <w:szCs w:val="20"/>
          <w:color w:val="auto"/>
        </w:rPr>
      </w:pPr>
    </w:p>
    <w:p>
      <w:pPr>
        <w:ind w:right="60" w:firstLine="432"/>
        <w:spacing w:after="0" w:line="255" w:lineRule="auto"/>
        <w:rPr>
          <w:sz w:val="20"/>
          <w:szCs w:val="20"/>
          <w:color w:val="auto"/>
        </w:rPr>
      </w:pPr>
      <w:r>
        <w:rPr>
          <w:rFonts w:ascii="Arial" w:cs="Arial" w:eastAsia="Arial" w:hAnsi="Arial"/>
          <w:sz w:val="18"/>
          <w:szCs w:val="18"/>
          <w:color w:val="auto"/>
        </w:rPr>
        <w:t>If we are successful in raising additional funds through issuances of equity or convertible debt securities, our existing stockholders could suffer significant dilution, including as the result of the issuance of warrants in connection with the financing, and any new equity securities we issue could have rights, preferences and privileges superior to those of our existing common stock. Furthermore, such financings may jeopardize our ability to apply for SBIR grants or qualify for SBIR contracts or grants, and our dependence on SBIR grants may restrict our ability to raise additional outside capital. If we raise additional funds through debt financings, these financings may involve significant cash payment obligations and covenants that restrict our ability to operate our business and make distributions to our stockholders.</w:t>
      </w:r>
    </w:p>
    <w:p>
      <w:pPr>
        <w:spacing w:after="0" w:line="85" w:lineRule="exact"/>
        <w:rPr>
          <w:sz w:val="20"/>
          <w:szCs w:val="20"/>
          <w:color w:val="auto"/>
        </w:rPr>
      </w:pPr>
    </w:p>
    <w:p>
      <w:pPr>
        <w:ind w:firstLine="432"/>
        <w:spacing w:after="0" w:line="279" w:lineRule="auto"/>
        <w:rPr>
          <w:sz w:val="20"/>
          <w:szCs w:val="20"/>
          <w:color w:val="auto"/>
        </w:rPr>
      </w:pPr>
      <w:r>
        <w:rPr>
          <w:rFonts w:ascii="Arial" w:cs="Arial" w:eastAsia="Arial" w:hAnsi="Arial"/>
          <w:sz w:val="17"/>
          <w:szCs w:val="17"/>
          <w:color w:val="auto"/>
        </w:rPr>
        <w:t>We have term loans with Silicon Valley Bank ("SVB"), which requires us to observe certain financial and operational covenants, including maintenance of a minimum cash balance of $4.0 million, protection and registration of intellectual property rights, and certain customary negative covenants, as well as other customary events of default. If any event of default occurs SVB may declare due immediately all borrowings under our term loans and foreclose on the collateral. Furthermore, an event of default would result in an increase in the interest rate on any amounts outstanding.</w:t>
      </w:r>
    </w:p>
    <w:p>
      <w:pPr>
        <w:spacing w:after="0" w:line="63" w:lineRule="exact"/>
        <w:rPr>
          <w:sz w:val="20"/>
          <w:szCs w:val="20"/>
          <w:color w:val="auto"/>
        </w:rPr>
      </w:pPr>
    </w:p>
    <w:p>
      <w:pPr>
        <w:ind w:right="280" w:firstLine="432"/>
        <w:spacing w:after="0" w:line="277" w:lineRule="auto"/>
        <w:rPr>
          <w:sz w:val="20"/>
          <w:szCs w:val="20"/>
          <w:color w:val="auto"/>
        </w:rPr>
      </w:pPr>
      <w:r>
        <w:rPr>
          <w:rFonts w:ascii="Arial" w:cs="Arial" w:eastAsia="Arial" w:hAnsi="Arial"/>
          <w:sz w:val="18"/>
          <w:szCs w:val="18"/>
          <w:color w:val="auto"/>
        </w:rPr>
        <w:t>If we are unable to obtain adequate financing or financing terms satisfactory to us when we require it, our ability to continue to support our business growth and to respond to business challenges could be significantly limited.</w:t>
      </w:r>
    </w:p>
    <w:p>
      <w:pPr>
        <w:spacing w:after="0" w:line="27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We face and will face substantial competition in several different markets that may adversely affect our results of operations.</w:t>
      </w:r>
    </w:p>
    <w:p>
      <w:pPr>
        <w:spacing w:after="0" w:line="117" w:lineRule="exact"/>
        <w:rPr>
          <w:sz w:val="20"/>
          <w:szCs w:val="20"/>
          <w:color w:val="auto"/>
        </w:rPr>
      </w:pPr>
    </w:p>
    <w:p>
      <w:pPr>
        <w:ind w:right="440" w:firstLine="432"/>
        <w:spacing w:after="0" w:line="277" w:lineRule="auto"/>
        <w:rPr>
          <w:sz w:val="20"/>
          <w:szCs w:val="20"/>
          <w:color w:val="auto"/>
        </w:rPr>
      </w:pPr>
      <w:r>
        <w:rPr>
          <w:rFonts w:ascii="Arial" w:cs="Arial" w:eastAsia="Arial" w:hAnsi="Arial"/>
          <w:sz w:val="18"/>
          <w:szCs w:val="18"/>
          <w:color w:val="auto"/>
        </w:rPr>
        <w:t>We face and will face substantial competition from a variety of companies in several different markets. As we focus on developing marketing and selling fiber optic sensing products, we may also face substantial and entrenched competition in that market.</w:t>
      </w:r>
    </w:p>
    <w:p>
      <w:pPr>
        <w:spacing w:after="0" w:line="62" w:lineRule="exact"/>
        <w:rPr>
          <w:sz w:val="20"/>
          <w:szCs w:val="20"/>
          <w:color w:val="auto"/>
        </w:rPr>
      </w:pPr>
    </w:p>
    <w:p>
      <w:pPr>
        <w:ind w:right="120" w:firstLine="432"/>
        <w:spacing w:after="0" w:line="273" w:lineRule="auto"/>
        <w:rPr>
          <w:sz w:val="20"/>
          <w:szCs w:val="20"/>
          <w:color w:val="auto"/>
        </w:rPr>
      </w:pPr>
      <w:r>
        <w:rPr>
          <w:rFonts w:ascii="Arial" w:cs="Arial" w:eastAsia="Arial" w:hAnsi="Arial"/>
          <w:sz w:val="17"/>
          <w:szCs w:val="17"/>
          <w:color w:val="auto"/>
        </w:rPr>
        <w:t>Many of our competitors have longer operating histories, greater name recognition, larger customer bases and significantly greater financial, sales and marketing, manufacturing, distribution, technical and other resources than we do. These competitors may be able to adapt more quickly to new or emerging technologies and changes in customer requirements. In addition, current and potential competitors have established or may establish financial or strategic relationships among themselves or with existing or potential customers or other third parties. Accordingly, new competitors or alliances among competitors could emerge and rapidly acquire significant market share. We cannot assure you that we will be able to compete successfully against current or new competitors, in which case our revenues may fail to increase or may decline.</w:t>
      </w:r>
    </w:p>
    <w:p>
      <w:pPr>
        <w:spacing w:after="0" w:line="70" w:lineRule="exact"/>
        <w:rPr>
          <w:sz w:val="20"/>
          <w:szCs w:val="20"/>
          <w:color w:val="auto"/>
        </w:rPr>
      </w:pPr>
    </w:p>
    <w:p>
      <w:pPr>
        <w:ind w:right="120" w:firstLine="432"/>
        <w:spacing w:after="0" w:line="312" w:lineRule="auto"/>
        <w:rPr>
          <w:sz w:val="20"/>
          <w:szCs w:val="20"/>
          <w:color w:val="auto"/>
        </w:rPr>
      </w:pPr>
      <w:r>
        <w:rPr>
          <w:rFonts w:ascii="Arial" w:cs="Arial" w:eastAsia="Arial" w:hAnsi="Arial"/>
          <w:sz w:val="16"/>
          <w:szCs w:val="16"/>
          <w:color w:val="auto"/>
        </w:rPr>
        <w:t>Intense competition in our markets could result in aggressive business tactics by our competitors, including aggressively pricing their products or selling older inventory at a discount. If our current or future competitors utilize aggressive business tactics, including those described above, demand for our products could decline, we could experience delays or cancellations of customer orders, or we could be required to reduce our sales prices.</w:t>
      </w:r>
    </w:p>
    <w:p>
      <w:pPr>
        <w:spacing w:after="0" w:line="255" w:lineRule="exact"/>
        <w:rPr>
          <w:sz w:val="20"/>
          <w:szCs w:val="20"/>
          <w:color w:val="auto"/>
        </w:rPr>
      </w:pPr>
    </w:p>
    <w:p>
      <w:pPr>
        <w:ind w:right="560"/>
        <w:spacing w:after="0" w:line="277" w:lineRule="auto"/>
        <w:rPr>
          <w:sz w:val="20"/>
          <w:szCs w:val="20"/>
          <w:color w:val="auto"/>
        </w:rPr>
      </w:pPr>
      <w:r>
        <w:rPr>
          <w:rFonts w:ascii="Arial" w:cs="Arial" w:eastAsia="Arial" w:hAnsi="Arial"/>
          <w:sz w:val="18"/>
          <w:szCs w:val="18"/>
          <w:b w:val="1"/>
          <w:bCs w:val="1"/>
          <w:i w:val="1"/>
          <w:iCs w:val="1"/>
          <w:color w:val="auto"/>
        </w:rPr>
        <w:t>Decreases in average selling prices of our products may increase operating losses and net losses, particularly if we are not able to reduce expenses commensurately.</w:t>
      </w:r>
    </w:p>
    <w:p>
      <w:pPr>
        <w:spacing w:after="0" w:line="62" w:lineRule="exact"/>
        <w:rPr>
          <w:sz w:val="20"/>
          <w:szCs w:val="20"/>
          <w:color w:val="auto"/>
        </w:rPr>
      </w:pPr>
    </w:p>
    <w:p>
      <w:pPr>
        <w:ind w:right="120" w:firstLine="432"/>
        <w:spacing w:after="0" w:line="257" w:lineRule="auto"/>
        <w:rPr>
          <w:sz w:val="20"/>
          <w:szCs w:val="20"/>
          <w:color w:val="auto"/>
        </w:rPr>
      </w:pPr>
      <w:r>
        <w:rPr>
          <w:rFonts w:ascii="Arial" w:cs="Arial" w:eastAsia="Arial" w:hAnsi="Arial"/>
          <w:sz w:val="18"/>
          <w:szCs w:val="18"/>
          <w:color w:val="auto"/>
        </w:rPr>
        <w:t>The market for optical components and subsystems continues to be characterized by declining average selling prices resulting from factors such as increased price competition among optical component and subsystem manufacturers, excess capacity, the introduction of new products and increased unit volumes as manufacturers continue to deploy network and storage systems. In recent years, we have observed a significant decline of average selling prices, primarily in the telecommunications market. We anticipate that average selling prices will continue to decrease in the future in response to product introductions by</w:t>
      </w:r>
    </w:p>
    <w:p>
      <w:pPr>
        <w:spacing w:after="0" w:line="215"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40</w:t>
      </w:r>
    </w:p>
    <w:p>
      <w:pPr>
        <w:sectPr>
          <w:pgSz w:w="11900" w:h="16838" w:orient="portrait"/>
          <w:cols w:equalWidth="0" w:num="1">
            <w:col w:w="11380"/>
          </w:cols>
          <w:pgMar w:left="240" w:top="118" w:right="279" w:bottom="1440" w:gutter="0" w:footer="0" w:header="0"/>
        </w:sectPr>
      </w:pPr>
    </w:p>
    <w:bookmarkStart w:id="40" w:name="page41"/>
    <w:bookmarkEnd w:id="40"/>
    <w:p>
      <w:pPr>
        <w:spacing w:after="0"/>
        <w:rPr>
          <w:rFonts w:ascii="Arial" w:cs="Arial" w:eastAsia="Arial" w:hAnsi="Arial"/>
          <w:sz w:val="14"/>
          <w:szCs w:val="14"/>
          <w:b w:val="1"/>
          <w:bCs w:val="1"/>
          <w:u w:val="single" w:color="auto"/>
          <w:color w:val="0000EE"/>
        </w:rPr>
      </w:pPr>
      <w:hyperlink w:anchor="page2">
        <w:r>
          <w:rPr>
            <w:rFonts w:ascii="Arial" w:cs="Arial" w:eastAsia="Arial" w:hAnsi="Arial"/>
            <w:sz w:val="14"/>
            <w:szCs w:val="14"/>
            <w:b w:val="1"/>
            <w:bCs w:val="1"/>
            <w:u w:val="single" w:color="auto"/>
            <w:color w:val="0000EE"/>
          </w:rPr>
          <w:t>Table of Contents</w:t>
        </w:r>
      </w:hyperlink>
    </w:p>
    <w:p>
      <w:pPr>
        <w:spacing w:after="0" w:line="360" w:lineRule="exact"/>
        <w:rPr>
          <w:sz w:val="20"/>
          <w:szCs w:val="20"/>
          <w:color w:val="auto"/>
        </w:rPr>
      </w:pPr>
    </w:p>
    <w:p>
      <w:pPr>
        <w:ind w:right="40"/>
        <w:spacing w:after="0" w:line="286" w:lineRule="auto"/>
        <w:rPr>
          <w:sz w:val="20"/>
          <w:szCs w:val="20"/>
          <w:color w:val="auto"/>
        </w:rPr>
      </w:pPr>
      <w:r>
        <w:rPr>
          <w:rFonts w:ascii="Arial" w:cs="Arial" w:eastAsia="Arial" w:hAnsi="Arial"/>
          <w:sz w:val="17"/>
          <w:szCs w:val="17"/>
          <w:color w:val="auto"/>
        </w:rPr>
        <w:t>competitors or by us, or in response to other factors, including price pressures from significant customers. In order to sustain profitable operations, we must, therefore, reduce the cost of our current designs or continue to develop and introduce new products on a timely basis that incorporate features that can be sold at higher average selling prices. Failure to do so could cause our sales to decline and operating losses to increase.</w:t>
      </w:r>
    </w:p>
    <w:p>
      <w:pPr>
        <w:spacing w:after="0" w:line="57" w:lineRule="exact"/>
        <w:rPr>
          <w:sz w:val="20"/>
          <w:szCs w:val="20"/>
          <w:color w:val="auto"/>
        </w:rPr>
      </w:pPr>
    </w:p>
    <w:p>
      <w:pPr>
        <w:ind w:right="180" w:firstLine="432"/>
        <w:spacing w:after="0" w:line="259" w:lineRule="auto"/>
        <w:rPr>
          <w:sz w:val="20"/>
          <w:szCs w:val="20"/>
          <w:color w:val="auto"/>
        </w:rPr>
      </w:pPr>
      <w:r>
        <w:rPr>
          <w:rFonts w:ascii="Arial" w:cs="Arial" w:eastAsia="Arial" w:hAnsi="Arial"/>
          <w:sz w:val="18"/>
          <w:szCs w:val="18"/>
          <w:color w:val="auto"/>
        </w:rPr>
        <w:t>Our cost reduction efforts may not keep pace with competitive pricing pressures. To remain competitive, we must continually reduce the cost of manufacturing our products through design and engineering changes. We may not be successful in redesigning our products or delivering our products to market in a timely manner. We cannot assure you that any redesign will result in sufficient cost reductions enabling us to reduce the price of our products to remain competitive or positively contribute to operating results.</w:t>
      </w:r>
    </w:p>
    <w:p>
      <w:pPr>
        <w:spacing w:after="0" w:line="29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Shifts in product mix may result in declines in gross profit.</w:t>
      </w:r>
    </w:p>
    <w:p>
      <w:pPr>
        <w:spacing w:after="0" w:line="117" w:lineRule="exact"/>
        <w:rPr>
          <w:sz w:val="20"/>
          <w:szCs w:val="20"/>
          <w:color w:val="auto"/>
        </w:rPr>
      </w:pPr>
    </w:p>
    <w:p>
      <w:pPr>
        <w:ind w:firstLine="432"/>
        <w:spacing w:after="0" w:line="259" w:lineRule="auto"/>
        <w:rPr>
          <w:sz w:val="20"/>
          <w:szCs w:val="20"/>
          <w:color w:val="auto"/>
        </w:rPr>
      </w:pPr>
      <w:r>
        <w:rPr>
          <w:rFonts w:ascii="Arial" w:cs="Arial" w:eastAsia="Arial" w:hAnsi="Arial"/>
          <w:sz w:val="18"/>
          <w:szCs w:val="18"/>
          <w:color w:val="auto"/>
        </w:rPr>
        <w:t>Our gross profit margins vary among our product platforms, and are generally highest on our test and measurement instruments. Our overall gross profit may fluctuate from period to period as a result of a variety of factors including shifts in product mix, the introduction of new products, and decreases in average selling prices for older products. If our customers decide to buy more of our products with low gross profit margins or fewer of our products with high gross profit margins, our total gross profits could be harmed.</w:t>
      </w:r>
    </w:p>
    <w:p>
      <w:pPr>
        <w:spacing w:after="0" w:line="29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Risks Relating to our Operations and Business Strategy</w:t>
      </w:r>
    </w:p>
    <w:p>
      <w:pPr>
        <w:spacing w:after="0" w:line="337"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We may dispose of or discontinue existing product lines and technology developments, which may adversely impact our future results.</w:t>
      </w:r>
    </w:p>
    <w:p>
      <w:pPr>
        <w:spacing w:after="0" w:line="129" w:lineRule="exact"/>
        <w:rPr>
          <w:sz w:val="20"/>
          <w:szCs w:val="20"/>
          <w:color w:val="auto"/>
        </w:rPr>
      </w:pPr>
    </w:p>
    <w:p>
      <w:pPr>
        <w:ind w:firstLine="432"/>
        <w:spacing w:after="0" w:line="259" w:lineRule="auto"/>
        <w:rPr>
          <w:sz w:val="20"/>
          <w:szCs w:val="20"/>
          <w:color w:val="auto"/>
        </w:rPr>
      </w:pPr>
      <w:r>
        <w:rPr>
          <w:rFonts w:ascii="Arial" w:cs="Arial" w:eastAsia="Arial" w:hAnsi="Arial"/>
          <w:sz w:val="18"/>
          <w:szCs w:val="18"/>
          <w:color w:val="auto"/>
        </w:rPr>
        <w:t>On an ongoing basis, we evaluate our various product offerings and technology developments in order to determine whether any should be discontinued or, to the extent possible, divested. For example, in July 2018, we sold the assets and operations related to our optoelectronic components and subassemblies business. In addition, if we are unable to generate the amount of cash needed to fund the future operations of our business, we may be forced to sell one or more of our product lines or technology developments.</w:t>
      </w:r>
    </w:p>
    <w:p>
      <w:pPr>
        <w:spacing w:after="0" w:line="79" w:lineRule="exact"/>
        <w:rPr>
          <w:sz w:val="20"/>
          <w:szCs w:val="20"/>
          <w:color w:val="auto"/>
        </w:rPr>
      </w:pPr>
    </w:p>
    <w:p>
      <w:pPr>
        <w:ind w:right="140" w:firstLine="432"/>
        <w:spacing w:after="0" w:line="270" w:lineRule="auto"/>
        <w:rPr>
          <w:sz w:val="20"/>
          <w:szCs w:val="20"/>
          <w:color w:val="auto"/>
        </w:rPr>
      </w:pPr>
      <w:r>
        <w:rPr>
          <w:rFonts w:ascii="Arial" w:cs="Arial" w:eastAsia="Arial" w:hAnsi="Arial"/>
          <w:sz w:val="17"/>
          <w:szCs w:val="17"/>
          <w:color w:val="auto"/>
        </w:rPr>
        <w:t>We cannot guarantee that we have correctly forecasted, or that we will correctly forecast in the future, the right product lines and technology developments to dispose or discontinue or that our decision to dispose of or discontinue various investments, products lines and technology developments is prudent if market conditions change. In addition, there are no assurances that the discontinuance of various product lines will reduce operating expenses or will not cause us to incur material charges associated with such decision. Furthermore, the discontinuance of existing product lines entails various risks, including the risk that we will not be able to find a purchaser for a product line or the purchase price obtained will not be equal to at least the book value of the net assets for the product line. Other risks include managing the expectations of, and maintaining good relations with, our historical customers who previously purchased products from a disposed or discontinued product line, which could prevent us from selling other products to them in the future. We may also incur other significant liabilities and costs associated with disposal or discontinuance of product lines, including employee severance costs and excess facilities costs.</w:t>
      </w:r>
    </w:p>
    <w:p>
      <w:pPr>
        <w:spacing w:after="0" w:line="290" w:lineRule="exact"/>
        <w:rPr>
          <w:sz w:val="20"/>
          <w:szCs w:val="20"/>
          <w:color w:val="auto"/>
        </w:rPr>
      </w:pPr>
    </w:p>
    <w:p>
      <w:pPr>
        <w:ind w:right="180"/>
        <w:spacing w:after="0" w:line="277" w:lineRule="auto"/>
        <w:rPr>
          <w:sz w:val="20"/>
          <w:szCs w:val="20"/>
          <w:color w:val="auto"/>
        </w:rPr>
      </w:pPr>
      <w:r>
        <w:rPr>
          <w:rFonts w:ascii="Arial" w:cs="Arial" w:eastAsia="Arial" w:hAnsi="Arial"/>
          <w:sz w:val="18"/>
          <w:szCs w:val="18"/>
          <w:b w:val="1"/>
          <w:bCs w:val="1"/>
          <w:i w:val="1"/>
          <w:iCs w:val="1"/>
          <w:color w:val="auto"/>
        </w:rPr>
        <w:t>If we cannot successfully transition our revenue mix from contract research revenues to product sales and license revenues, we may not be able to fully execute our business model or grow our business.</w:t>
      </w:r>
    </w:p>
    <w:p>
      <w:pPr>
        <w:spacing w:after="0" w:line="62" w:lineRule="exact"/>
        <w:rPr>
          <w:sz w:val="20"/>
          <w:szCs w:val="20"/>
          <w:color w:val="auto"/>
        </w:rPr>
      </w:pPr>
    </w:p>
    <w:p>
      <w:pPr>
        <w:ind w:right="40" w:firstLine="432"/>
        <w:spacing w:after="0" w:line="273" w:lineRule="auto"/>
        <w:rPr>
          <w:sz w:val="20"/>
          <w:szCs w:val="20"/>
          <w:color w:val="auto"/>
        </w:rPr>
      </w:pPr>
      <w:r>
        <w:rPr>
          <w:rFonts w:ascii="Arial" w:cs="Arial" w:eastAsia="Arial" w:hAnsi="Arial"/>
          <w:sz w:val="17"/>
          <w:szCs w:val="17"/>
          <w:color w:val="auto"/>
        </w:rPr>
        <w:t>Our business model and future growth depend on our ability to transition to a revenue mix that contains significantly larger product sales and revenues from the provision of services or from licensing. Product sales and these revenues potentially offer greater scalability than contract research revenues. Our current plan is to increase our sales of commercial products, our licensing revenues and our provision of non-research services to customers so as to represent a larger percentage of our total revenues. If we are unable to develop and grow our product sales and revenues from the provision of services or from licensing to augment our contract research revenues, however, our ability to execute our business model or grow our business could suffer. There can be no assurance that we will be able to achieve increased revenues in this manner.</w:t>
      </w:r>
    </w:p>
    <w:p>
      <w:pPr>
        <w:spacing w:after="0" w:line="287" w:lineRule="exact"/>
        <w:rPr>
          <w:sz w:val="20"/>
          <w:szCs w:val="20"/>
          <w:color w:val="auto"/>
        </w:rPr>
      </w:pPr>
    </w:p>
    <w:p>
      <w:pPr>
        <w:spacing w:after="0"/>
        <w:rPr>
          <w:sz w:val="20"/>
          <w:szCs w:val="20"/>
          <w:color w:val="auto"/>
        </w:rPr>
      </w:pPr>
      <w:r>
        <w:rPr>
          <w:rFonts w:ascii="Arial" w:cs="Arial" w:eastAsia="Arial" w:hAnsi="Arial"/>
          <w:sz w:val="15"/>
          <w:szCs w:val="15"/>
          <w:b w:val="1"/>
          <w:bCs w:val="1"/>
          <w:i w:val="1"/>
          <w:iCs w:val="1"/>
          <w:color w:val="auto"/>
        </w:rPr>
        <w:t>Failure to develop, introduce and sell new products or failure to develop and implement new technologies, could adversely impact our financial results.</w:t>
      </w:r>
    </w:p>
    <w:p>
      <w:pPr>
        <w:spacing w:after="0" w:line="152" w:lineRule="exact"/>
        <w:rPr>
          <w:sz w:val="20"/>
          <w:szCs w:val="20"/>
          <w:color w:val="auto"/>
        </w:rPr>
      </w:pPr>
    </w:p>
    <w:p>
      <w:pPr>
        <w:ind w:right="60" w:firstLine="432"/>
        <w:spacing w:after="0" w:line="264" w:lineRule="auto"/>
        <w:rPr>
          <w:sz w:val="20"/>
          <w:szCs w:val="20"/>
          <w:color w:val="auto"/>
        </w:rPr>
      </w:pPr>
      <w:r>
        <w:rPr>
          <w:rFonts w:ascii="Arial" w:cs="Arial" w:eastAsia="Arial" w:hAnsi="Arial"/>
          <w:sz w:val="18"/>
          <w:szCs w:val="18"/>
          <w:color w:val="auto"/>
        </w:rPr>
        <w:t>Our success will depend on our ability to develop and introduce new products that customers choose to buy. The new products the market requires tend to be increasingly complex, incorporating more functions and operating at faster speeds than old products. If we fail to introduce new product designs or technologies in a timely manner or if customers do not successfully</w:t>
      </w:r>
    </w:p>
    <w:p>
      <w:pPr>
        <w:spacing w:after="0" w:line="20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41</w:t>
      </w:r>
    </w:p>
    <w:p>
      <w:pPr>
        <w:sectPr>
          <w:pgSz w:w="11900" w:h="16838" w:orient="portrait"/>
          <w:cols w:equalWidth="0" w:num="1">
            <w:col w:w="11400"/>
          </w:cols>
          <w:pgMar w:left="240" w:top="118" w:right="259" w:bottom="1440" w:gutter="0" w:footer="0" w:header="0"/>
        </w:sectPr>
      </w:pPr>
    </w:p>
    <w:bookmarkStart w:id="41" w:name="page42"/>
    <w:bookmarkEnd w:id="41"/>
    <w:p>
      <w:pPr>
        <w:spacing w:after="0"/>
        <w:rPr>
          <w:rFonts w:ascii="Arial" w:cs="Arial" w:eastAsia="Arial" w:hAnsi="Arial"/>
          <w:sz w:val="14"/>
          <w:szCs w:val="14"/>
          <w:b w:val="1"/>
          <w:bCs w:val="1"/>
          <w:u w:val="single" w:color="auto"/>
          <w:color w:val="0000EE"/>
        </w:rPr>
      </w:pPr>
      <w:hyperlink w:anchor="page2">
        <w:r>
          <w:rPr>
            <w:rFonts w:ascii="Arial" w:cs="Arial" w:eastAsia="Arial" w:hAnsi="Arial"/>
            <w:sz w:val="14"/>
            <w:szCs w:val="14"/>
            <w:b w:val="1"/>
            <w:bCs w:val="1"/>
            <w:u w:val="single" w:color="auto"/>
            <w:color w:val="0000EE"/>
          </w:rPr>
          <w:t>Table of Contents</w:t>
        </w:r>
      </w:hyperlink>
    </w:p>
    <w:p>
      <w:pPr>
        <w:spacing w:after="0" w:line="360" w:lineRule="exact"/>
        <w:rPr>
          <w:sz w:val="20"/>
          <w:szCs w:val="20"/>
          <w:color w:val="auto"/>
        </w:rPr>
      </w:pPr>
    </w:p>
    <w:p>
      <w:pPr>
        <w:spacing w:after="0"/>
        <w:rPr>
          <w:sz w:val="20"/>
          <w:szCs w:val="20"/>
          <w:color w:val="auto"/>
        </w:rPr>
      </w:pPr>
      <w:r>
        <w:rPr>
          <w:rFonts w:ascii="Arial" w:cs="Arial" w:eastAsia="Arial" w:hAnsi="Arial"/>
          <w:sz w:val="17"/>
          <w:szCs w:val="17"/>
          <w:color w:val="auto"/>
        </w:rPr>
        <w:t>introduce new systems or products incorporating our products , our business, financial condition and results of operations could be materially harmed.</w:t>
      </w:r>
    </w:p>
    <w:p>
      <w:pPr>
        <w:spacing w:after="0" w:line="34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If we are unable to manage growth effectively, our revenues and net loss could be adversely affected.</w:t>
      </w:r>
    </w:p>
    <w:p>
      <w:pPr>
        <w:spacing w:after="0" w:line="117" w:lineRule="exact"/>
        <w:rPr>
          <w:sz w:val="20"/>
          <w:szCs w:val="20"/>
          <w:color w:val="auto"/>
        </w:rPr>
      </w:pPr>
    </w:p>
    <w:p>
      <w:pPr>
        <w:jc w:val="both"/>
        <w:ind w:right="20" w:firstLine="432"/>
        <w:spacing w:after="0" w:line="302" w:lineRule="auto"/>
        <w:rPr>
          <w:sz w:val="20"/>
          <w:szCs w:val="20"/>
          <w:color w:val="auto"/>
        </w:rPr>
      </w:pPr>
      <w:r>
        <w:rPr>
          <w:rFonts w:ascii="Arial" w:cs="Arial" w:eastAsia="Arial" w:hAnsi="Arial"/>
          <w:sz w:val="16"/>
          <w:szCs w:val="16"/>
          <w:color w:val="auto"/>
        </w:rPr>
        <w:t>We may need to expand our personnel resources to grow our business effectively. We believe that sustained growth at a higher rate will place a strain on our management as well as on our other human resources. To manage this growth, we must continue to attract and retain qualified management, professional, scientific and technical and operating personnel. If we are unable to recruit a sufficient number of qualified personnel, we may be unable to staff and manage projects adequately, which in turn may slow the rate of growth of our contract research revenues or our product development efforts.</w:t>
      </w:r>
    </w:p>
    <w:p>
      <w:pPr>
        <w:spacing w:after="0" w:line="26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We may not be successful in identifying market needs for new technologies or in developing new products.</w:t>
      </w:r>
    </w:p>
    <w:p>
      <w:pPr>
        <w:spacing w:after="0" w:line="117" w:lineRule="exact"/>
        <w:rPr>
          <w:sz w:val="20"/>
          <w:szCs w:val="20"/>
          <w:color w:val="auto"/>
        </w:rPr>
      </w:pPr>
    </w:p>
    <w:p>
      <w:pPr>
        <w:ind w:firstLine="432"/>
        <w:spacing w:after="0" w:line="276" w:lineRule="auto"/>
        <w:rPr>
          <w:sz w:val="20"/>
          <w:szCs w:val="20"/>
          <w:color w:val="auto"/>
        </w:rPr>
      </w:pPr>
      <w:r>
        <w:rPr>
          <w:rFonts w:ascii="Arial" w:cs="Arial" w:eastAsia="Arial" w:hAnsi="Arial"/>
          <w:sz w:val="17"/>
          <w:szCs w:val="17"/>
          <w:color w:val="auto"/>
        </w:rPr>
        <w:t>Part of our business model depends on our ability to correctly identify market needs for new technologies. We intend to identify new market needs, but we may not always have success in doing so in part because our contract research largely centers on identification and development of unproven technologies, often for new or emerging markets. Furthermore, we must identify the most promising technologies from a sizable pool of projects. If our commercialization strategy process fails to identify projects with commercial potential or if management does not ensure that such projects advance to the commercialization stage, we may not successfully commercialize new products and grow our revenues.</w:t>
      </w:r>
    </w:p>
    <w:p>
      <w:pPr>
        <w:spacing w:after="0" w:line="64" w:lineRule="exact"/>
        <w:rPr>
          <w:sz w:val="20"/>
          <w:szCs w:val="20"/>
          <w:color w:val="auto"/>
        </w:rPr>
      </w:pPr>
    </w:p>
    <w:p>
      <w:pPr>
        <w:ind w:right="140" w:firstLine="432"/>
        <w:spacing w:after="0" w:line="269" w:lineRule="auto"/>
        <w:rPr>
          <w:sz w:val="20"/>
          <w:szCs w:val="20"/>
          <w:color w:val="auto"/>
        </w:rPr>
      </w:pPr>
      <w:r>
        <w:rPr>
          <w:rFonts w:ascii="Arial" w:cs="Arial" w:eastAsia="Arial" w:hAnsi="Arial"/>
          <w:sz w:val="17"/>
          <w:szCs w:val="17"/>
          <w:color w:val="auto"/>
        </w:rPr>
        <w:t>Our growth strategy requires that we also develop successful commercial products to address market needs. We face several challenges in developing successful new products. Many of our existing products and those currently under development are technologically innovative and require significant and lengthy product development efforts. These efforts include planning, designing, developing and testing at the technological, product and manufacturing-process levels. These activities require us to make significant investments. Although there are many potential applications for our technologies, our resource constraints require us to focus on specific products and to forgo other opportunities. We expect that one or more of the potential products we choose to develop will not be technologically feasible or will not achieve commercial acceptance, and we cannot predict which, if any, of our products we will successfully develop or commercialize. The technologies we research and develop are new and steadily changing and advancing. The products that are derived from these technologies may not be applicable or compatible with the state of technology or demands in existing markets. Our existing products and technologies may become uncompetitive or obsolete if our competitors adapt more quickly than we do to new technologies and changes in customers’ requirements. Furthermore, we may not be able to identify if and when new markets will open for our products given that future applications of any given product may not be readily determinable, and we cannot reasonably estimate the size of any markets that may develop. If we are not able to successfully develop new products, we may be unable to increase our product revenues.</w:t>
      </w:r>
    </w:p>
    <w:p>
      <w:pPr>
        <w:spacing w:after="0" w:line="28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We face risks associated with our international business.</w:t>
      </w:r>
    </w:p>
    <w:p>
      <w:pPr>
        <w:spacing w:after="0" w:line="225" w:lineRule="exact"/>
        <w:rPr>
          <w:sz w:val="20"/>
          <w:szCs w:val="20"/>
          <w:color w:val="auto"/>
        </w:rPr>
      </w:pPr>
    </w:p>
    <w:p>
      <w:pPr>
        <w:ind w:right="300" w:firstLine="432"/>
        <w:spacing w:after="0" w:line="277" w:lineRule="auto"/>
        <w:rPr>
          <w:sz w:val="20"/>
          <w:szCs w:val="20"/>
          <w:color w:val="auto"/>
        </w:rPr>
      </w:pPr>
      <w:r>
        <w:rPr>
          <w:rFonts w:ascii="Arial" w:cs="Arial" w:eastAsia="Arial" w:hAnsi="Arial"/>
          <w:sz w:val="18"/>
          <w:szCs w:val="18"/>
          <w:color w:val="auto"/>
        </w:rPr>
        <w:t>We currently conduct business internationally and we might considerably expand our international activities in the future. Our international business operations are subject to a variety of risks associated with conducting business internationally, including:</w:t>
      </w:r>
    </w:p>
    <w:p>
      <w:pPr>
        <w:spacing w:after="0" w:line="170" w:lineRule="exact"/>
        <w:rPr>
          <w:sz w:val="20"/>
          <w:szCs w:val="20"/>
          <w:color w:val="auto"/>
        </w:rPr>
      </w:pPr>
    </w:p>
    <w:p>
      <w:pPr>
        <w:ind w:left="500" w:hanging="330"/>
        <w:spacing w:after="0" w:line="258" w:lineRule="auto"/>
        <w:tabs>
          <w:tab w:leader="none" w:pos="500" w:val="left"/>
        </w:tabs>
        <w:numPr>
          <w:ilvl w:val="0"/>
          <w:numId w:val="18"/>
        </w:numPr>
        <w:rPr>
          <w:rFonts w:ascii="Arial" w:cs="Arial" w:eastAsia="Arial" w:hAnsi="Arial"/>
          <w:sz w:val="18"/>
          <w:szCs w:val="18"/>
          <w:color w:val="auto"/>
        </w:rPr>
      </w:pPr>
      <w:r>
        <w:rPr>
          <w:rFonts w:ascii="Arial" w:cs="Arial" w:eastAsia="Arial" w:hAnsi="Arial"/>
          <w:sz w:val="18"/>
          <w:szCs w:val="18"/>
          <w:color w:val="auto"/>
        </w:rPr>
        <w:t>having to comply with U.S. export control regulations and policies that restrict our ability to communicate with non-U.S. employees and supply foreign affiliates and customers;</w:t>
      </w:r>
    </w:p>
    <w:p>
      <w:pPr>
        <w:spacing w:after="0" w:line="1" w:lineRule="exact"/>
        <w:rPr>
          <w:rFonts w:ascii="Arial" w:cs="Arial" w:eastAsia="Arial" w:hAnsi="Arial"/>
          <w:sz w:val="18"/>
          <w:szCs w:val="18"/>
          <w:color w:val="auto"/>
        </w:rPr>
      </w:pPr>
    </w:p>
    <w:p>
      <w:pPr>
        <w:ind w:left="500" w:right="20" w:hanging="330"/>
        <w:spacing w:after="0" w:line="250" w:lineRule="auto"/>
        <w:tabs>
          <w:tab w:leader="none" w:pos="500" w:val="left"/>
        </w:tabs>
        <w:numPr>
          <w:ilvl w:val="0"/>
          <w:numId w:val="18"/>
        </w:numPr>
        <w:rPr>
          <w:rFonts w:ascii="Arial" w:cs="Arial" w:eastAsia="Arial" w:hAnsi="Arial"/>
          <w:sz w:val="18"/>
          <w:szCs w:val="18"/>
          <w:color w:val="auto"/>
        </w:rPr>
      </w:pPr>
      <w:r>
        <w:rPr>
          <w:rFonts w:ascii="Arial" w:cs="Arial" w:eastAsia="Arial" w:hAnsi="Arial"/>
          <w:sz w:val="18"/>
          <w:szCs w:val="18"/>
          <w:color w:val="auto"/>
        </w:rPr>
        <w:t>changes in or interpretations of foreign regulations that may adversely affect our ability to sell our products, perform services or repatriate profits to the United States;</w:t>
      </w:r>
    </w:p>
    <w:p>
      <w:pPr>
        <w:ind w:left="500" w:hanging="330"/>
        <w:spacing w:after="0"/>
        <w:tabs>
          <w:tab w:leader="none" w:pos="500" w:val="left"/>
        </w:tabs>
        <w:numPr>
          <w:ilvl w:val="0"/>
          <w:numId w:val="18"/>
        </w:numPr>
        <w:rPr>
          <w:rFonts w:ascii="Arial" w:cs="Arial" w:eastAsia="Arial" w:hAnsi="Arial"/>
          <w:sz w:val="18"/>
          <w:szCs w:val="18"/>
          <w:color w:val="auto"/>
        </w:rPr>
      </w:pPr>
      <w:r>
        <w:rPr>
          <w:rFonts w:ascii="Arial" w:cs="Arial" w:eastAsia="Arial" w:hAnsi="Arial"/>
          <w:sz w:val="18"/>
          <w:szCs w:val="18"/>
          <w:color w:val="auto"/>
        </w:rPr>
        <w:t>the imposition of tariffs;</w:t>
      </w:r>
    </w:p>
    <w:p>
      <w:pPr>
        <w:spacing w:after="0" w:line="9" w:lineRule="exact"/>
        <w:rPr>
          <w:rFonts w:ascii="Arial" w:cs="Arial" w:eastAsia="Arial" w:hAnsi="Arial"/>
          <w:sz w:val="18"/>
          <w:szCs w:val="18"/>
          <w:color w:val="auto"/>
        </w:rPr>
      </w:pPr>
    </w:p>
    <w:p>
      <w:pPr>
        <w:ind w:left="500" w:hanging="330"/>
        <w:spacing w:after="0"/>
        <w:tabs>
          <w:tab w:leader="none" w:pos="500" w:val="left"/>
        </w:tabs>
        <w:numPr>
          <w:ilvl w:val="0"/>
          <w:numId w:val="18"/>
        </w:numPr>
        <w:rPr>
          <w:rFonts w:ascii="Arial" w:cs="Arial" w:eastAsia="Arial" w:hAnsi="Arial"/>
          <w:sz w:val="18"/>
          <w:szCs w:val="18"/>
          <w:color w:val="auto"/>
        </w:rPr>
      </w:pPr>
      <w:r>
        <w:rPr>
          <w:rFonts w:ascii="Arial" w:cs="Arial" w:eastAsia="Arial" w:hAnsi="Arial"/>
          <w:sz w:val="18"/>
          <w:szCs w:val="18"/>
          <w:color w:val="auto"/>
        </w:rPr>
        <w:t>hyperinflation or economic or political instability in foreign countries;</w:t>
      </w:r>
    </w:p>
    <w:p>
      <w:pPr>
        <w:spacing w:after="0" w:line="9" w:lineRule="exact"/>
        <w:rPr>
          <w:rFonts w:ascii="Arial" w:cs="Arial" w:eastAsia="Arial" w:hAnsi="Arial"/>
          <w:sz w:val="18"/>
          <w:szCs w:val="18"/>
          <w:color w:val="auto"/>
        </w:rPr>
      </w:pPr>
    </w:p>
    <w:p>
      <w:pPr>
        <w:ind w:left="500" w:hanging="330"/>
        <w:spacing w:after="0"/>
        <w:tabs>
          <w:tab w:leader="none" w:pos="500" w:val="left"/>
        </w:tabs>
        <w:numPr>
          <w:ilvl w:val="0"/>
          <w:numId w:val="18"/>
        </w:numPr>
        <w:rPr>
          <w:rFonts w:ascii="Arial" w:cs="Arial" w:eastAsia="Arial" w:hAnsi="Arial"/>
          <w:sz w:val="16"/>
          <w:szCs w:val="16"/>
          <w:color w:val="auto"/>
        </w:rPr>
      </w:pPr>
      <w:r>
        <w:rPr>
          <w:rFonts w:ascii="Arial" w:cs="Arial" w:eastAsia="Arial" w:hAnsi="Arial"/>
          <w:sz w:val="16"/>
          <w:szCs w:val="16"/>
          <w:color w:val="auto"/>
        </w:rPr>
        <w:t>imposition of limitations on, or increase of withholding and other taxes on remittances and other payments by foreign subsidiaries or joint ventures;</w:t>
      </w:r>
    </w:p>
    <w:p>
      <w:pPr>
        <w:spacing w:after="0" w:line="32" w:lineRule="exact"/>
        <w:rPr>
          <w:rFonts w:ascii="Arial" w:cs="Arial" w:eastAsia="Arial" w:hAnsi="Arial"/>
          <w:sz w:val="16"/>
          <w:szCs w:val="16"/>
          <w:color w:val="auto"/>
        </w:rPr>
      </w:pPr>
    </w:p>
    <w:p>
      <w:pPr>
        <w:ind w:left="500" w:hanging="330"/>
        <w:spacing w:after="0"/>
        <w:tabs>
          <w:tab w:leader="none" w:pos="500" w:val="left"/>
        </w:tabs>
        <w:numPr>
          <w:ilvl w:val="0"/>
          <w:numId w:val="18"/>
        </w:numPr>
        <w:rPr>
          <w:rFonts w:ascii="Arial" w:cs="Arial" w:eastAsia="Arial" w:hAnsi="Arial"/>
          <w:sz w:val="18"/>
          <w:szCs w:val="18"/>
          <w:color w:val="auto"/>
        </w:rPr>
      </w:pPr>
      <w:r>
        <w:rPr>
          <w:rFonts w:ascii="Arial" w:cs="Arial" w:eastAsia="Arial" w:hAnsi="Arial"/>
          <w:sz w:val="18"/>
          <w:szCs w:val="18"/>
          <w:color w:val="auto"/>
        </w:rPr>
        <w:t>conducting business in places where business practices and customs are unfamiliar and unknown;</w:t>
      </w:r>
    </w:p>
    <w:p>
      <w:pPr>
        <w:spacing w:after="0" w:line="9" w:lineRule="exact"/>
        <w:rPr>
          <w:rFonts w:ascii="Arial" w:cs="Arial" w:eastAsia="Arial" w:hAnsi="Arial"/>
          <w:sz w:val="18"/>
          <w:szCs w:val="18"/>
          <w:color w:val="auto"/>
        </w:rPr>
      </w:pPr>
    </w:p>
    <w:p>
      <w:pPr>
        <w:ind w:left="500" w:hanging="330"/>
        <w:spacing w:after="0"/>
        <w:tabs>
          <w:tab w:leader="none" w:pos="500" w:val="left"/>
        </w:tabs>
        <w:numPr>
          <w:ilvl w:val="0"/>
          <w:numId w:val="18"/>
        </w:numPr>
        <w:rPr>
          <w:rFonts w:ascii="Arial" w:cs="Arial" w:eastAsia="Arial" w:hAnsi="Arial"/>
          <w:sz w:val="18"/>
          <w:szCs w:val="18"/>
          <w:color w:val="auto"/>
        </w:rPr>
      </w:pPr>
      <w:r>
        <w:rPr>
          <w:rFonts w:ascii="Arial" w:cs="Arial" w:eastAsia="Arial" w:hAnsi="Arial"/>
          <w:sz w:val="18"/>
          <w:szCs w:val="18"/>
          <w:color w:val="auto"/>
        </w:rPr>
        <w:t>the imposition of restrictive trade policies;</w:t>
      </w:r>
    </w:p>
    <w:p>
      <w:pPr>
        <w:spacing w:after="0" w:line="9" w:lineRule="exact"/>
        <w:rPr>
          <w:rFonts w:ascii="Arial" w:cs="Arial" w:eastAsia="Arial" w:hAnsi="Arial"/>
          <w:sz w:val="18"/>
          <w:szCs w:val="18"/>
          <w:color w:val="auto"/>
        </w:rPr>
      </w:pPr>
    </w:p>
    <w:p>
      <w:pPr>
        <w:ind w:left="500" w:hanging="330"/>
        <w:spacing w:after="0"/>
        <w:tabs>
          <w:tab w:leader="none" w:pos="500" w:val="left"/>
        </w:tabs>
        <w:numPr>
          <w:ilvl w:val="0"/>
          <w:numId w:val="18"/>
        </w:numPr>
        <w:rPr>
          <w:rFonts w:ascii="Arial" w:cs="Arial" w:eastAsia="Arial" w:hAnsi="Arial"/>
          <w:sz w:val="18"/>
          <w:szCs w:val="18"/>
          <w:color w:val="auto"/>
        </w:rPr>
      </w:pPr>
      <w:r>
        <w:rPr>
          <w:rFonts w:ascii="Arial" w:cs="Arial" w:eastAsia="Arial" w:hAnsi="Arial"/>
          <w:sz w:val="18"/>
          <w:szCs w:val="18"/>
          <w:color w:val="auto"/>
        </w:rPr>
        <w:t>the imposition of inconsistent laws or regulations;</w:t>
      </w:r>
    </w:p>
    <w:p>
      <w:pPr>
        <w:spacing w:after="0" w:line="9" w:lineRule="exact"/>
        <w:rPr>
          <w:rFonts w:ascii="Arial" w:cs="Arial" w:eastAsia="Arial" w:hAnsi="Arial"/>
          <w:sz w:val="18"/>
          <w:szCs w:val="18"/>
          <w:color w:val="auto"/>
        </w:rPr>
      </w:pPr>
    </w:p>
    <w:p>
      <w:pPr>
        <w:ind w:left="500" w:hanging="330"/>
        <w:spacing w:after="0"/>
        <w:tabs>
          <w:tab w:leader="none" w:pos="500" w:val="left"/>
        </w:tabs>
        <w:numPr>
          <w:ilvl w:val="0"/>
          <w:numId w:val="18"/>
        </w:numPr>
        <w:rPr>
          <w:rFonts w:ascii="Arial" w:cs="Arial" w:eastAsia="Arial" w:hAnsi="Arial"/>
          <w:sz w:val="18"/>
          <w:szCs w:val="18"/>
          <w:color w:val="auto"/>
        </w:rPr>
      </w:pPr>
      <w:r>
        <w:rPr>
          <w:rFonts w:ascii="Arial" w:cs="Arial" w:eastAsia="Arial" w:hAnsi="Arial"/>
          <w:sz w:val="18"/>
          <w:szCs w:val="18"/>
          <w:color w:val="auto"/>
        </w:rPr>
        <w:t>the imposition or increase of investment and other restrictions or requirements by foreign governments;</w:t>
      </w:r>
    </w:p>
    <w:p>
      <w:pPr>
        <w:spacing w:after="0" w:line="9" w:lineRule="exact"/>
        <w:rPr>
          <w:rFonts w:ascii="Arial" w:cs="Arial" w:eastAsia="Arial" w:hAnsi="Arial"/>
          <w:sz w:val="18"/>
          <w:szCs w:val="18"/>
          <w:color w:val="auto"/>
        </w:rPr>
      </w:pPr>
    </w:p>
    <w:p>
      <w:pPr>
        <w:ind w:left="500" w:hanging="330"/>
        <w:spacing w:after="0"/>
        <w:tabs>
          <w:tab w:leader="none" w:pos="500" w:val="left"/>
        </w:tabs>
        <w:numPr>
          <w:ilvl w:val="0"/>
          <w:numId w:val="18"/>
        </w:numPr>
        <w:rPr>
          <w:rFonts w:ascii="Arial" w:cs="Arial" w:eastAsia="Arial" w:hAnsi="Arial"/>
          <w:sz w:val="18"/>
          <w:szCs w:val="18"/>
          <w:color w:val="auto"/>
        </w:rPr>
      </w:pPr>
      <w:r>
        <w:rPr>
          <w:rFonts w:ascii="Arial" w:cs="Arial" w:eastAsia="Arial" w:hAnsi="Arial"/>
          <w:sz w:val="18"/>
          <w:szCs w:val="18"/>
          <w:color w:val="auto"/>
        </w:rPr>
        <w:t>uncertainties relating to foreign laws and legal proceedings;</w:t>
      </w:r>
    </w:p>
    <w:p>
      <w:pPr>
        <w:spacing w:after="0" w:line="9" w:lineRule="exact"/>
        <w:rPr>
          <w:rFonts w:ascii="Arial" w:cs="Arial" w:eastAsia="Arial" w:hAnsi="Arial"/>
          <w:sz w:val="18"/>
          <w:szCs w:val="18"/>
          <w:color w:val="auto"/>
        </w:rPr>
      </w:pPr>
    </w:p>
    <w:p>
      <w:pPr>
        <w:ind w:left="500" w:hanging="330"/>
        <w:spacing w:after="0"/>
        <w:tabs>
          <w:tab w:leader="none" w:pos="500" w:val="left"/>
        </w:tabs>
        <w:numPr>
          <w:ilvl w:val="0"/>
          <w:numId w:val="18"/>
        </w:numPr>
        <w:rPr>
          <w:rFonts w:ascii="Arial" w:cs="Arial" w:eastAsia="Arial" w:hAnsi="Arial"/>
          <w:sz w:val="18"/>
          <w:szCs w:val="18"/>
          <w:color w:val="auto"/>
        </w:rPr>
      </w:pPr>
      <w:r>
        <w:rPr>
          <w:rFonts w:ascii="Arial" w:cs="Arial" w:eastAsia="Arial" w:hAnsi="Arial"/>
          <w:sz w:val="18"/>
          <w:szCs w:val="18"/>
          <w:color w:val="auto"/>
        </w:rPr>
        <w:t>having to comply with a variety of U.S. laws, including the Foreign Corrupt Practices Act ("FCPA"); and</w:t>
      </w:r>
    </w:p>
    <w:p>
      <w:pPr>
        <w:spacing w:after="0" w:line="9" w:lineRule="exact"/>
        <w:rPr>
          <w:rFonts w:ascii="Arial" w:cs="Arial" w:eastAsia="Arial" w:hAnsi="Arial"/>
          <w:sz w:val="18"/>
          <w:szCs w:val="18"/>
          <w:color w:val="auto"/>
        </w:rPr>
      </w:pPr>
    </w:p>
    <w:p>
      <w:pPr>
        <w:ind w:left="500" w:hanging="330"/>
        <w:spacing w:after="0"/>
        <w:tabs>
          <w:tab w:leader="none" w:pos="500" w:val="left"/>
        </w:tabs>
        <w:numPr>
          <w:ilvl w:val="0"/>
          <w:numId w:val="18"/>
        </w:numPr>
        <w:rPr>
          <w:rFonts w:ascii="Arial" w:cs="Arial" w:eastAsia="Arial" w:hAnsi="Arial"/>
          <w:sz w:val="18"/>
          <w:szCs w:val="18"/>
          <w:color w:val="auto"/>
        </w:rPr>
      </w:pPr>
      <w:r>
        <w:rPr>
          <w:rFonts w:ascii="Arial" w:cs="Arial" w:eastAsia="Arial" w:hAnsi="Arial"/>
          <w:sz w:val="18"/>
          <w:szCs w:val="18"/>
          <w:color w:val="auto"/>
        </w:rPr>
        <w:t>having to comply with licensing requirements.</w:t>
      </w:r>
    </w:p>
    <w:p>
      <w:pPr>
        <w:spacing w:after="0" w:line="23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42</w:t>
      </w:r>
    </w:p>
    <w:p>
      <w:pPr>
        <w:sectPr>
          <w:pgSz w:w="11900" w:h="16838" w:orient="portrait"/>
          <w:cols w:equalWidth="0" w:num="1">
            <w:col w:w="11420"/>
          </w:cols>
          <w:pgMar w:left="240" w:top="118" w:right="239" w:bottom="1440" w:gutter="0" w:footer="0" w:header="0"/>
        </w:sectPr>
      </w:pPr>
    </w:p>
    <w:bookmarkStart w:id="42" w:name="page43"/>
    <w:bookmarkEnd w:id="42"/>
    <w:p>
      <w:pPr>
        <w:spacing w:after="0"/>
        <w:rPr>
          <w:rFonts w:ascii="Arial" w:cs="Arial" w:eastAsia="Arial" w:hAnsi="Arial"/>
          <w:sz w:val="14"/>
          <w:szCs w:val="14"/>
          <w:b w:val="1"/>
          <w:bCs w:val="1"/>
          <w:u w:val="single" w:color="auto"/>
          <w:color w:val="0000EE"/>
        </w:rPr>
      </w:pPr>
      <w:hyperlink w:anchor="page2">
        <w:r>
          <w:rPr>
            <w:rFonts w:ascii="Arial" w:cs="Arial" w:eastAsia="Arial" w:hAnsi="Arial"/>
            <w:sz w:val="14"/>
            <w:szCs w:val="14"/>
            <w:b w:val="1"/>
            <w:bCs w:val="1"/>
            <w:u w:val="single" w:color="auto"/>
            <w:color w:val="0000EE"/>
          </w:rPr>
          <w:t>Table of Contents</w:t>
        </w:r>
      </w:hyperlink>
    </w:p>
    <w:p>
      <w:pPr>
        <w:spacing w:after="0" w:line="360" w:lineRule="exact"/>
        <w:rPr>
          <w:sz w:val="20"/>
          <w:szCs w:val="20"/>
          <w:color w:val="auto"/>
        </w:rPr>
      </w:pPr>
    </w:p>
    <w:p>
      <w:pPr>
        <w:ind w:left="440"/>
        <w:spacing w:after="0"/>
        <w:rPr>
          <w:sz w:val="20"/>
          <w:szCs w:val="20"/>
          <w:color w:val="auto"/>
        </w:rPr>
      </w:pPr>
      <w:r>
        <w:rPr>
          <w:rFonts w:ascii="Arial" w:cs="Arial" w:eastAsia="Arial" w:hAnsi="Arial"/>
          <w:sz w:val="18"/>
          <w:szCs w:val="18"/>
          <w:color w:val="auto"/>
        </w:rPr>
        <w:t>We do not know the impact that these regulatory, geopolitical and other factors may have on our international business in the future.</w:t>
      </w:r>
    </w:p>
    <w:p>
      <w:pPr>
        <w:spacing w:after="0" w:line="200" w:lineRule="exact"/>
        <w:rPr>
          <w:sz w:val="20"/>
          <w:szCs w:val="20"/>
          <w:color w:val="auto"/>
        </w:rPr>
      </w:pPr>
    </w:p>
    <w:p>
      <w:pPr>
        <w:spacing w:after="0" w:line="200" w:lineRule="exact"/>
        <w:rPr>
          <w:sz w:val="20"/>
          <w:szCs w:val="20"/>
          <w:color w:val="auto"/>
        </w:rPr>
      </w:pPr>
    </w:p>
    <w:p>
      <w:pPr>
        <w:spacing w:after="0" w:line="257" w:lineRule="exact"/>
        <w:rPr>
          <w:sz w:val="20"/>
          <w:szCs w:val="20"/>
          <w:color w:val="auto"/>
        </w:rPr>
      </w:pPr>
    </w:p>
    <w:p>
      <w:pPr>
        <w:ind w:right="120"/>
        <w:spacing w:after="0" w:line="342" w:lineRule="auto"/>
        <w:rPr>
          <w:sz w:val="20"/>
          <w:szCs w:val="20"/>
          <w:color w:val="auto"/>
        </w:rPr>
      </w:pPr>
      <w:r>
        <w:rPr>
          <w:rFonts w:ascii="Arial" w:cs="Arial" w:eastAsia="Arial" w:hAnsi="Arial"/>
          <w:sz w:val="16"/>
          <w:szCs w:val="16"/>
          <w:b w:val="1"/>
          <w:bCs w:val="1"/>
          <w:i w:val="1"/>
          <w:iCs w:val="1"/>
          <w:color w:val="auto"/>
        </w:rPr>
        <w:t>We may be liable for damages based on product liability claims relating to defects in our products, which might be brought against us directly, or against our customers in their end-use markets. Such claims could result in a loss of customers in addition to substantial liability in damages.</w:t>
      </w:r>
    </w:p>
    <w:p>
      <w:pPr>
        <w:spacing w:after="0" w:line="16" w:lineRule="exact"/>
        <w:rPr>
          <w:sz w:val="20"/>
          <w:szCs w:val="20"/>
          <w:color w:val="auto"/>
        </w:rPr>
      </w:pPr>
    </w:p>
    <w:p>
      <w:pPr>
        <w:ind w:right="20" w:firstLine="432"/>
        <w:spacing w:after="0" w:line="290" w:lineRule="auto"/>
        <w:rPr>
          <w:sz w:val="20"/>
          <w:szCs w:val="20"/>
          <w:color w:val="auto"/>
        </w:rPr>
      </w:pPr>
      <w:r>
        <w:rPr>
          <w:rFonts w:ascii="Arial" w:cs="Arial" w:eastAsia="Arial" w:hAnsi="Arial"/>
          <w:sz w:val="16"/>
          <w:szCs w:val="16"/>
          <w:color w:val="auto"/>
        </w:rPr>
        <w:t>Our products are complex and undergo quality testing as well as formal qualification, both by our customers and by us. However, defects may occur from time to time. Our customers’ testing procedures may be limited to evaluating our products under likely and foreseeable failure scenarios and over varying amounts of time. For various reasons, such as the occurrence of performance problems that are unforeseeable in testing or that are detected only when products age or are operated under peak stress conditions, our products may fail to perform as expected long after customer acceptance. Failures could result from faulty components or design, problems in manufacturing or other unforeseen reasons. As a result, we could incur significant costs to repair or replace defective products under warranty, particularly when such failures occur in installed systems. In addition, we may in certain circumstances honor warranty claims after the warranty has expired or for problems not covered by warranty in order to maintain customer relationships. Any significant product failure could result in lost future sales of the affected product and other products, as well as customer relations problems, litigation and damage to our reputation.</w:t>
      </w:r>
    </w:p>
    <w:p>
      <w:pPr>
        <w:spacing w:after="0" w:line="58" w:lineRule="exact"/>
        <w:rPr>
          <w:sz w:val="20"/>
          <w:szCs w:val="20"/>
          <w:color w:val="auto"/>
        </w:rPr>
      </w:pPr>
    </w:p>
    <w:p>
      <w:pPr>
        <w:ind w:right="60" w:firstLine="432"/>
        <w:spacing w:after="0" w:line="257" w:lineRule="auto"/>
        <w:rPr>
          <w:sz w:val="20"/>
          <w:szCs w:val="20"/>
          <w:color w:val="auto"/>
        </w:rPr>
      </w:pPr>
      <w:r>
        <w:rPr>
          <w:rFonts w:ascii="Arial" w:cs="Arial" w:eastAsia="Arial" w:hAnsi="Arial"/>
          <w:sz w:val="18"/>
          <w:szCs w:val="18"/>
          <w:color w:val="auto"/>
        </w:rPr>
        <w:t>In addition, many of our products are embedded in, or deployed in conjunction with, our customers’ products, which incorporate a variety of components, modules and subsystems and may be expected to interoperate with modules produced by third parties. As a result, not all defects are immediately detectable, and, when problems occur, it may be difficult to identify the source of the problem. These problems may cause us to incur significant damages or warranty and repair costs, divert the attention of our engineering personnel from internal product development efforts and cause significant customer relations problems or loss of customers, all of which would harm our business.</w:t>
      </w:r>
    </w:p>
    <w:p>
      <w:pPr>
        <w:spacing w:after="0" w:line="80" w:lineRule="exact"/>
        <w:rPr>
          <w:sz w:val="20"/>
          <w:szCs w:val="20"/>
          <w:color w:val="auto"/>
        </w:rPr>
      </w:pPr>
    </w:p>
    <w:p>
      <w:pPr>
        <w:ind w:firstLine="432"/>
        <w:spacing w:after="0" w:line="297" w:lineRule="auto"/>
        <w:rPr>
          <w:sz w:val="20"/>
          <w:szCs w:val="20"/>
          <w:color w:val="auto"/>
        </w:rPr>
      </w:pPr>
      <w:r>
        <w:rPr>
          <w:rFonts w:ascii="Arial" w:cs="Arial" w:eastAsia="Arial" w:hAnsi="Arial"/>
          <w:sz w:val="16"/>
          <w:szCs w:val="16"/>
          <w:color w:val="auto"/>
        </w:rPr>
        <w:t>Furthermore, many of our products may provide critical performance attributes to our customers’ products that will be sold to end users who could potentially bring product liability suits in which we could be named as a defendant. The sale of these products involves the risk of product liability claims. If a person were to bring a product liability suit against one of our customers, this customer may attempt to seek contribution from us. A person may also bring a product liability claim directly against us. A successful product liability claim or series of claims against us in excess of our insurance coverage for payments, for which we are not otherwise indemnified, could have a material adverse effect on our financial condition or results of operations.</w:t>
      </w:r>
    </w:p>
    <w:p>
      <w:pPr>
        <w:spacing w:after="0" w:line="266" w:lineRule="exact"/>
        <w:rPr>
          <w:sz w:val="20"/>
          <w:szCs w:val="20"/>
          <w:color w:val="auto"/>
        </w:rPr>
      </w:pPr>
    </w:p>
    <w:p>
      <w:pPr>
        <w:ind w:right="160"/>
        <w:spacing w:after="0" w:line="277" w:lineRule="auto"/>
        <w:rPr>
          <w:sz w:val="20"/>
          <w:szCs w:val="20"/>
          <w:color w:val="auto"/>
        </w:rPr>
      </w:pPr>
      <w:r>
        <w:rPr>
          <w:rFonts w:ascii="Arial" w:cs="Arial" w:eastAsia="Arial" w:hAnsi="Arial"/>
          <w:sz w:val="18"/>
          <w:szCs w:val="18"/>
          <w:b w:val="1"/>
          <w:bCs w:val="1"/>
          <w:i w:val="1"/>
          <w:iCs w:val="1"/>
          <w:color w:val="auto"/>
        </w:rPr>
        <w:t>We could be negatively affected by a security breach, either through cyber-attack, cyber-intrusion or other significant disruption of our IT networks and related systems.</w:t>
      </w:r>
    </w:p>
    <w:p>
      <w:pPr>
        <w:spacing w:after="0" w:line="62" w:lineRule="exact"/>
        <w:rPr>
          <w:sz w:val="20"/>
          <w:szCs w:val="20"/>
          <w:color w:val="auto"/>
        </w:rPr>
      </w:pPr>
    </w:p>
    <w:p>
      <w:pPr>
        <w:ind w:right="180" w:firstLine="432"/>
        <w:spacing w:after="0" w:line="257" w:lineRule="auto"/>
        <w:rPr>
          <w:sz w:val="20"/>
          <w:szCs w:val="20"/>
          <w:color w:val="auto"/>
        </w:rPr>
      </w:pPr>
      <w:r>
        <w:rPr>
          <w:rFonts w:ascii="Arial" w:cs="Arial" w:eastAsia="Arial" w:hAnsi="Arial"/>
          <w:sz w:val="18"/>
          <w:szCs w:val="18"/>
          <w:color w:val="auto"/>
        </w:rPr>
        <w:t>We face the risk, as does any company, of a security breach, whether through cyber-attack or cyber-intrusion over the internet, malware, computer viruses, attachments to e-mails, persons inside our organization or persons with access to systems inside our organization, or other significant disruption of our IT networks and related systems. The risk of a security breach or disruption, particularly through cyber-attack or cyber-intrusion, including by computer hackers, foreign governments and cyber terrorists, has increased as the number, intensity and sophistication of attempted attacks and intrusions from around the world have increased.</w:t>
      </w:r>
    </w:p>
    <w:p>
      <w:pPr>
        <w:spacing w:after="0" w:line="80" w:lineRule="exact"/>
        <w:rPr>
          <w:sz w:val="20"/>
          <w:szCs w:val="20"/>
          <w:color w:val="auto"/>
        </w:rPr>
      </w:pPr>
    </w:p>
    <w:p>
      <w:pPr>
        <w:ind w:right="60" w:firstLine="432"/>
        <w:spacing w:after="0" w:line="270" w:lineRule="auto"/>
        <w:rPr>
          <w:sz w:val="20"/>
          <w:szCs w:val="20"/>
          <w:color w:val="auto"/>
        </w:rPr>
      </w:pPr>
      <w:r>
        <w:rPr>
          <w:rFonts w:ascii="Arial" w:cs="Arial" w:eastAsia="Arial" w:hAnsi="Arial"/>
          <w:sz w:val="17"/>
          <w:szCs w:val="17"/>
          <w:color w:val="auto"/>
        </w:rPr>
        <w:t>As a technology company, and particularly as a government contractor, we may face a heightened risk of a security breach or disruption from threats to gain unauthorized access to our proprietary, confidential or classified information on our IT networks and related systems. These types of information and IT networks and related systems are critical to the operation of our business and essential to our ability to perform day-to-day operations, and, in some cases, are critical to the operations of certain of our customers. In addition, as certain of our technological capabilities become widely known, it is possible that we may be subjected to cyber-attack or cyber-intrusion as third parties seek to gain improper access to information regarding these capabilities and cyber-attacks or cyber-intrusion could compromise our confidential information or our IT networks and systems generally, as it is not practical as a business matter to isolate all of our confidential information and trade secrets from email and internet access. To date, we have not experienced a significant cyber-intrusion or cyber-attack. There can be no assurance that our security efforts and measures will be effective or that attempted security breaches or disruptions would not be successful or damaging.</w:t>
      </w:r>
    </w:p>
    <w:p>
      <w:pPr>
        <w:spacing w:after="0" w:line="74" w:lineRule="exact"/>
        <w:rPr>
          <w:sz w:val="20"/>
          <w:szCs w:val="20"/>
          <w:color w:val="auto"/>
        </w:rPr>
      </w:pPr>
    </w:p>
    <w:p>
      <w:pPr>
        <w:ind w:right="60" w:firstLine="432"/>
        <w:spacing w:after="0" w:line="259" w:lineRule="auto"/>
        <w:rPr>
          <w:sz w:val="20"/>
          <w:szCs w:val="20"/>
          <w:color w:val="auto"/>
        </w:rPr>
      </w:pPr>
      <w:r>
        <w:rPr>
          <w:rFonts w:ascii="Arial" w:cs="Arial" w:eastAsia="Arial" w:hAnsi="Arial"/>
          <w:sz w:val="18"/>
          <w:szCs w:val="18"/>
          <w:color w:val="auto"/>
        </w:rPr>
        <w:t>A security breach or other significant disruption involving these types of information and IT networks and related systems could disrupt the proper functioning of these networks and systems and therefore our operations, compromise our confidential information and trade secrets, or damage our reputation among our customers and the public generally. Any of these developments could have a negative impact on our results of operations, financial condition and cash flows.</w:t>
      </w:r>
    </w:p>
    <w:p>
      <w:pPr>
        <w:spacing w:after="0" w:line="21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43</w:t>
      </w:r>
    </w:p>
    <w:p>
      <w:pPr>
        <w:sectPr>
          <w:pgSz w:w="11900" w:h="16838" w:orient="portrait"/>
          <w:cols w:equalWidth="0" w:num="1">
            <w:col w:w="11420"/>
          </w:cols>
          <w:pgMar w:left="240" w:top="118" w:right="239" w:bottom="1440" w:gutter="0" w:footer="0" w:header="0"/>
        </w:sectPr>
      </w:pPr>
    </w:p>
    <w:bookmarkStart w:id="43" w:name="page44"/>
    <w:bookmarkEnd w:id="43"/>
    <w:p>
      <w:pPr>
        <w:spacing w:after="0"/>
        <w:rPr>
          <w:rFonts w:ascii="Arial" w:cs="Arial" w:eastAsia="Arial" w:hAnsi="Arial"/>
          <w:sz w:val="14"/>
          <w:szCs w:val="14"/>
          <w:b w:val="1"/>
          <w:bCs w:val="1"/>
          <w:u w:val="single" w:color="auto"/>
          <w:color w:val="0000EE"/>
        </w:rPr>
      </w:pPr>
      <w:hyperlink w:anchor="page2">
        <w:r>
          <w:rPr>
            <w:rFonts w:ascii="Arial" w:cs="Arial" w:eastAsia="Arial" w:hAnsi="Arial"/>
            <w:sz w:val="14"/>
            <w:szCs w:val="14"/>
            <w:b w:val="1"/>
            <w:bCs w:val="1"/>
            <w:u w:val="single" w:color="auto"/>
            <w:color w:val="0000EE"/>
          </w:rPr>
          <w:t>Table of Contents</w:t>
        </w:r>
      </w:hyperlink>
    </w:p>
    <w:p>
      <w:pPr>
        <w:spacing w:after="0" w:line="200" w:lineRule="exact"/>
        <w:rPr>
          <w:sz w:val="20"/>
          <w:szCs w:val="20"/>
          <w:color w:val="auto"/>
        </w:rPr>
      </w:pPr>
    </w:p>
    <w:p>
      <w:pPr>
        <w:spacing w:after="0" w:line="37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Risks Relating to our Regulatory Environment</w:t>
      </w:r>
    </w:p>
    <w:p>
      <w:pPr>
        <w:spacing w:after="0" w:line="337" w:lineRule="exact"/>
        <w:rPr>
          <w:sz w:val="20"/>
          <w:szCs w:val="20"/>
          <w:color w:val="auto"/>
        </w:rPr>
      </w:pPr>
    </w:p>
    <w:p>
      <w:pPr>
        <w:ind w:right="300"/>
        <w:spacing w:after="0" w:line="264" w:lineRule="auto"/>
        <w:rPr>
          <w:sz w:val="20"/>
          <w:szCs w:val="20"/>
          <w:color w:val="auto"/>
        </w:rPr>
      </w:pPr>
      <w:r>
        <w:rPr>
          <w:rFonts w:ascii="Arial" w:cs="Arial" w:eastAsia="Arial" w:hAnsi="Arial"/>
          <w:sz w:val="18"/>
          <w:szCs w:val="18"/>
          <w:b w:val="1"/>
          <w:bCs w:val="1"/>
          <w:i w:val="1"/>
          <w:iCs w:val="1"/>
          <w:color w:val="auto"/>
        </w:rPr>
        <w:t>Our operations are subject to domestic and foreign laws, regulations and restrictions, and noncompliance with these laws, regulations and restrictions could expose us to fines, penalties, suspension or debarment, which could have a material adverse effect on our profitability and overall financial position.</w:t>
      </w:r>
    </w:p>
    <w:p>
      <w:pPr>
        <w:spacing w:after="0" w:line="73" w:lineRule="exact"/>
        <w:rPr>
          <w:sz w:val="20"/>
          <w:szCs w:val="20"/>
          <w:color w:val="auto"/>
        </w:rPr>
      </w:pPr>
    </w:p>
    <w:p>
      <w:pPr>
        <w:ind w:right="80" w:firstLine="432"/>
        <w:spacing w:after="0" w:line="272" w:lineRule="auto"/>
        <w:rPr>
          <w:sz w:val="20"/>
          <w:szCs w:val="20"/>
          <w:color w:val="auto"/>
        </w:rPr>
      </w:pPr>
      <w:r>
        <w:rPr>
          <w:rFonts w:ascii="Arial" w:cs="Arial" w:eastAsia="Arial" w:hAnsi="Arial"/>
          <w:sz w:val="17"/>
          <w:szCs w:val="17"/>
          <w:color w:val="auto"/>
        </w:rPr>
        <w:t>Our operations, particularly our international sales, subject us to numerous U.S. and foreign laws and regulations, including, without limitation, regulations relating to imports, exports (including the Export Administration Regulations and the International Traffic in Arms Regulations), technology transfer restrictions, anti-boycott provisions, economic sanctions and the FCPA. The number of our various emerging technologies, the development of many of which has been funded by the Department of Defense, presents us with many regulatory challenges. Failure by us or our sales representatives or consultants to comply with these laws and regulations could result in administrative, civil, or criminal liabilities and could result in suspension of our export privileges, which could have a material adverse effect on our business. Changes in regulation or political environment may affect our ability to conduct business in foreign markets including investment, procurement and repatriation of earnings.</w:t>
      </w:r>
    </w:p>
    <w:p>
      <w:pPr>
        <w:spacing w:after="0" w:line="28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Environmental regulations could increase operating costs and additional capital expenditures and delay or interrupt operations.</w:t>
      </w:r>
    </w:p>
    <w:p>
      <w:pPr>
        <w:spacing w:after="0" w:line="117" w:lineRule="exact"/>
        <w:rPr>
          <w:sz w:val="20"/>
          <w:szCs w:val="20"/>
          <w:color w:val="auto"/>
        </w:rPr>
      </w:pPr>
    </w:p>
    <w:p>
      <w:pPr>
        <w:ind w:right="60" w:firstLine="432"/>
        <w:spacing w:after="0" w:line="257" w:lineRule="auto"/>
        <w:rPr>
          <w:sz w:val="20"/>
          <w:szCs w:val="20"/>
          <w:color w:val="auto"/>
        </w:rPr>
      </w:pPr>
      <w:r>
        <w:rPr>
          <w:rFonts w:ascii="Arial" w:cs="Arial" w:eastAsia="Arial" w:hAnsi="Arial"/>
          <w:sz w:val="18"/>
          <w:szCs w:val="18"/>
          <w:color w:val="auto"/>
        </w:rPr>
        <w:t>The photonics industry, as well as the semiconductor industry, are subject to governmental regulations for the protection of the environment, including those relating to air and water quality, solid and hazardous waste handling, and the promotion of occupational safety. Various federal, state and local laws and regulations require that we maintain certain environmental permits. While we believe that we have obtained all necessary environmental permits required to conduct our manufacturing processes, if we are found to be in violation of these laws, we could be subject to governmental fines and liability for damages resulting from such violations.</w:t>
      </w:r>
    </w:p>
    <w:p>
      <w:pPr>
        <w:spacing w:after="0" w:line="80" w:lineRule="exact"/>
        <w:rPr>
          <w:sz w:val="20"/>
          <w:szCs w:val="20"/>
          <w:color w:val="auto"/>
        </w:rPr>
      </w:pPr>
    </w:p>
    <w:p>
      <w:pPr>
        <w:ind w:right="40" w:firstLine="432"/>
        <w:spacing w:after="0" w:line="277" w:lineRule="auto"/>
        <w:rPr>
          <w:sz w:val="20"/>
          <w:szCs w:val="20"/>
          <w:color w:val="auto"/>
        </w:rPr>
      </w:pPr>
      <w:r>
        <w:rPr>
          <w:rFonts w:ascii="Arial" w:cs="Arial" w:eastAsia="Arial" w:hAnsi="Arial"/>
          <w:sz w:val="18"/>
          <w:szCs w:val="18"/>
          <w:color w:val="auto"/>
        </w:rPr>
        <w:t>Changes in the aforementioned laws and regulations or the enactment of new laws, regulations or policies could require increases in operating costs and additional capital expenditures and could possibly entail delays or interruptions of our operations.</w:t>
      </w:r>
    </w:p>
    <w:p>
      <w:pPr>
        <w:spacing w:after="0" w:line="279" w:lineRule="exact"/>
        <w:rPr>
          <w:sz w:val="20"/>
          <w:szCs w:val="20"/>
          <w:color w:val="auto"/>
        </w:rPr>
      </w:pPr>
    </w:p>
    <w:p>
      <w:pPr>
        <w:ind w:right="340"/>
        <w:spacing w:after="0" w:line="308" w:lineRule="auto"/>
        <w:rPr>
          <w:sz w:val="20"/>
          <w:szCs w:val="20"/>
          <w:color w:val="auto"/>
        </w:rPr>
      </w:pPr>
      <w:r>
        <w:rPr>
          <w:rFonts w:ascii="Arial" w:cs="Arial" w:eastAsia="Arial" w:hAnsi="Arial"/>
          <w:sz w:val="17"/>
          <w:szCs w:val="17"/>
          <w:b w:val="1"/>
          <w:bCs w:val="1"/>
          <w:i w:val="1"/>
          <w:iCs w:val="1"/>
          <w:color w:val="auto"/>
        </w:rPr>
        <w:t>If our manufacturing facilities do not meet Federal, state or foreign country manufacturing standards, we may be required to temporarily cease all or part of our manufacturing operations, which would result in product delivery delays and negatively impact revenues.</w:t>
      </w:r>
    </w:p>
    <w:p>
      <w:pPr>
        <w:spacing w:after="0" w:line="38" w:lineRule="exact"/>
        <w:rPr>
          <w:sz w:val="20"/>
          <w:szCs w:val="20"/>
          <w:color w:val="auto"/>
        </w:rPr>
      </w:pPr>
    </w:p>
    <w:p>
      <w:pPr>
        <w:ind w:right="60" w:firstLine="432"/>
        <w:spacing w:after="0" w:line="271" w:lineRule="auto"/>
        <w:rPr>
          <w:sz w:val="20"/>
          <w:szCs w:val="20"/>
          <w:color w:val="auto"/>
        </w:rPr>
      </w:pPr>
      <w:r>
        <w:rPr>
          <w:rFonts w:ascii="Arial" w:cs="Arial" w:eastAsia="Arial" w:hAnsi="Arial"/>
          <w:sz w:val="17"/>
          <w:szCs w:val="17"/>
          <w:color w:val="auto"/>
        </w:rPr>
        <w:t>Our manufacturing facilities are subject to periodic inspection by regulatory authorities and our operations will continue to be regulated by the FDA for compliance with Good Manufacturing Practice requirements contained in the quality systems regulations. We are also required to comply with International Organization for Standardization ("ISO"), quality system standards in order to produce certain of our products for sale in Europe. If we fail to continue to comply with Good Manufacturing Practice requirements or ISO standards, we may be required to cease all or part of our operations until we comply with these regulations. Obtaining and maintaining such compliance is difficult and costly. We cannot be certain that our facilities will be found to comply with Good Manufacturing Practice requirements or ISO standards in future inspections and audits by regulatory authorities. In addition, if we cannot maintain or establish manufacturing facilities or operations that comply with such standards or do not meet the expectations of our customers, we may not be able to realize certain economic opportunities in our current or future supply arrangements.</w:t>
      </w:r>
    </w:p>
    <w:p>
      <w:pPr>
        <w:spacing w:after="0" w:line="287" w:lineRule="exact"/>
        <w:rPr>
          <w:sz w:val="20"/>
          <w:szCs w:val="20"/>
          <w:color w:val="auto"/>
        </w:rPr>
      </w:pPr>
    </w:p>
    <w:p>
      <w:pPr>
        <w:ind w:right="300"/>
        <w:spacing w:after="0" w:line="375" w:lineRule="auto"/>
        <w:rPr>
          <w:sz w:val="20"/>
          <w:szCs w:val="20"/>
          <w:color w:val="auto"/>
        </w:rPr>
      </w:pPr>
      <w:r>
        <w:rPr>
          <w:rFonts w:ascii="Arial" w:cs="Arial" w:eastAsia="Arial" w:hAnsi="Arial"/>
          <w:sz w:val="15"/>
          <w:szCs w:val="15"/>
          <w:b w:val="1"/>
          <w:bCs w:val="1"/>
          <w:i w:val="1"/>
          <w:iCs w:val="1"/>
          <w:color w:val="auto"/>
        </w:rPr>
        <w:t>Medical products are subject to various international regulatory processes and approval requirements. If we do not obtain and maintain the necessary international regulatory approvals for any such potential products, we may not be able to market and sell our medical products in foreign countries.</w:t>
      </w:r>
    </w:p>
    <w:p>
      <w:pPr>
        <w:spacing w:after="0" w:line="1" w:lineRule="exact"/>
        <w:rPr>
          <w:sz w:val="20"/>
          <w:szCs w:val="20"/>
          <w:color w:val="auto"/>
        </w:rPr>
      </w:pPr>
    </w:p>
    <w:p>
      <w:pPr>
        <w:ind w:firstLine="432"/>
        <w:spacing w:after="0" w:line="255" w:lineRule="auto"/>
        <w:rPr>
          <w:sz w:val="20"/>
          <w:szCs w:val="20"/>
          <w:color w:val="auto"/>
        </w:rPr>
      </w:pPr>
      <w:r>
        <w:rPr>
          <w:rFonts w:ascii="Arial" w:cs="Arial" w:eastAsia="Arial" w:hAnsi="Arial"/>
          <w:sz w:val="18"/>
          <w:szCs w:val="18"/>
          <w:color w:val="auto"/>
        </w:rPr>
        <w:t>To be able to market and sell medical products in other countries, we must obtain regulatory approvals and comply with the regulations of those countries. These regulations, including the requirements for approvals and the time required for regulatory review, vary from country to country. Obtaining and maintaining foreign regulatory approvals are expensive, and we cannot be certain that we will have the resources to be able to pursue such approvals or whether we would receive regulatory approvals in any foreign country in which we plan to market our products. For example, the European Union requires that manufacturers of medical products obtain the right to affix the CE mark to their products before selling them in member countries of the European Union, which we have not yet obtained and may never obtain. If we fail to obtain regulatory approval in any foreign country in which we plan to market our products, our ability to generate revenues will be harmed.</w:t>
      </w:r>
    </w:p>
    <w:p>
      <w:pPr>
        <w:spacing w:after="0" w:line="21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44</w:t>
      </w:r>
    </w:p>
    <w:p>
      <w:pPr>
        <w:sectPr>
          <w:pgSz w:w="11900" w:h="16838" w:orient="portrait"/>
          <w:cols w:equalWidth="0" w:num="1">
            <w:col w:w="11420"/>
          </w:cols>
          <w:pgMar w:left="240" w:top="118" w:right="239" w:bottom="1440" w:gutter="0" w:footer="0" w:header="0"/>
        </w:sectPr>
      </w:pPr>
    </w:p>
    <w:bookmarkStart w:id="44" w:name="page45"/>
    <w:bookmarkEnd w:id="44"/>
    <w:p>
      <w:pPr>
        <w:spacing w:after="0"/>
        <w:rPr>
          <w:rFonts w:ascii="Arial" w:cs="Arial" w:eastAsia="Arial" w:hAnsi="Arial"/>
          <w:sz w:val="14"/>
          <w:szCs w:val="14"/>
          <w:b w:val="1"/>
          <w:bCs w:val="1"/>
          <w:u w:val="single" w:color="auto"/>
          <w:color w:val="0000EE"/>
        </w:rPr>
      </w:pPr>
      <w:hyperlink w:anchor="page2">
        <w:r>
          <w:rPr>
            <w:rFonts w:ascii="Arial" w:cs="Arial" w:eastAsia="Arial" w:hAnsi="Arial"/>
            <w:sz w:val="14"/>
            <w:szCs w:val="14"/>
            <w:b w:val="1"/>
            <w:bCs w:val="1"/>
            <w:u w:val="single" w:color="auto"/>
            <w:color w:val="0000EE"/>
          </w:rPr>
          <w:t>Table of Contents</w:t>
        </w:r>
      </w:hyperlink>
    </w:p>
    <w:p>
      <w:pPr>
        <w:spacing w:after="0" w:line="200" w:lineRule="exact"/>
        <w:rPr>
          <w:sz w:val="20"/>
          <w:szCs w:val="20"/>
          <w:color w:val="auto"/>
        </w:rPr>
      </w:pPr>
    </w:p>
    <w:p>
      <w:pPr>
        <w:spacing w:after="0" w:line="376" w:lineRule="exact"/>
        <w:rPr>
          <w:sz w:val="20"/>
          <w:szCs w:val="20"/>
          <w:color w:val="auto"/>
        </w:rPr>
      </w:pPr>
    </w:p>
    <w:p>
      <w:pPr>
        <w:ind w:right="260"/>
        <w:spacing w:after="0" w:line="277" w:lineRule="auto"/>
        <w:rPr>
          <w:sz w:val="20"/>
          <w:szCs w:val="20"/>
          <w:color w:val="auto"/>
        </w:rPr>
      </w:pPr>
      <w:r>
        <w:rPr>
          <w:rFonts w:ascii="Arial" w:cs="Arial" w:eastAsia="Arial" w:hAnsi="Arial"/>
          <w:sz w:val="18"/>
          <w:szCs w:val="18"/>
          <w:b w:val="1"/>
          <w:bCs w:val="1"/>
          <w:i w:val="1"/>
          <w:iCs w:val="1"/>
          <w:color w:val="auto"/>
        </w:rPr>
        <w:t>We are subject to additional significant foreign and domestic government regulations, including environmental and health and safety regulations, and failure to comply with these regulations could harm our business.</w:t>
      </w:r>
    </w:p>
    <w:p>
      <w:pPr>
        <w:spacing w:after="0" w:line="62" w:lineRule="exact"/>
        <w:rPr>
          <w:sz w:val="20"/>
          <w:szCs w:val="20"/>
          <w:color w:val="auto"/>
        </w:rPr>
      </w:pPr>
    </w:p>
    <w:p>
      <w:pPr>
        <w:ind w:right="40" w:firstLine="432"/>
        <w:spacing w:after="0" w:line="269" w:lineRule="auto"/>
        <w:rPr>
          <w:sz w:val="20"/>
          <w:szCs w:val="20"/>
          <w:color w:val="auto"/>
        </w:rPr>
      </w:pPr>
      <w:r>
        <w:rPr>
          <w:rFonts w:ascii="Arial" w:cs="Arial" w:eastAsia="Arial" w:hAnsi="Arial"/>
          <w:sz w:val="17"/>
          <w:szCs w:val="17"/>
          <w:color w:val="auto"/>
        </w:rPr>
        <w:t>Our facilities and current and proposed activities involve the use of a broad range of materials that are considered hazardous under applicable laws and regulations. Accordingly, we are subject to a number of foreign, federal, state and local laws and regulations relating to health and safety, protection of the environment and the storage, use, disposal of, and exposure to, hazardous materials and wastes. We could incur costs, fines and civil and criminal penalties, personal injury and third party property damage claims, or could be required to incur substantial investigation or remediation costs, if we were to violate or become liable under environmental, health and safety laws. Moreover, a failure to comply with environmental laws could result in fines and the revocation of environmental permits, which could prevent us from conducting our business. Liability under environmental laws can be joint and several and without regard to fault. There can be no assurance that violations of environmental and health and safety laws will not occur in the future as a result of the inability to obtain permits, human error, equipment failure or other causes. Environmental laws could become more stringent over time, imposing greater compliance costs and increasing risks and penalties associated with violations, which could harm our business. Accordingly, violations of present and future environmental laws could restrict our ability to expand facilities, pursue certain technologies, and could require us to acquire costly equipment or incur potentially significant costs to comply with environmental regulations.</w:t>
      </w:r>
    </w:p>
    <w:p>
      <w:pPr>
        <w:spacing w:after="0" w:line="75" w:lineRule="exact"/>
        <w:rPr>
          <w:sz w:val="20"/>
          <w:szCs w:val="20"/>
          <w:color w:val="auto"/>
        </w:rPr>
      </w:pPr>
    </w:p>
    <w:p>
      <w:pPr>
        <w:ind w:right="80" w:firstLine="432"/>
        <w:spacing w:after="0" w:line="302" w:lineRule="auto"/>
        <w:rPr>
          <w:sz w:val="20"/>
          <w:szCs w:val="20"/>
          <w:color w:val="auto"/>
        </w:rPr>
      </w:pPr>
      <w:r>
        <w:rPr>
          <w:rFonts w:ascii="Arial" w:cs="Arial" w:eastAsia="Arial" w:hAnsi="Arial"/>
          <w:sz w:val="16"/>
          <w:szCs w:val="16"/>
          <w:color w:val="auto"/>
        </w:rPr>
        <w:t>Compliance with foreign, federal, state and local environmental laws and regulations represents a small part of our present budget. If we fail to comply with any such laws or regulations, however, a government entity may levy a fine on us or require us to take costly measures to ensure compliance. Any such fine or expenditure may adversely affect our development. We cannot predict the extent to which future legislation and regulation could cause us to incur additional operating expenses, capital expenditures or restrictions and delays in the development of our products and properties.</w:t>
      </w:r>
    </w:p>
    <w:p>
      <w:pPr>
        <w:spacing w:after="0" w:line="25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Risks Relating to our Intellectual Property</w:t>
      </w:r>
    </w:p>
    <w:p>
      <w:pPr>
        <w:spacing w:after="0" w:line="33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Our proprietary rights may not adequately protect our technologies.</w:t>
      </w:r>
    </w:p>
    <w:p>
      <w:pPr>
        <w:spacing w:after="0" w:line="117" w:lineRule="exact"/>
        <w:rPr>
          <w:sz w:val="20"/>
          <w:szCs w:val="20"/>
          <w:color w:val="auto"/>
        </w:rPr>
      </w:pPr>
    </w:p>
    <w:p>
      <w:pPr>
        <w:ind w:firstLine="432"/>
        <w:spacing w:after="0" w:line="290" w:lineRule="auto"/>
        <w:rPr>
          <w:sz w:val="20"/>
          <w:szCs w:val="20"/>
          <w:color w:val="auto"/>
        </w:rPr>
      </w:pPr>
      <w:r>
        <w:rPr>
          <w:rFonts w:ascii="Arial" w:cs="Arial" w:eastAsia="Arial" w:hAnsi="Arial"/>
          <w:sz w:val="16"/>
          <w:szCs w:val="16"/>
          <w:color w:val="auto"/>
        </w:rPr>
        <w:t>Our commercial success will depend in part on our obtaining and maintaining patent, trade secret, copyright and trademark protection of our technologies in the United States and other jurisdictions as well as successfully enforcing this intellectual property and defending it against third-party challenges. We will only be able to protect our technologies from unauthorized use by third parties to the extent that valid and enforceable intellectual property protections, such as patents or trade secrets, cover them. In particular, we place considerable emphasis on obtaining patent and trade secret protection for significant new technologies, products and processes. The degree of future protection of our proprietary rights is uncertain because legal means afford only limited protection and may not adequately protect our rights or permit us to gain or keep our competitive advantage. The degree of future protection of our proprietary rights is also uncertain for products that are currently in the early stages of development because we cannot predict which of these products will ultimately reach the commercial market or whether the commercial versions of these products will incorporate proprietary technologies.</w:t>
      </w:r>
    </w:p>
    <w:p>
      <w:pPr>
        <w:spacing w:after="0" w:line="58" w:lineRule="exact"/>
        <w:rPr>
          <w:sz w:val="20"/>
          <w:szCs w:val="20"/>
          <w:color w:val="auto"/>
        </w:rPr>
      </w:pPr>
    </w:p>
    <w:p>
      <w:pPr>
        <w:ind w:right="20" w:firstLine="432"/>
        <w:spacing w:after="0" w:line="277" w:lineRule="auto"/>
        <w:rPr>
          <w:sz w:val="20"/>
          <w:szCs w:val="20"/>
          <w:color w:val="auto"/>
        </w:rPr>
      </w:pPr>
      <w:r>
        <w:rPr>
          <w:rFonts w:ascii="Arial" w:cs="Arial" w:eastAsia="Arial" w:hAnsi="Arial"/>
          <w:sz w:val="18"/>
          <w:szCs w:val="18"/>
          <w:color w:val="auto"/>
        </w:rPr>
        <w:t>Our patent position is highly uncertain and involves complex legal and factual questions. Accordingly, we cannot predict the breadth of claims that may be allowed or enforced in our patents or in third-party patents. For example:</w:t>
      </w:r>
    </w:p>
    <w:p>
      <w:pPr>
        <w:spacing w:after="0" w:line="279" w:lineRule="exact"/>
        <w:rPr>
          <w:sz w:val="20"/>
          <w:szCs w:val="20"/>
          <w:color w:val="auto"/>
        </w:rPr>
      </w:pPr>
    </w:p>
    <w:p>
      <w:pPr>
        <w:ind w:left="500" w:hanging="330"/>
        <w:spacing w:after="0"/>
        <w:tabs>
          <w:tab w:leader="none" w:pos="500" w:val="left"/>
        </w:tabs>
        <w:numPr>
          <w:ilvl w:val="0"/>
          <w:numId w:val="19"/>
        </w:numPr>
        <w:rPr>
          <w:rFonts w:ascii="Arial" w:cs="Arial" w:eastAsia="Arial" w:hAnsi="Arial"/>
          <w:sz w:val="17"/>
          <w:szCs w:val="17"/>
          <w:color w:val="auto"/>
        </w:rPr>
      </w:pPr>
      <w:r>
        <w:rPr>
          <w:rFonts w:ascii="Arial" w:cs="Arial" w:eastAsia="Arial" w:hAnsi="Arial"/>
          <w:sz w:val="17"/>
          <w:szCs w:val="17"/>
          <w:color w:val="auto"/>
        </w:rPr>
        <w:t>we or our licensors might not have been the first to make the inventions covered by each of our pending patent applications and issued patents;</w:t>
      </w:r>
    </w:p>
    <w:p>
      <w:pPr>
        <w:spacing w:after="0" w:line="34" w:lineRule="exact"/>
        <w:rPr>
          <w:rFonts w:ascii="Arial" w:cs="Arial" w:eastAsia="Arial" w:hAnsi="Arial"/>
          <w:sz w:val="17"/>
          <w:szCs w:val="17"/>
          <w:color w:val="auto"/>
        </w:rPr>
      </w:pPr>
    </w:p>
    <w:p>
      <w:pPr>
        <w:ind w:left="500" w:hanging="330"/>
        <w:spacing w:after="0"/>
        <w:tabs>
          <w:tab w:leader="none" w:pos="500" w:val="left"/>
        </w:tabs>
        <w:numPr>
          <w:ilvl w:val="0"/>
          <w:numId w:val="19"/>
        </w:numPr>
        <w:rPr>
          <w:rFonts w:ascii="Arial" w:cs="Arial" w:eastAsia="Arial" w:hAnsi="Arial"/>
          <w:sz w:val="18"/>
          <w:szCs w:val="18"/>
          <w:color w:val="auto"/>
        </w:rPr>
      </w:pPr>
      <w:r>
        <w:rPr>
          <w:rFonts w:ascii="Arial" w:cs="Arial" w:eastAsia="Arial" w:hAnsi="Arial"/>
          <w:sz w:val="18"/>
          <w:szCs w:val="18"/>
          <w:color w:val="auto"/>
        </w:rPr>
        <w:t>we or our licensors might not have been the first to file patent applications for these inventions;</w:t>
      </w:r>
    </w:p>
    <w:p>
      <w:pPr>
        <w:spacing w:after="0" w:line="9" w:lineRule="exact"/>
        <w:rPr>
          <w:rFonts w:ascii="Arial" w:cs="Arial" w:eastAsia="Arial" w:hAnsi="Arial"/>
          <w:sz w:val="18"/>
          <w:szCs w:val="18"/>
          <w:color w:val="auto"/>
        </w:rPr>
      </w:pPr>
    </w:p>
    <w:p>
      <w:pPr>
        <w:ind w:left="500" w:hanging="330"/>
        <w:spacing w:after="0"/>
        <w:tabs>
          <w:tab w:leader="none" w:pos="500" w:val="left"/>
        </w:tabs>
        <w:numPr>
          <w:ilvl w:val="0"/>
          <w:numId w:val="19"/>
        </w:numPr>
        <w:rPr>
          <w:rFonts w:ascii="Arial" w:cs="Arial" w:eastAsia="Arial" w:hAnsi="Arial"/>
          <w:sz w:val="18"/>
          <w:szCs w:val="18"/>
          <w:color w:val="auto"/>
        </w:rPr>
      </w:pPr>
      <w:r>
        <w:rPr>
          <w:rFonts w:ascii="Arial" w:cs="Arial" w:eastAsia="Arial" w:hAnsi="Arial"/>
          <w:sz w:val="18"/>
          <w:szCs w:val="18"/>
          <w:color w:val="auto"/>
        </w:rPr>
        <w:t>others may independently develop similar or alternative technologies or duplicate any of our technologies;</w:t>
      </w:r>
    </w:p>
    <w:p>
      <w:pPr>
        <w:spacing w:after="0" w:line="9" w:lineRule="exact"/>
        <w:rPr>
          <w:rFonts w:ascii="Arial" w:cs="Arial" w:eastAsia="Arial" w:hAnsi="Arial"/>
          <w:sz w:val="18"/>
          <w:szCs w:val="18"/>
          <w:color w:val="auto"/>
        </w:rPr>
      </w:pPr>
    </w:p>
    <w:p>
      <w:pPr>
        <w:ind w:left="500" w:hanging="330"/>
        <w:spacing w:after="0"/>
        <w:tabs>
          <w:tab w:leader="none" w:pos="500" w:val="left"/>
        </w:tabs>
        <w:numPr>
          <w:ilvl w:val="0"/>
          <w:numId w:val="19"/>
        </w:numPr>
        <w:rPr>
          <w:rFonts w:ascii="Arial" w:cs="Arial" w:eastAsia="Arial" w:hAnsi="Arial"/>
          <w:sz w:val="18"/>
          <w:szCs w:val="18"/>
          <w:color w:val="auto"/>
        </w:rPr>
      </w:pPr>
      <w:r>
        <w:rPr>
          <w:rFonts w:ascii="Arial" w:cs="Arial" w:eastAsia="Arial" w:hAnsi="Arial"/>
          <w:sz w:val="18"/>
          <w:szCs w:val="18"/>
          <w:color w:val="auto"/>
        </w:rPr>
        <w:t>it is possible that none of our pending patent applications or the pending patent applications of our licensors will result in issued patents;</w:t>
      </w:r>
    </w:p>
    <w:p>
      <w:pPr>
        <w:spacing w:after="0" w:line="9" w:lineRule="exact"/>
        <w:rPr>
          <w:rFonts w:ascii="Arial" w:cs="Arial" w:eastAsia="Arial" w:hAnsi="Arial"/>
          <w:sz w:val="18"/>
          <w:szCs w:val="18"/>
          <w:color w:val="auto"/>
        </w:rPr>
      </w:pPr>
    </w:p>
    <w:p>
      <w:pPr>
        <w:ind w:left="500" w:hanging="330"/>
        <w:spacing w:after="0"/>
        <w:tabs>
          <w:tab w:leader="none" w:pos="500" w:val="left"/>
        </w:tabs>
        <w:numPr>
          <w:ilvl w:val="0"/>
          <w:numId w:val="19"/>
        </w:numPr>
        <w:rPr>
          <w:rFonts w:ascii="Arial" w:cs="Arial" w:eastAsia="Arial" w:hAnsi="Arial"/>
          <w:sz w:val="18"/>
          <w:szCs w:val="18"/>
          <w:color w:val="auto"/>
        </w:rPr>
      </w:pPr>
      <w:r>
        <w:rPr>
          <w:rFonts w:ascii="Arial" w:cs="Arial" w:eastAsia="Arial" w:hAnsi="Arial"/>
          <w:sz w:val="18"/>
          <w:szCs w:val="18"/>
          <w:color w:val="auto"/>
        </w:rPr>
        <w:t>patents may issue to third parties that cover how we might practice our technology;</w:t>
      </w:r>
    </w:p>
    <w:p>
      <w:pPr>
        <w:spacing w:after="0" w:line="9" w:lineRule="exact"/>
        <w:rPr>
          <w:rFonts w:ascii="Arial" w:cs="Arial" w:eastAsia="Arial" w:hAnsi="Arial"/>
          <w:sz w:val="18"/>
          <w:szCs w:val="18"/>
          <w:color w:val="auto"/>
        </w:rPr>
      </w:pPr>
    </w:p>
    <w:p>
      <w:pPr>
        <w:ind w:left="500" w:right="460" w:hanging="330"/>
        <w:spacing w:after="0" w:line="250" w:lineRule="auto"/>
        <w:tabs>
          <w:tab w:leader="none" w:pos="500" w:val="left"/>
        </w:tabs>
        <w:numPr>
          <w:ilvl w:val="0"/>
          <w:numId w:val="19"/>
        </w:numPr>
        <w:rPr>
          <w:rFonts w:ascii="Arial" w:cs="Arial" w:eastAsia="Arial" w:hAnsi="Arial"/>
          <w:sz w:val="18"/>
          <w:szCs w:val="18"/>
          <w:color w:val="auto"/>
        </w:rPr>
      </w:pPr>
      <w:r>
        <w:rPr>
          <w:rFonts w:ascii="Arial" w:cs="Arial" w:eastAsia="Arial" w:hAnsi="Arial"/>
          <w:sz w:val="18"/>
          <w:szCs w:val="18"/>
          <w:color w:val="auto"/>
        </w:rPr>
        <w:t>our issued patents and issued patents of our licensors may not provide a basis for commercially viable technologies, may not provide us with any competitive advantages, or may be challenged and invalidated by third parties; and</w:t>
      </w:r>
    </w:p>
    <w:p>
      <w:pPr>
        <w:ind w:left="500" w:hanging="330"/>
        <w:spacing w:after="0"/>
        <w:tabs>
          <w:tab w:leader="none" w:pos="500" w:val="left"/>
        </w:tabs>
        <w:numPr>
          <w:ilvl w:val="0"/>
          <w:numId w:val="19"/>
        </w:numPr>
        <w:rPr>
          <w:rFonts w:ascii="Arial" w:cs="Arial" w:eastAsia="Arial" w:hAnsi="Arial"/>
          <w:sz w:val="18"/>
          <w:szCs w:val="18"/>
          <w:color w:val="auto"/>
        </w:rPr>
      </w:pPr>
      <w:r>
        <w:rPr>
          <w:rFonts w:ascii="Arial" w:cs="Arial" w:eastAsia="Arial" w:hAnsi="Arial"/>
          <w:sz w:val="18"/>
          <w:szCs w:val="18"/>
          <w:color w:val="auto"/>
        </w:rPr>
        <w:t>we may not develop additional proprietary technologies that are patentable.</w:t>
      </w:r>
    </w:p>
    <w:p>
      <w:pPr>
        <w:spacing w:after="0" w:line="103" w:lineRule="exact"/>
        <w:rPr>
          <w:sz w:val="20"/>
          <w:szCs w:val="20"/>
          <w:color w:val="auto"/>
        </w:rPr>
      </w:pPr>
    </w:p>
    <w:p>
      <w:pPr>
        <w:ind w:right="40" w:firstLine="432"/>
        <w:spacing w:after="0" w:line="272" w:lineRule="auto"/>
        <w:rPr>
          <w:sz w:val="20"/>
          <w:szCs w:val="20"/>
          <w:color w:val="auto"/>
        </w:rPr>
      </w:pPr>
      <w:r>
        <w:rPr>
          <w:rFonts w:ascii="Arial" w:cs="Arial" w:eastAsia="Arial" w:hAnsi="Arial"/>
          <w:sz w:val="17"/>
          <w:szCs w:val="17"/>
          <w:color w:val="auto"/>
        </w:rPr>
        <w:t>Patents may not be issued for any pending or future pending patent applications owned by or licensed to us, and claims allowed under any issued patent or future issued patent owned or licensed by us may not be valid or sufficiently broad to protect our technologies. Moreover, protection of certain of our intellectual property may be unavailable or limited in the United States or in foreign countries, and we have not sought to obtain foreign patent protection for certain of our products or technologies due to cost, concerns about enforceability or other reasons. Any issued patents owned by or licensed to us now or in the future may be challenged, invalidated, or circumvented, and the rights under such patents may not provide us with competitive advantages. In addition, competitors may design around our technology or develop competing technologies. Intellectual property rights may also be unavailable or limited in some foreign countries, and in the case of certain products no</w:t>
      </w:r>
    </w:p>
    <w:p>
      <w:pPr>
        <w:spacing w:after="0" w:line="20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45</w:t>
      </w:r>
    </w:p>
    <w:p>
      <w:pPr>
        <w:sectPr>
          <w:pgSz w:w="11900" w:h="16838" w:orient="portrait"/>
          <w:cols w:equalWidth="0" w:num="1">
            <w:col w:w="11400"/>
          </w:cols>
          <w:pgMar w:left="240" w:top="118" w:right="259" w:bottom="1440" w:gutter="0" w:footer="0" w:header="0"/>
        </w:sectPr>
      </w:pPr>
    </w:p>
    <w:bookmarkStart w:id="45" w:name="page46"/>
    <w:bookmarkEnd w:id="45"/>
    <w:p>
      <w:pPr>
        <w:spacing w:after="0"/>
        <w:rPr>
          <w:rFonts w:ascii="Arial" w:cs="Arial" w:eastAsia="Arial" w:hAnsi="Arial"/>
          <w:sz w:val="14"/>
          <w:szCs w:val="14"/>
          <w:b w:val="1"/>
          <w:bCs w:val="1"/>
          <w:u w:val="single" w:color="auto"/>
          <w:color w:val="0000EE"/>
        </w:rPr>
      </w:pPr>
      <w:hyperlink w:anchor="page2">
        <w:r>
          <w:rPr>
            <w:rFonts w:ascii="Arial" w:cs="Arial" w:eastAsia="Arial" w:hAnsi="Arial"/>
            <w:sz w:val="14"/>
            <w:szCs w:val="14"/>
            <w:b w:val="1"/>
            <w:bCs w:val="1"/>
            <w:u w:val="single" w:color="auto"/>
            <w:color w:val="0000EE"/>
          </w:rPr>
          <w:t>Table of Contents</w:t>
        </w:r>
      </w:hyperlink>
    </w:p>
    <w:p>
      <w:pPr>
        <w:spacing w:after="0" w:line="360" w:lineRule="exact"/>
        <w:rPr>
          <w:sz w:val="20"/>
          <w:szCs w:val="20"/>
          <w:color w:val="auto"/>
        </w:rPr>
      </w:pPr>
    </w:p>
    <w:p>
      <w:pPr>
        <w:ind w:right="500"/>
        <w:spacing w:after="0" w:line="312" w:lineRule="auto"/>
        <w:rPr>
          <w:sz w:val="20"/>
          <w:szCs w:val="20"/>
          <w:color w:val="auto"/>
        </w:rPr>
      </w:pPr>
      <w:r>
        <w:rPr>
          <w:rFonts w:ascii="Arial" w:cs="Arial" w:eastAsia="Arial" w:hAnsi="Arial"/>
          <w:sz w:val="16"/>
          <w:szCs w:val="16"/>
          <w:color w:val="auto"/>
        </w:rPr>
        <w:t>foreign patents were filed or can be filed. This could make it easier for competitors to capture or increase their market share with respect to related technologies. We could incur substantial costs to bring suits in which we may assert our patent rights against others or defend ourselves in suits brought against us. An unfavorable outcome of any litigation could have a material adverse effect on our business and results of operations.</w:t>
      </w:r>
    </w:p>
    <w:p>
      <w:pPr>
        <w:spacing w:after="0" w:line="39" w:lineRule="exact"/>
        <w:rPr>
          <w:sz w:val="20"/>
          <w:szCs w:val="20"/>
          <w:color w:val="auto"/>
        </w:rPr>
      </w:pPr>
    </w:p>
    <w:p>
      <w:pPr>
        <w:ind w:right="160" w:firstLine="432"/>
        <w:spacing w:after="0" w:line="290" w:lineRule="auto"/>
        <w:rPr>
          <w:sz w:val="20"/>
          <w:szCs w:val="20"/>
          <w:color w:val="auto"/>
        </w:rPr>
      </w:pPr>
      <w:r>
        <w:rPr>
          <w:rFonts w:ascii="Arial" w:cs="Arial" w:eastAsia="Arial" w:hAnsi="Arial"/>
          <w:sz w:val="16"/>
          <w:szCs w:val="16"/>
          <w:color w:val="auto"/>
        </w:rPr>
        <w:t>We also rely on trade secrets to protect our technology, especially where we believe patent protection is not appropriate or obtainable. However, trade secrets are difficult to protect. We regularly attempt to obtain confidentiality agreements and contractual provisions with our collaborators, employees and consultants to protect our trade secrets and proprietary know-how. These agreements may be breached or may not have adequate remedies for such breach. While we use reasonable efforts to protect our trade secrets, our employees, consultants, contractors or scientific and other advisors, or those of our strategic partners, may unintentionally or willfully disclose our information to competitors. If we were to enforce a claim that a third party had illegally obtained and was using our trade secrets, our enforcement efforts would be expensive and time consuming, and the outcome would be unpredictable. In addition, courts outside the United States are sometimes unwilling to protect trade secrets. Moreover, if our competitors independently develop equivalent knowledge, methods and know-how, it will be more difficult for us to enforce our rights and our business could be harmed.</w:t>
      </w:r>
    </w:p>
    <w:p>
      <w:pPr>
        <w:spacing w:after="0" w:line="58" w:lineRule="exact"/>
        <w:rPr>
          <w:sz w:val="20"/>
          <w:szCs w:val="20"/>
          <w:color w:val="auto"/>
        </w:rPr>
      </w:pPr>
    </w:p>
    <w:p>
      <w:pPr>
        <w:ind w:right="460" w:firstLine="432"/>
        <w:spacing w:after="0" w:line="264" w:lineRule="auto"/>
        <w:rPr>
          <w:sz w:val="20"/>
          <w:szCs w:val="20"/>
          <w:color w:val="auto"/>
        </w:rPr>
      </w:pPr>
      <w:r>
        <w:rPr>
          <w:rFonts w:ascii="Arial" w:cs="Arial" w:eastAsia="Arial" w:hAnsi="Arial"/>
          <w:sz w:val="18"/>
          <w:szCs w:val="18"/>
          <w:color w:val="auto"/>
        </w:rPr>
        <w:t>If we are not able to defend the patent or trade secret protection position of our technologies, then we will not be able to exclude competitors from developing or marketing competing technologies and we may not generate enough revenues from product sales to justify the cost of developing our technologies and to achieve or maintain profitability.</w:t>
      </w:r>
    </w:p>
    <w:p>
      <w:pPr>
        <w:spacing w:after="0" w:line="73" w:lineRule="exact"/>
        <w:rPr>
          <w:sz w:val="20"/>
          <w:szCs w:val="20"/>
          <w:color w:val="auto"/>
        </w:rPr>
      </w:pPr>
    </w:p>
    <w:p>
      <w:pPr>
        <w:ind w:right="80" w:firstLine="432"/>
        <w:spacing w:after="0" w:line="257" w:lineRule="auto"/>
        <w:rPr>
          <w:sz w:val="20"/>
          <w:szCs w:val="20"/>
          <w:color w:val="auto"/>
        </w:rPr>
      </w:pPr>
      <w:r>
        <w:rPr>
          <w:rFonts w:ascii="Arial" w:cs="Arial" w:eastAsia="Arial" w:hAnsi="Arial"/>
          <w:sz w:val="18"/>
          <w:szCs w:val="18"/>
          <w:color w:val="auto"/>
        </w:rPr>
        <w:t>We also rely on trademarks to establish a market identity for our company and our products. To maintain the value of our trademarks, we might have to file lawsuits against third parties to prevent them from using trademarks confusingly similar to or dilutive of our registered or unregistered trademarks. Also, we might not obtain registrations for our pending trademark applications, and we might have to defend our registered trademark and pending trademark applications from challenge by third parties. Enforcing or defending our registered and unregistered trademarks might result in significant litigation costs and damages, including the inability to continue using certain trademarks.</w:t>
      </w:r>
    </w:p>
    <w:p>
      <w:pPr>
        <w:spacing w:after="0" w:line="296"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Third parties may claim that we infringe their intellectual property, and we could suffer significant litigation or licensing expense as a result.</w:t>
      </w:r>
    </w:p>
    <w:p>
      <w:pPr>
        <w:spacing w:after="0" w:line="129" w:lineRule="exact"/>
        <w:rPr>
          <w:sz w:val="20"/>
          <w:szCs w:val="20"/>
          <w:color w:val="auto"/>
        </w:rPr>
      </w:pPr>
    </w:p>
    <w:p>
      <w:pPr>
        <w:ind w:firstLine="432"/>
        <w:spacing w:after="0" w:line="287" w:lineRule="auto"/>
        <w:rPr>
          <w:sz w:val="20"/>
          <w:szCs w:val="20"/>
          <w:color w:val="auto"/>
        </w:rPr>
      </w:pPr>
      <w:r>
        <w:rPr>
          <w:rFonts w:ascii="Arial" w:cs="Arial" w:eastAsia="Arial" w:hAnsi="Arial"/>
          <w:sz w:val="16"/>
          <w:szCs w:val="16"/>
          <w:color w:val="auto"/>
        </w:rPr>
        <w:t>Various U.S. and foreign issued patents and pending patent applications, which are owned by third parties, exist in our technology areas. Such third parties may claim that we infringe their patents. Because patent applications can take several years to result in a patent issuance, there may be currently pending applications, unknown to us, which may later result in issued patents that our technologies may infringe. For example, we are aware of competitors with patents in technology areas applicable to our optical test equipment products. Such competitors may allege that we infringe these patents. There could also be existing patents of which we are not aware that our technologies may inadvertently infringe. We have from time to time been, and may in the future be, contacted by third parties, including patent assertion entities or intellectual property advisors, about licensing opportunities that also contain claims that we are infringing on third party patent rights. If third parties assert these claims against us, we could incur extremely substantial costs and diversion of management resources in defending these claims, and the defense of these claims could have a material adverse effect on our business, financial condition and results of operations. Even if we believe we have not infringed on a third party’s patent rights, we may have to settle a claim on unfavorable terms because we cannot afford to litigate the claim. In addition, if third parties assert claims against us and we are unsuccessful in defending against these claims, these third parties may be awarded substantial damages as well as injunctive or other equitable relief against us, which could effectively block our ability to make, use, sell, distribute or market our products and services in the United States or abroad.</w:t>
      </w:r>
    </w:p>
    <w:p>
      <w:pPr>
        <w:spacing w:after="0" w:line="61" w:lineRule="exact"/>
        <w:rPr>
          <w:sz w:val="20"/>
          <w:szCs w:val="20"/>
          <w:color w:val="auto"/>
        </w:rPr>
      </w:pPr>
    </w:p>
    <w:p>
      <w:pPr>
        <w:ind w:right="40" w:firstLine="432"/>
        <w:spacing w:after="0" w:line="288" w:lineRule="auto"/>
        <w:rPr>
          <w:sz w:val="20"/>
          <w:szCs w:val="20"/>
          <w:color w:val="auto"/>
        </w:rPr>
      </w:pPr>
      <w:r>
        <w:rPr>
          <w:rFonts w:ascii="Arial" w:cs="Arial" w:eastAsia="Arial" w:hAnsi="Arial"/>
          <w:sz w:val="16"/>
          <w:szCs w:val="16"/>
          <w:color w:val="auto"/>
        </w:rPr>
        <w:t>Commercial application of nanotechnologies in particular, or technologies involving nanomaterials, is new and the scope and breadth of patent protection is uncertain. Consequently, the patent positions of companies involved in nanotechnologies have not been tested, and there are complex legal and factual questions for which important legal principles will be developed or may remain unresolved. In addition, it is not clear whether such patents will be subject to interpretations or legal doctrines that differ from conventional patent law principles. Changes in either the patent laws or in interpretations of patent laws in the United States and other countries may diminish the value of our nanotechnology-related intellectual property. Accordingly, we cannot predict the breadth of claims that may be allowed or enforced in our nanotechnology-related patents or in third party patents. In the event that a claim relating to intellectual property is asserted against us, or third parties not affiliated with us hold pending or issued patents that relate to our products or technology, we may seek licenses to such intellectual property or challenge those patents. However, we may be unable to obtain these licenses on commercially reasonable terms, if at all, and our challenge of the patents may be unsuccessful. Our failure to obtain the necessary licenses or other rights could prevent the sale, manufacture or distribution of our products and, therefore, could have a material adverse effect on our business, financial condition and results of operations.</w:t>
      </w:r>
    </w:p>
    <w:p>
      <w:pPr>
        <w:spacing w:after="0" w:line="19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46</w:t>
      </w:r>
    </w:p>
    <w:p>
      <w:pPr>
        <w:sectPr>
          <w:pgSz w:w="11900" w:h="16838" w:orient="portrait"/>
          <w:cols w:equalWidth="0" w:num="1">
            <w:col w:w="11420"/>
          </w:cols>
          <w:pgMar w:left="240" w:top="118" w:right="239" w:bottom="1440" w:gutter="0" w:footer="0" w:header="0"/>
        </w:sectPr>
      </w:pPr>
    </w:p>
    <w:bookmarkStart w:id="46" w:name="page47"/>
    <w:bookmarkEnd w:id="46"/>
    <w:p>
      <w:pPr>
        <w:spacing w:after="0"/>
        <w:rPr>
          <w:rFonts w:ascii="Arial" w:cs="Arial" w:eastAsia="Arial" w:hAnsi="Arial"/>
          <w:sz w:val="14"/>
          <w:szCs w:val="14"/>
          <w:b w:val="1"/>
          <w:bCs w:val="1"/>
          <w:u w:val="single" w:color="auto"/>
          <w:color w:val="0000EE"/>
        </w:rPr>
      </w:pPr>
      <w:hyperlink w:anchor="page2">
        <w:r>
          <w:rPr>
            <w:rFonts w:ascii="Arial" w:cs="Arial" w:eastAsia="Arial" w:hAnsi="Arial"/>
            <w:sz w:val="14"/>
            <w:szCs w:val="14"/>
            <w:b w:val="1"/>
            <w:bCs w:val="1"/>
            <w:u w:val="single" w:color="auto"/>
            <w:color w:val="0000EE"/>
          </w:rPr>
          <w:t>Table of Contents</w:t>
        </w:r>
      </w:hyperlink>
    </w:p>
    <w:p>
      <w:pPr>
        <w:spacing w:after="0" w:line="200" w:lineRule="exact"/>
        <w:rPr>
          <w:sz w:val="20"/>
          <w:szCs w:val="20"/>
          <w:color w:val="auto"/>
        </w:rPr>
      </w:pPr>
    </w:p>
    <w:p>
      <w:pPr>
        <w:spacing w:after="0" w:line="376" w:lineRule="exact"/>
        <w:rPr>
          <w:sz w:val="20"/>
          <w:szCs w:val="20"/>
          <w:color w:val="auto"/>
        </w:rPr>
      </w:pPr>
    </w:p>
    <w:p>
      <w:pPr>
        <w:ind w:right="20"/>
        <w:spacing w:after="0" w:line="277" w:lineRule="auto"/>
        <w:rPr>
          <w:sz w:val="20"/>
          <w:szCs w:val="20"/>
          <w:color w:val="auto"/>
        </w:rPr>
      </w:pPr>
      <w:r>
        <w:rPr>
          <w:rFonts w:ascii="Arial" w:cs="Arial" w:eastAsia="Arial" w:hAnsi="Arial"/>
          <w:sz w:val="18"/>
          <w:szCs w:val="18"/>
          <w:b w:val="1"/>
          <w:bCs w:val="1"/>
          <w:i w:val="1"/>
          <w:iCs w:val="1"/>
          <w:color w:val="auto"/>
        </w:rPr>
        <w:t>A substantial portion of our technology is subject to retained rights of our licensors, and we may not be able to prevent the loss of those rights or the grant of similar rights to third parties.</w:t>
      </w:r>
    </w:p>
    <w:p>
      <w:pPr>
        <w:spacing w:after="0" w:line="62" w:lineRule="exact"/>
        <w:rPr>
          <w:sz w:val="20"/>
          <w:szCs w:val="20"/>
          <w:color w:val="auto"/>
        </w:rPr>
      </w:pPr>
    </w:p>
    <w:p>
      <w:pPr>
        <w:ind w:right="140" w:firstLine="432"/>
        <w:spacing w:after="0" w:line="253" w:lineRule="auto"/>
        <w:rPr>
          <w:sz w:val="20"/>
          <w:szCs w:val="20"/>
          <w:color w:val="auto"/>
        </w:rPr>
      </w:pPr>
      <w:r>
        <w:rPr>
          <w:rFonts w:ascii="Arial" w:cs="Arial" w:eastAsia="Arial" w:hAnsi="Arial"/>
          <w:sz w:val="18"/>
          <w:szCs w:val="18"/>
          <w:color w:val="auto"/>
        </w:rPr>
        <w:t>A substantial portion of our technology is licensed from academic institutions, corporations and government agencies. Under these licensing arrangements, a licensor may obtain rights over the technology, including the right to require us to grant a license to one or more third parties selected by the licensor or that we provide licensed technology or material to third parties for non-commercial research. The grant of a license for any of our core technologies to a third party could have a material and adverse effect on our business. In addition, some of our licensors retain certain rights under the licenses, including the right to grant additional licenses to a substantial portion of our core technology to third parties for non-commercial academic and research use. It is difficult to monitor and enforce such non-commercial academic and research uses, and we cannot predict whether the third-party licensees would comply with the use restrictions of such licenses. We have incurred and could incur substantial expenses to enforce our rights against them. We also may not fully control the ability to assert or defend those patents or other intellectual property which we have licensed from other entities, or which we have licensed to other entities.</w:t>
      </w:r>
    </w:p>
    <w:p>
      <w:pPr>
        <w:spacing w:after="0" w:line="89" w:lineRule="exact"/>
        <w:rPr>
          <w:sz w:val="20"/>
          <w:szCs w:val="20"/>
          <w:color w:val="auto"/>
        </w:rPr>
      </w:pPr>
    </w:p>
    <w:p>
      <w:pPr>
        <w:ind w:right="40" w:firstLine="432"/>
        <w:spacing w:after="0" w:line="271" w:lineRule="auto"/>
        <w:rPr>
          <w:sz w:val="20"/>
          <w:szCs w:val="20"/>
          <w:color w:val="auto"/>
        </w:rPr>
      </w:pPr>
      <w:r>
        <w:rPr>
          <w:rFonts w:ascii="Arial" w:cs="Arial" w:eastAsia="Arial" w:hAnsi="Arial"/>
          <w:sz w:val="17"/>
          <w:szCs w:val="17"/>
          <w:color w:val="auto"/>
        </w:rPr>
        <w:t>In addition, some of our licenses with academic institutions give us the right to use certain technology previously developed by researchers at these institutions. In certain cases we also have the right to practice improvements on the licensed technology to the extent they are encompassed by the licensed patents and are within our field of use. Our licensors may currently own and may in the future obtain additional patents and patent applications that are necessary for the development, manufacture and commercial sale of our anticipated products. We may be unable to agree with one or more academic institutions from which we have obtained licenses whether certain intellectual property developed by researchers at these academic institutions is covered by our existing licenses. In the event that the new intellectual property is not covered by our existing licenses, we would be required to negotiate a new license agreement. We may not be able to reach agreement with current or future licensors on commercially reasonable terms, if at all, or the terms may not permit us to sell our products at a profit after payment of royalties, which could harm our business.</w:t>
      </w:r>
    </w:p>
    <w:p>
      <w:pPr>
        <w:spacing w:after="0" w:line="71" w:lineRule="exact"/>
        <w:rPr>
          <w:sz w:val="20"/>
          <w:szCs w:val="20"/>
          <w:color w:val="auto"/>
        </w:rPr>
      </w:pPr>
    </w:p>
    <w:p>
      <w:pPr>
        <w:ind w:right="220" w:firstLine="432"/>
        <w:spacing w:after="0" w:line="273" w:lineRule="auto"/>
        <w:rPr>
          <w:sz w:val="20"/>
          <w:szCs w:val="20"/>
          <w:color w:val="auto"/>
        </w:rPr>
      </w:pPr>
      <w:r>
        <w:rPr>
          <w:rFonts w:ascii="Arial" w:cs="Arial" w:eastAsia="Arial" w:hAnsi="Arial"/>
          <w:sz w:val="17"/>
          <w:szCs w:val="17"/>
          <w:color w:val="auto"/>
        </w:rPr>
        <w:t>Some of our patents may cover inventions that were conceived or first reduced to practice under, or in connection with, U.S. government contracts or other federal funding agreements. With respect to inventions conceived or first reduced to practice under a federal funding agreement, the U.S. government may retain a non-exclusive, non-transferable, irrevocable, paid-up license to practice or have practiced for or on behalf of the United States the invention throughout the world. We may not succeed in our efforts to retain title in patents, maintain ownership of intellectual property or in limiting the U.S. government’s rights in our proprietary technologies and intellectual property when an issue exists as to whether such intellectual property was developed in the performance of a federal funding agreement or developed at private expense.</w:t>
      </w:r>
    </w:p>
    <w:p>
      <w:pPr>
        <w:spacing w:after="0" w:line="287" w:lineRule="exact"/>
        <w:rPr>
          <w:sz w:val="20"/>
          <w:szCs w:val="20"/>
          <w:color w:val="auto"/>
        </w:rPr>
      </w:pPr>
    </w:p>
    <w:p>
      <w:pPr>
        <w:ind w:right="200"/>
        <w:spacing w:after="0" w:line="277" w:lineRule="auto"/>
        <w:rPr>
          <w:sz w:val="20"/>
          <w:szCs w:val="20"/>
          <w:color w:val="auto"/>
        </w:rPr>
      </w:pPr>
      <w:r>
        <w:rPr>
          <w:rFonts w:ascii="Arial" w:cs="Arial" w:eastAsia="Arial" w:hAnsi="Arial"/>
          <w:sz w:val="18"/>
          <w:szCs w:val="18"/>
          <w:b w:val="1"/>
          <w:bCs w:val="1"/>
          <w:i w:val="1"/>
          <w:iCs w:val="1"/>
          <w:color w:val="auto"/>
        </w:rPr>
        <w:t>If we fail to obtain the right to use the intellectual property rights of others which are necessary to operate our business, and to protect their intellectual property, our business and results of operations will be adversely affected.</w:t>
      </w:r>
    </w:p>
    <w:p>
      <w:pPr>
        <w:spacing w:after="0" w:line="62" w:lineRule="exact"/>
        <w:rPr>
          <w:sz w:val="20"/>
          <w:szCs w:val="20"/>
          <w:color w:val="auto"/>
        </w:rPr>
      </w:pPr>
    </w:p>
    <w:p>
      <w:pPr>
        <w:ind w:right="20" w:firstLine="432"/>
        <w:spacing w:after="0" w:line="255" w:lineRule="auto"/>
        <w:rPr>
          <w:sz w:val="20"/>
          <w:szCs w:val="20"/>
          <w:color w:val="auto"/>
        </w:rPr>
      </w:pPr>
      <w:r>
        <w:rPr>
          <w:rFonts w:ascii="Arial" w:cs="Arial" w:eastAsia="Arial" w:hAnsi="Arial"/>
          <w:sz w:val="18"/>
          <w:szCs w:val="18"/>
          <w:color w:val="auto"/>
        </w:rPr>
        <w:t>In the past, we have licensed certain technologies for use in our products. In the future, we may choose, or be required, to license technology or intellectual property from third parties in connection with the development of our products. We cannot assure you that third-party licenses will be available on commercially reasonable terms, if at all. Our competitors may be able to obtain licenses, or cross-license their technology, on better terms than we can, which could put us at a competitive disadvantage. Also, we often enter into confidentiality agreements with such third parties in which we agree to protect and maintain their proprietary and confidential information, including at times requiring our employees to enter into agreements protecting such information. There can be no assurance that the confidentiality agreements will not be breached by any of our employees or that such third parties will not make claims that their proprietary information has been disclosed.</w:t>
      </w:r>
    </w:p>
    <w:p>
      <w:pPr>
        <w:spacing w:after="0" w:line="29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RISKS RELATING TO OUR COMMON STOCK</w:t>
      </w:r>
    </w:p>
    <w:p>
      <w:pPr>
        <w:spacing w:after="0" w:line="33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The United States Tax Cuts and Jobs Act of 2017 could adversely affect our business and financial condition.</w:t>
      </w:r>
    </w:p>
    <w:p>
      <w:pPr>
        <w:spacing w:after="0" w:line="117" w:lineRule="exact"/>
        <w:rPr>
          <w:sz w:val="20"/>
          <w:szCs w:val="20"/>
          <w:color w:val="auto"/>
        </w:rPr>
      </w:pPr>
    </w:p>
    <w:p>
      <w:pPr>
        <w:ind w:firstLine="405"/>
        <w:spacing w:after="0" w:line="290" w:lineRule="auto"/>
        <w:rPr>
          <w:sz w:val="20"/>
          <w:szCs w:val="20"/>
          <w:color w:val="auto"/>
        </w:rPr>
      </w:pPr>
      <w:r>
        <w:rPr>
          <w:rFonts w:ascii="Arial" w:cs="Arial" w:eastAsia="Arial" w:hAnsi="Arial"/>
          <w:sz w:val="16"/>
          <w:szCs w:val="16"/>
          <w:color w:val="auto"/>
        </w:rPr>
        <w:t>The U.S. Tax Cuts and Jobs Act (the "TCJA") significantly reforms the US Internal Revenue Code. The TCJA, among other things, contains significant changes to U.S. federal corporate income taxation, including reduction of the U.S. federal corporate income tax rate from a top marginal rate of 35% to a flat rate of 21%, limitation of the tax deduction for interest expense to 30% of adjusted earnings (except for certain small businesses), limitation of the deduction for net operating losses to 80% of current year taxable income and elimination of net operating loss carrybacks, immediate deductions for certain new investments instead of deductions for depreciation expense over time, and modifying or repealing many business deductions and credits. Federal net operating losses arising in taxable year ending after December 31, 2017, will be carried forward indefinitely pursuant to the TCJA. We continue to examine the impact this tax reform legislation may have on our business. Notwithstanding the reduction in the corporate income tax rate, the overall impact of the TCJA is uncertain and our business and financial condition could be adversely affected. The impact of this tax reform on holders of our common stock is also</w:t>
      </w:r>
    </w:p>
    <w:p>
      <w:pPr>
        <w:spacing w:after="0" w:line="19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47</w:t>
      </w:r>
    </w:p>
    <w:p>
      <w:pPr>
        <w:sectPr>
          <w:pgSz w:w="11900" w:h="16838" w:orient="portrait"/>
          <w:cols w:equalWidth="0" w:num="1">
            <w:col w:w="11420"/>
          </w:cols>
          <w:pgMar w:left="240" w:top="118" w:right="239" w:bottom="1440" w:gutter="0" w:footer="0" w:header="0"/>
        </w:sectPr>
      </w:pPr>
    </w:p>
    <w:bookmarkStart w:id="47" w:name="page48"/>
    <w:bookmarkEnd w:id="47"/>
    <w:p>
      <w:pPr>
        <w:spacing w:after="0"/>
        <w:rPr>
          <w:rFonts w:ascii="Arial" w:cs="Arial" w:eastAsia="Arial" w:hAnsi="Arial"/>
          <w:sz w:val="14"/>
          <w:szCs w:val="14"/>
          <w:b w:val="1"/>
          <w:bCs w:val="1"/>
          <w:u w:val="single" w:color="auto"/>
          <w:color w:val="0000EE"/>
        </w:rPr>
      </w:pPr>
      <w:hyperlink w:anchor="page2">
        <w:r>
          <w:rPr>
            <w:rFonts w:ascii="Arial" w:cs="Arial" w:eastAsia="Arial" w:hAnsi="Arial"/>
            <w:sz w:val="14"/>
            <w:szCs w:val="14"/>
            <w:b w:val="1"/>
            <w:bCs w:val="1"/>
            <w:u w:val="single" w:color="auto"/>
            <w:color w:val="0000EE"/>
          </w:rPr>
          <w:t>Table of Contents</w:t>
        </w:r>
      </w:hyperlink>
    </w:p>
    <w:p>
      <w:pPr>
        <w:spacing w:after="0" w:line="360" w:lineRule="exact"/>
        <w:rPr>
          <w:sz w:val="20"/>
          <w:szCs w:val="20"/>
          <w:color w:val="auto"/>
        </w:rPr>
      </w:pPr>
    </w:p>
    <w:p>
      <w:pPr>
        <w:ind w:right="380"/>
        <w:spacing w:after="0" w:line="277" w:lineRule="auto"/>
        <w:rPr>
          <w:sz w:val="20"/>
          <w:szCs w:val="20"/>
          <w:color w:val="auto"/>
        </w:rPr>
      </w:pPr>
      <w:r>
        <w:rPr>
          <w:rFonts w:ascii="Arial" w:cs="Arial" w:eastAsia="Arial" w:hAnsi="Arial"/>
          <w:sz w:val="18"/>
          <w:szCs w:val="18"/>
          <w:color w:val="auto"/>
        </w:rPr>
        <w:t>uncertain and could be adverse. We urge our stockholders to consult with their legal and tax advisors with respect to such legislation and the potential tax consequences of investing in our common stock.</w:t>
      </w:r>
    </w:p>
    <w:p>
      <w:pPr>
        <w:spacing w:after="0" w:line="27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If there are substantial sales of our common stock, or the perception that such sales may occur, our stock price could decline.</w:t>
      </w:r>
    </w:p>
    <w:p>
      <w:pPr>
        <w:spacing w:after="0" w:line="117" w:lineRule="exact"/>
        <w:rPr>
          <w:sz w:val="20"/>
          <w:szCs w:val="20"/>
          <w:color w:val="auto"/>
        </w:rPr>
      </w:pPr>
    </w:p>
    <w:p>
      <w:pPr>
        <w:ind w:firstLine="432"/>
        <w:spacing w:after="0" w:line="286" w:lineRule="auto"/>
        <w:rPr>
          <w:sz w:val="20"/>
          <w:szCs w:val="20"/>
          <w:color w:val="auto"/>
        </w:rPr>
      </w:pPr>
      <w:r>
        <w:rPr>
          <w:rFonts w:ascii="Arial" w:cs="Arial" w:eastAsia="Arial" w:hAnsi="Arial"/>
          <w:sz w:val="17"/>
          <w:szCs w:val="17"/>
          <w:color w:val="auto"/>
        </w:rPr>
        <w:t>If any of our stockholders were to sell substantial amounts of our common stock, the market price of our common stock may decline, which might make it more difficult for us to sell equity or equity-related securities in the future at a time and price that we deem appropriate. Substantial sales of our common stock, or the perception that such sales may occur, may have a material adverse effect on the prevailing market price of our common stock.</w:t>
      </w:r>
    </w:p>
    <w:p>
      <w:pPr>
        <w:spacing w:after="0" w:line="57" w:lineRule="exact"/>
        <w:rPr>
          <w:sz w:val="20"/>
          <w:szCs w:val="20"/>
          <w:color w:val="auto"/>
        </w:rPr>
      </w:pPr>
    </w:p>
    <w:p>
      <w:pPr>
        <w:ind w:right="100" w:firstLine="432"/>
        <w:spacing w:after="0" w:line="255" w:lineRule="auto"/>
        <w:rPr>
          <w:sz w:val="20"/>
          <w:szCs w:val="20"/>
          <w:color w:val="auto"/>
        </w:rPr>
      </w:pPr>
      <w:r>
        <w:rPr>
          <w:rFonts w:ascii="Arial" w:cs="Arial" w:eastAsia="Arial" w:hAnsi="Arial"/>
          <w:sz w:val="18"/>
          <w:szCs w:val="18"/>
          <w:color w:val="auto"/>
        </w:rPr>
        <w:t>Carilion Clinic holds approximately 3.4 million shares of our common stock (including approximately 1.3 million shares issuable to Carilion upon conversion of shares of Series A Convertible Preferred Stock that Carilion holds). All of these shares have been registered for sale on a Form S-3 registration statement and, accordingly, may generally be freely sold by Carilion at any time. Any sales of these shares, or the perception that future sales of shares may occur by Carilion or any of our other significant stockholders, may have a material adverse effect on the market price of our stock. Any such continuing material adverse effect on the market price of our stock could impair our ability to comply with Nasdaq’s continuing listing standards in respect of our minimum stock price, as further described below.</w:t>
      </w:r>
    </w:p>
    <w:p>
      <w:pPr>
        <w:spacing w:after="0" w:line="301" w:lineRule="exact"/>
        <w:rPr>
          <w:sz w:val="20"/>
          <w:szCs w:val="20"/>
          <w:color w:val="auto"/>
        </w:rPr>
      </w:pPr>
    </w:p>
    <w:p>
      <w:pPr>
        <w:ind w:right="40"/>
        <w:spacing w:after="0" w:line="277" w:lineRule="auto"/>
        <w:rPr>
          <w:sz w:val="20"/>
          <w:szCs w:val="20"/>
          <w:color w:val="auto"/>
        </w:rPr>
      </w:pPr>
      <w:r>
        <w:rPr>
          <w:rFonts w:ascii="Arial" w:cs="Arial" w:eastAsia="Arial" w:hAnsi="Arial"/>
          <w:sz w:val="18"/>
          <w:szCs w:val="18"/>
          <w:b w:val="1"/>
          <w:bCs w:val="1"/>
          <w:i w:val="1"/>
          <w:iCs w:val="1"/>
          <w:color w:val="auto"/>
        </w:rPr>
        <w:t>We may become involved in securities class action litigation that could divert management’s attention and harm our business and our insurance coverage may not be sufficient to cover all costs and damages.</w:t>
      </w:r>
    </w:p>
    <w:p>
      <w:pPr>
        <w:spacing w:after="0" w:line="62" w:lineRule="exact"/>
        <w:rPr>
          <w:sz w:val="20"/>
          <w:szCs w:val="20"/>
          <w:color w:val="auto"/>
        </w:rPr>
      </w:pPr>
    </w:p>
    <w:p>
      <w:pPr>
        <w:ind w:firstLine="432"/>
        <w:spacing w:after="0" w:line="255" w:lineRule="auto"/>
        <w:rPr>
          <w:sz w:val="20"/>
          <w:szCs w:val="20"/>
          <w:color w:val="auto"/>
        </w:rPr>
      </w:pPr>
      <w:r>
        <w:rPr>
          <w:rFonts w:ascii="Arial" w:cs="Arial" w:eastAsia="Arial" w:hAnsi="Arial"/>
          <w:sz w:val="18"/>
          <w:szCs w:val="18"/>
          <w:color w:val="auto"/>
        </w:rPr>
        <w:t>The stock market has from time to time experienced significant price and volume fluctuations that have affected the market prices for the common stock of technology companies. These broad market fluctuations may cause the market price of our common stock to decline. In the past, following periods of volatility in the market price of a particular company’s securities, securities class action litigation has often been brought against that company. Securities class litigation also often follows certain significant business transactions, such as the sale of a business division or a change in control transaction. We may become involved in this type of litigation in the future. Litigation often is expensive and diverts management’s attention and resources, which could adversely affect our business.</w:t>
      </w:r>
    </w:p>
    <w:p>
      <w:pPr>
        <w:spacing w:after="0" w:line="301" w:lineRule="exact"/>
        <w:rPr>
          <w:sz w:val="20"/>
          <w:szCs w:val="20"/>
          <w:color w:val="auto"/>
        </w:rPr>
      </w:pPr>
    </w:p>
    <w:p>
      <w:pPr>
        <w:ind w:right="200"/>
        <w:spacing w:after="0" w:line="277" w:lineRule="auto"/>
        <w:rPr>
          <w:sz w:val="20"/>
          <w:szCs w:val="20"/>
          <w:color w:val="auto"/>
        </w:rPr>
      </w:pPr>
      <w:r>
        <w:rPr>
          <w:rFonts w:ascii="Arial" w:cs="Arial" w:eastAsia="Arial" w:hAnsi="Arial"/>
          <w:sz w:val="18"/>
          <w:szCs w:val="18"/>
          <w:b w:val="1"/>
          <w:bCs w:val="1"/>
          <w:i w:val="1"/>
          <w:iCs w:val="1"/>
          <w:color w:val="auto"/>
        </w:rPr>
        <w:t>We may not be able to comply with all applicable listing requirements or standards of The Nasdaq Capital Market and Nasdaq could delist our common stock.</w:t>
      </w:r>
    </w:p>
    <w:p>
      <w:pPr>
        <w:spacing w:after="0" w:line="62" w:lineRule="exact"/>
        <w:rPr>
          <w:sz w:val="20"/>
          <w:szCs w:val="20"/>
          <w:color w:val="auto"/>
        </w:rPr>
      </w:pPr>
    </w:p>
    <w:p>
      <w:pPr>
        <w:ind w:firstLine="432"/>
        <w:spacing w:after="0" w:line="255" w:lineRule="auto"/>
        <w:rPr>
          <w:sz w:val="20"/>
          <w:szCs w:val="20"/>
          <w:color w:val="auto"/>
        </w:rPr>
      </w:pPr>
      <w:r>
        <w:rPr>
          <w:rFonts w:ascii="Arial" w:cs="Arial" w:eastAsia="Arial" w:hAnsi="Arial"/>
          <w:sz w:val="18"/>
          <w:szCs w:val="18"/>
          <w:color w:val="auto"/>
        </w:rPr>
        <w:t>Our common stock is listed on The Nasdaq Capital Market. In order to maintain that listing, we must satisfy minimum financial and other continued listing requirements and standards. One such requirement is that we maintain a minimum bid price of at least $1.00 per share for our common stock. Although we currently comply with the minimum bid requirement, in the recent past, our minimum bid price has fallen below $1.00 per share, and it could again do so in the future. If our bid price falls below $1.00 per share for 30 consecutive business days, we will receive a deficiency notice from Nasdaq advising us that we have 180 days to regain compliance by maintaining a minimum bid price of at least $1.00 for a minimum of ten consecutive business days. Under certain circumstances, Nasdaq could require that the minimum bid price exceed $1.00 for more than ten consecutive days before determining that a company complies.</w:t>
      </w:r>
    </w:p>
    <w:p>
      <w:pPr>
        <w:spacing w:after="0" w:line="81" w:lineRule="exact"/>
        <w:rPr>
          <w:sz w:val="20"/>
          <w:szCs w:val="20"/>
          <w:color w:val="auto"/>
        </w:rPr>
      </w:pPr>
    </w:p>
    <w:p>
      <w:pPr>
        <w:ind w:right="40" w:firstLine="432"/>
        <w:spacing w:after="0" w:line="257" w:lineRule="auto"/>
        <w:rPr>
          <w:sz w:val="20"/>
          <w:szCs w:val="20"/>
          <w:color w:val="auto"/>
        </w:rPr>
      </w:pPr>
      <w:r>
        <w:rPr>
          <w:rFonts w:ascii="Arial" w:cs="Arial" w:eastAsia="Arial" w:hAnsi="Arial"/>
          <w:sz w:val="18"/>
          <w:szCs w:val="18"/>
          <w:color w:val="auto"/>
        </w:rPr>
        <w:t>In the event that our common stock is not eligible for continued listing on Nasdaq or another national securities exchange, trading of our common stock could be conducted in the over-the-counter market or on an electronic bulletin board established for unlisted securities such as the Pink Sheets or the OTC Bulletin Board. In such event, it could become more difficult to dispose of, or obtain accurate price quotations for, our common stock, and there would likely also be a reduction in our coverage by security analysts and the news media, which could cause the price of our common stock to decline further. Also, it may be difficult for us to raise additional capital if we are not listed on a major exchange.</w:t>
      </w:r>
    </w:p>
    <w:p>
      <w:pPr>
        <w:spacing w:after="0" w:line="296" w:lineRule="exact"/>
        <w:rPr>
          <w:sz w:val="20"/>
          <w:szCs w:val="20"/>
          <w:color w:val="auto"/>
        </w:rPr>
      </w:pPr>
    </w:p>
    <w:p>
      <w:pPr>
        <w:ind w:right="140"/>
        <w:spacing w:after="0" w:line="277" w:lineRule="auto"/>
        <w:rPr>
          <w:sz w:val="20"/>
          <w:szCs w:val="20"/>
          <w:color w:val="auto"/>
        </w:rPr>
      </w:pPr>
      <w:r>
        <w:rPr>
          <w:rFonts w:ascii="Arial" w:cs="Arial" w:eastAsia="Arial" w:hAnsi="Arial"/>
          <w:sz w:val="18"/>
          <w:szCs w:val="18"/>
          <w:b w:val="1"/>
          <w:bCs w:val="1"/>
          <w:i w:val="1"/>
          <w:iCs w:val="1"/>
          <w:color w:val="auto"/>
        </w:rPr>
        <w:t>Our common stock price has been volatile and we expect that the price of our common stock will fluctuate substantially in the future, which could cause you to lose all or a substantial part of your investment.</w:t>
      </w:r>
    </w:p>
    <w:p>
      <w:pPr>
        <w:spacing w:after="0" w:line="170" w:lineRule="exact"/>
        <w:rPr>
          <w:sz w:val="20"/>
          <w:szCs w:val="20"/>
          <w:color w:val="auto"/>
        </w:rPr>
      </w:pPr>
    </w:p>
    <w:p>
      <w:pPr>
        <w:ind w:right="60" w:firstLine="432"/>
        <w:spacing w:after="0" w:line="264" w:lineRule="auto"/>
        <w:rPr>
          <w:sz w:val="20"/>
          <w:szCs w:val="20"/>
          <w:color w:val="auto"/>
        </w:rPr>
      </w:pPr>
      <w:r>
        <w:rPr>
          <w:rFonts w:ascii="Arial" w:cs="Arial" w:eastAsia="Arial" w:hAnsi="Arial"/>
          <w:sz w:val="18"/>
          <w:szCs w:val="18"/>
          <w:color w:val="auto"/>
        </w:rPr>
        <w:t>The public trading price for our common stock is volatile and may fluctuate significantly. Since January 1, 2009, our common stock has traded between a high of $5.00 per share and a low of $0.26 per share. Among the factors, many of which we cannot control, that could cause material fluctuations in the market price for our common stock are:</w:t>
      </w:r>
    </w:p>
    <w:p>
      <w:pPr>
        <w:spacing w:after="0" w:line="181" w:lineRule="exact"/>
        <w:rPr>
          <w:sz w:val="20"/>
          <w:szCs w:val="20"/>
          <w:color w:val="auto"/>
        </w:rPr>
      </w:pPr>
    </w:p>
    <w:p>
      <w:pPr>
        <w:ind w:left="500" w:hanging="330"/>
        <w:spacing w:after="0"/>
        <w:tabs>
          <w:tab w:leader="none" w:pos="500" w:val="left"/>
        </w:tabs>
        <w:numPr>
          <w:ilvl w:val="0"/>
          <w:numId w:val="20"/>
        </w:numPr>
        <w:rPr>
          <w:rFonts w:ascii="Arial" w:cs="Arial" w:eastAsia="Arial" w:hAnsi="Arial"/>
          <w:sz w:val="18"/>
          <w:szCs w:val="18"/>
          <w:color w:val="auto"/>
        </w:rPr>
      </w:pPr>
      <w:r>
        <w:rPr>
          <w:rFonts w:ascii="Arial" w:cs="Arial" w:eastAsia="Arial" w:hAnsi="Arial"/>
          <w:sz w:val="18"/>
          <w:szCs w:val="18"/>
          <w:color w:val="auto"/>
        </w:rPr>
        <w:t>sales of our common stock by our significant stockholders, or the perception that such sales may occur;</w:t>
      </w:r>
    </w:p>
    <w:p>
      <w:pPr>
        <w:spacing w:after="0" w:line="23" w:lineRule="exact"/>
        <w:rPr>
          <w:rFonts w:ascii="Arial" w:cs="Arial" w:eastAsia="Arial" w:hAnsi="Arial"/>
          <w:sz w:val="18"/>
          <w:szCs w:val="18"/>
          <w:color w:val="auto"/>
        </w:rPr>
      </w:pPr>
    </w:p>
    <w:p>
      <w:pPr>
        <w:ind w:left="500" w:hanging="330"/>
        <w:spacing w:after="0"/>
        <w:tabs>
          <w:tab w:leader="none" w:pos="500" w:val="left"/>
        </w:tabs>
        <w:numPr>
          <w:ilvl w:val="0"/>
          <w:numId w:val="20"/>
        </w:numPr>
        <w:rPr>
          <w:rFonts w:ascii="Arial" w:cs="Arial" w:eastAsia="Arial" w:hAnsi="Arial"/>
          <w:sz w:val="16"/>
          <w:szCs w:val="16"/>
          <w:color w:val="auto"/>
        </w:rPr>
      </w:pPr>
      <w:r>
        <w:rPr>
          <w:rFonts w:ascii="Arial" w:cs="Arial" w:eastAsia="Arial" w:hAnsi="Arial"/>
          <w:sz w:val="16"/>
          <w:szCs w:val="16"/>
          <w:color w:val="auto"/>
        </w:rPr>
        <w:t>changes in earnings estimates, investors’ perceptions, recommendations by securities analysts or our failure to achieve analysts’ earnings estimates;</w:t>
      </w:r>
    </w:p>
    <w:p>
      <w:pPr>
        <w:spacing w:after="0" w:line="26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48</w:t>
      </w:r>
    </w:p>
    <w:p>
      <w:pPr>
        <w:sectPr>
          <w:pgSz w:w="11900" w:h="16838" w:orient="portrait"/>
          <w:cols w:equalWidth="0" w:num="1">
            <w:col w:w="11420"/>
          </w:cols>
          <w:pgMar w:left="240" w:top="118" w:right="239" w:bottom="1440" w:gutter="0" w:footer="0" w:header="0"/>
        </w:sectPr>
      </w:pPr>
    </w:p>
    <w:bookmarkStart w:id="48" w:name="page49"/>
    <w:bookmarkEnd w:id="48"/>
    <w:p>
      <w:pPr>
        <w:spacing w:after="0"/>
        <w:rPr>
          <w:rFonts w:ascii="Arial" w:cs="Arial" w:eastAsia="Arial" w:hAnsi="Arial"/>
          <w:sz w:val="14"/>
          <w:szCs w:val="14"/>
          <w:b w:val="1"/>
          <w:bCs w:val="1"/>
          <w:u w:val="single" w:color="auto"/>
          <w:color w:val="0000EE"/>
        </w:rPr>
      </w:pPr>
      <w:hyperlink w:anchor="page2">
        <w:r>
          <w:rPr>
            <w:rFonts w:ascii="Arial" w:cs="Arial" w:eastAsia="Arial" w:hAnsi="Arial"/>
            <w:sz w:val="14"/>
            <w:szCs w:val="14"/>
            <w:b w:val="1"/>
            <w:bCs w:val="1"/>
            <w:u w:val="single" w:color="auto"/>
            <w:color w:val="0000EE"/>
          </w:rPr>
          <w:t>Table of Contents</w:t>
        </w:r>
      </w:hyperlink>
    </w:p>
    <w:p>
      <w:pPr>
        <w:spacing w:after="0" w:line="252" w:lineRule="exact"/>
        <w:rPr>
          <w:sz w:val="20"/>
          <w:szCs w:val="20"/>
          <w:color w:val="auto"/>
        </w:rPr>
      </w:pPr>
    </w:p>
    <w:p>
      <w:pPr>
        <w:ind w:left="500" w:hanging="330"/>
        <w:spacing w:after="0"/>
        <w:tabs>
          <w:tab w:leader="none" w:pos="500" w:val="left"/>
        </w:tabs>
        <w:numPr>
          <w:ilvl w:val="0"/>
          <w:numId w:val="21"/>
        </w:numPr>
        <w:rPr>
          <w:rFonts w:ascii="Arial" w:cs="Arial" w:eastAsia="Arial" w:hAnsi="Arial"/>
          <w:sz w:val="18"/>
          <w:szCs w:val="18"/>
          <w:color w:val="auto"/>
        </w:rPr>
      </w:pPr>
      <w:r>
        <w:rPr>
          <w:rFonts w:ascii="Arial" w:cs="Arial" w:eastAsia="Arial" w:hAnsi="Arial"/>
          <w:sz w:val="18"/>
          <w:szCs w:val="18"/>
          <w:color w:val="auto"/>
        </w:rPr>
        <w:t>changes in our status as an entity eligible to receive SBIR contracts and grants;</w:t>
      </w:r>
    </w:p>
    <w:p>
      <w:pPr>
        <w:spacing w:after="0" w:line="23" w:lineRule="exact"/>
        <w:rPr>
          <w:rFonts w:ascii="Arial" w:cs="Arial" w:eastAsia="Arial" w:hAnsi="Arial"/>
          <w:sz w:val="18"/>
          <w:szCs w:val="18"/>
          <w:color w:val="auto"/>
        </w:rPr>
      </w:pPr>
    </w:p>
    <w:p>
      <w:pPr>
        <w:ind w:left="500" w:hanging="330"/>
        <w:spacing w:after="0"/>
        <w:tabs>
          <w:tab w:leader="none" w:pos="500" w:val="left"/>
        </w:tabs>
        <w:numPr>
          <w:ilvl w:val="0"/>
          <w:numId w:val="21"/>
        </w:numPr>
        <w:rPr>
          <w:rFonts w:ascii="Arial" w:cs="Arial" w:eastAsia="Arial" w:hAnsi="Arial"/>
          <w:sz w:val="18"/>
          <w:szCs w:val="18"/>
          <w:color w:val="auto"/>
        </w:rPr>
      </w:pPr>
      <w:r>
        <w:rPr>
          <w:rFonts w:ascii="Arial" w:cs="Arial" w:eastAsia="Arial" w:hAnsi="Arial"/>
          <w:sz w:val="18"/>
          <w:szCs w:val="18"/>
          <w:color w:val="auto"/>
        </w:rPr>
        <w:t>quarterly variations in our or our competitors’ results of operations;</w:t>
      </w:r>
    </w:p>
    <w:p>
      <w:pPr>
        <w:spacing w:after="0" w:line="9" w:lineRule="exact"/>
        <w:rPr>
          <w:rFonts w:ascii="Arial" w:cs="Arial" w:eastAsia="Arial" w:hAnsi="Arial"/>
          <w:sz w:val="18"/>
          <w:szCs w:val="18"/>
          <w:color w:val="auto"/>
        </w:rPr>
      </w:pPr>
    </w:p>
    <w:p>
      <w:pPr>
        <w:ind w:left="500" w:hanging="330"/>
        <w:spacing w:after="0"/>
        <w:tabs>
          <w:tab w:leader="none" w:pos="500" w:val="left"/>
        </w:tabs>
        <w:numPr>
          <w:ilvl w:val="0"/>
          <w:numId w:val="21"/>
        </w:numPr>
        <w:rPr>
          <w:rFonts w:ascii="Arial" w:cs="Arial" w:eastAsia="Arial" w:hAnsi="Arial"/>
          <w:sz w:val="18"/>
          <w:szCs w:val="18"/>
          <w:color w:val="auto"/>
        </w:rPr>
      </w:pPr>
      <w:r>
        <w:rPr>
          <w:rFonts w:ascii="Arial" w:cs="Arial" w:eastAsia="Arial" w:hAnsi="Arial"/>
          <w:sz w:val="18"/>
          <w:szCs w:val="18"/>
          <w:color w:val="auto"/>
        </w:rPr>
        <w:t>general market conditions and other factors unrelated to our operating performance or the operating performance of our competitors;</w:t>
      </w:r>
    </w:p>
    <w:p>
      <w:pPr>
        <w:spacing w:after="0" w:line="9" w:lineRule="exact"/>
        <w:rPr>
          <w:rFonts w:ascii="Arial" w:cs="Arial" w:eastAsia="Arial" w:hAnsi="Arial"/>
          <w:sz w:val="18"/>
          <w:szCs w:val="18"/>
          <w:color w:val="auto"/>
        </w:rPr>
      </w:pPr>
    </w:p>
    <w:p>
      <w:pPr>
        <w:ind w:left="500" w:hanging="330"/>
        <w:spacing w:after="0"/>
        <w:tabs>
          <w:tab w:leader="none" w:pos="500" w:val="left"/>
        </w:tabs>
        <w:numPr>
          <w:ilvl w:val="0"/>
          <w:numId w:val="21"/>
        </w:numPr>
        <w:rPr>
          <w:rFonts w:ascii="Arial" w:cs="Arial" w:eastAsia="Arial" w:hAnsi="Arial"/>
          <w:sz w:val="16"/>
          <w:szCs w:val="16"/>
          <w:color w:val="auto"/>
        </w:rPr>
      </w:pPr>
      <w:r>
        <w:rPr>
          <w:rFonts w:ascii="Arial" w:cs="Arial" w:eastAsia="Arial" w:hAnsi="Arial"/>
          <w:sz w:val="16"/>
          <w:szCs w:val="16"/>
          <w:color w:val="auto"/>
        </w:rPr>
        <w:t>announcements by us, or by our competitors, of acquisitions, new products, significant contracts, commercial relationships or capital commitments;</w:t>
      </w:r>
    </w:p>
    <w:p>
      <w:pPr>
        <w:spacing w:after="0" w:line="32" w:lineRule="exact"/>
        <w:rPr>
          <w:rFonts w:ascii="Arial" w:cs="Arial" w:eastAsia="Arial" w:hAnsi="Arial"/>
          <w:sz w:val="16"/>
          <w:szCs w:val="16"/>
          <w:color w:val="auto"/>
        </w:rPr>
      </w:pPr>
    </w:p>
    <w:p>
      <w:pPr>
        <w:ind w:left="500" w:hanging="330"/>
        <w:spacing w:after="0"/>
        <w:tabs>
          <w:tab w:leader="none" w:pos="500" w:val="left"/>
        </w:tabs>
        <w:numPr>
          <w:ilvl w:val="0"/>
          <w:numId w:val="21"/>
        </w:numPr>
        <w:rPr>
          <w:rFonts w:ascii="Arial" w:cs="Arial" w:eastAsia="Arial" w:hAnsi="Arial"/>
          <w:sz w:val="18"/>
          <w:szCs w:val="18"/>
          <w:color w:val="auto"/>
        </w:rPr>
      </w:pPr>
      <w:r>
        <w:rPr>
          <w:rFonts w:ascii="Arial" w:cs="Arial" w:eastAsia="Arial" w:hAnsi="Arial"/>
          <w:sz w:val="18"/>
          <w:szCs w:val="18"/>
          <w:color w:val="auto"/>
        </w:rPr>
        <w:t>pending or threatened litigation;</w:t>
      </w:r>
    </w:p>
    <w:p>
      <w:pPr>
        <w:spacing w:after="0" w:line="9" w:lineRule="exact"/>
        <w:rPr>
          <w:rFonts w:ascii="Arial" w:cs="Arial" w:eastAsia="Arial" w:hAnsi="Arial"/>
          <w:sz w:val="18"/>
          <w:szCs w:val="18"/>
          <w:color w:val="auto"/>
        </w:rPr>
      </w:pPr>
    </w:p>
    <w:p>
      <w:pPr>
        <w:ind w:left="500" w:hanging="330"/>
        <w:spacing w:after="0"/>
        <w:tabs>
          <w:tab w:leader="none" w:pos="500" w:val="left"/>
        </w:tabs>
        <w:numPr>
          <w:ilvl w:val="0"/>
          <w:numId w:val="21"/>
        </w:numPr>
        <w:rPr>
          <w:rFonts w:ascii="Arial" w:cs="Arial" w:eastAsia="Arial" w:hAnsi="Arial"/>
          <w:sz w:val="18"/>
          <w:szCs w:val="18"/>
          <w:color w:val="auto"/>
        </w:rPr>
      </w:pPr>
      <w:r>
        <w:rPr>
          <w:rFonts w:ascii="Arial" w:cs="Arial" w:eastAsia="Arial" w:hAnsi="Arial"/>
          <w:sz w:val="18"/>
          <w:szCs w:val="18"/>
          <w:color w:val="auto"/>
        </w:rPr>
        <w:t>any major change in our board of directors or management or any competing proxy solicitations for director nominees;</w:t>
      </w:r>
    </w:p>
    <w:p>
      <w:pPr>
        <w:spacing w:after="0" w:line="9" w:lineRule="exact"/>
        <w:rPr>
          <w:rFonts w:ascii="Arial" w:cs="Arial" w:eastAsia="Arial" w:hAnsi="Arial"/>
          <w:sz w:val="18"/>
          <w:szCs w:val="18"/>
          <w:color w:val="auto"/>
        </w:rPr>
      </w:pPr>
    </w:p>
    <w:p>
      <w:pPr>
        <w:ind w:left="500" w:hanging="330"/>
        <w:spacing w:after="0"/>
        <w:tabs>
          <w:tab w:leader="none" w:pos="500" w:val="left"/>
        </w:tabs>
        <w:numPr>
          <w:ilvl w:val="0"/>
          <w:numId w:val="21"/>
        </w:numPr>
        <w:rPr>
          <w:rFonts w:ascii="Arial" w:cs="Arial" w:eastAsia="Arial" w:hAnsi="Arial"/>
          <w:sz w:val="18"/>
          <w:szCs w:val="18"/>
          <w:color w:val="auto"/>
        </w:rPr>
      </w:pPr>
      <w:r>
        <w:rPr>
          <w:rFonts w:ascii="Arial" w:cs="Arial" w:eastAsia="Arial" w:hAnsi="Arial"/>
          <w:sz w:val="18"/>
          <w:szCs w:val="18"/>
          <w:color w:val="auto"/>
        </w:rPr>
        <w:t>changes in governmental regulations or in the status of our regulatory approvals;</w:t>
      </w:r>
    </w:p>
    <w:p>
      <w:pPr>
        <w:spacing w:after="0" w:line="9" w:lineRule="exact"/>
        <w:rPr>
          <w:rFonts w:ascii="Arial" w:cs="Arial" w:eastAsia="Arial" w:hAnsi="Arial"/>
          <w:sz w:val="18"/>
          <w:szCs w:val="18"/>
          <w:color w:val="auto"/>
        </w:rPr>
      </w:pPr>
    </w:p>
    <w:p>
      <w:pPr>
        <w:ind w:left="500" w:hanging="330"/>
        <w:spacing w:after="0"/>
        <w:tabs>
          <w:tab w:leader="none" w:pos="500" w:val="left"/>
        </w:tabs>
        <w:numPr>
          <w:ilvl w:val="0"/>
          <w:numId w:val="21"/>
        </w:numPr>
        <w:rPr>
          <w:rFonts w:ascii="Arial" w:cs="Arial" w:eastAsia="Arial" w:hAnsi="Arial"/>
          <w:sz w:val="18"/>
          <w:szCs w:val="18"/>
          <w:color w:val="auto"/>
        </w:rPr>
      </w:pPr>
      <w:r>
        <w:rPr>
          <w:rFonts w:ascii="Arial" w:cs="Arial" w:eastAsia="Arial" w:hAnsi="Arial"/>
          <w:sz w:val="18"/>
          <w:szCs w:val="18"/>
          <w:color w:val="auto"/>
        </w:rPr>
        <w:t>announcements related to patents issued to us or our competitors;</w:t>
      </w:r>
    </w:p>
    <w:p>
      <w:pPr>
        <w:spacing w:after="0" w:line="9" w:lineRule="exact"/>
        <w:rPr>
          <w:rFonts w:ascii="Arial" w:cs="Arial" w:eastAsia="Arial" w:hAnsi="Arial"/>
          <w:sz w:val="18"/>
          <w:szCs w:val="18"/>
          <w:color w:val="auto"/>
        </w:rPr>
      </w:pPr>
    </w:p>
    <w:p>
      <w:pPr>
        <w:ind w:left="500" w:hanging="330"/>
        <w:spacing w:after="0"/>
        <w:tabs>
          <w:tab w:leader="none" w:pos="500" w:val="left"/>
        </w:tabs>
        <w:numPr>
          <w:ilvl w:val="0"/>
          <w:numId w:val="21"/>
        </w:numPr>
        <w:rPr>
          <w:rFonts w:ascii="Arial" w:cs="Arial" w:eastAsia="Arial" w:hAnsi="Arial"/>
          <w:sz w:val="18"/>
          <w:szCs w:val="18"/>
          <w:color w:val="auto"/>
        </w:rPr>
      </w:pPr>
      <w:r>
        <w:rPr>
          <w:rFonts w:ascii="Arial" w:cs="Arial" w:eastAsia="Arial" w:hAnsi="Arial"/>
          <w:sz w:val="18"/>
          <w:szCs w:val="18"/>
          <w:color w:val="auto"/>
        </w:rPr>
        <w:t>a lack of, limited or negative industry or securities analyst coverage;</w:t>
      </w:r>
    </w:p>
    <w:p>
      <w:pPr>
        <w:spacing w:after="0" w:line="9" w:lineRule="exact"/>
        <w:rPr>
          <w:rFonts w:ascii="Arial" w:cs="Arial" w:eastAsia="Arial" w:hAnsi="Arial"/>
          <w:sz w:val="18"/>
          <w:szCs w:val="18"/>
          <w:color w:val="auto"/>
        </w:rPr>
      </w:pPr>
    </w:p>
    <w:p>
      <w:pPr>
        <w:ind w:left="500" w:hanging="330"/>
        <w:spacing w:after="0"/>
        <w:tabs>
          <w:tab w:leader="none" w:pos="500" w:val="left"/>
        </w:tabs>
        <w:numPr>
          <w:ilvl w:val="0"/>
          <w:numId w:val="21"/>
        </w:numPr>
        <w:rPr>
          <w:rFonts w:ascii="Arial" w:cs="Arial" w:eastAsia="Arial" w:hAnsi="Arial"/>
          <w:sz w:val="18"/>
          <w:szCs w:val="18"/>
          <w:color w:val="auto"/>
        </w:rPr>
      </w:pPr>
      <w:r>
        <w:rPr>
          <w:rFonts w:ascii="Arial" w:cs="Arial" w:eastAsia="Arial" w:hAnsi="Arial"/>
          <w:sz w:val="18"/>
          <w:szCs w:val="18"/>
          <w:color w:val="auto"/>
        </w:rPr>
        <w:t>discussions of our company or our stock price by the financial and scientific press and online investor communities; and</w:t>
      </w:r>
    </w:p>
    <w:p>
      <w:pPr>
        <w:spacing w:after="0" w:line="9" w:lineRule="exact"/>
        <w:rPr>
          <w:rFonts w:ascii="Arial" w:cs="Arial" w:eastAsia="Arial" w:hAnsi="Arial"/>
          <w:sz w:val="18"/>
          <w:szCs w:val="18"/>
          <w:color w:val="auto"/>
        </w:rPr>
      </w:pPr>
    </w:p>
    <w:p>
      <w:pPr>
        <w:ind w:left="500" w:hanging="330"/>
        <w:spacing w:after="0"/>
        <w:tabs>
          <w:tab w:leader="none" w:pos="500" w:val="left"/>
        </w:tabs>
        <w:numPr>
          <w:ilvl w:val="0"/>
          <w:numId w:val="21"/>
        </w:numPr>
        <w:rPr>
          <w:rFonts w:ascii="Arial" w:cs="Arial" w:eastAsia="Arial" w:hAnsi="Arial"/>
          <w:sz w:val="18"/>
          <w:szCs w:val="18"/>
          <w:color w:val="auto"/>
        </w:rPr>
      </w:pPr>
      <w:r>
        <w:rPr>
          <w:rFonts w:ascii="Arial" w:cs="Arial" w:eastAsia="Arial" w:hAnsi="Arial"/>
          <w:sz w:val="18"/>
          <w:szCs w:val="18"/>
          <w:color w:val="auto"/>
        </w:rPr>
        <w:t>general developments in our industry.</w:t>
      </w:r>
    </w:p>
    <w:p>
      <w:pPr>
        <w:spacing w:after="0" w:line="305" w:lineRule="exact"/>
        <w:rPr>
          <w:sz w:val="20"/>
          <w:szCs w:val="20"/>
          <w:color w:val="auto"/>
        </w:rPr>
      </w:pPr>
    </w:p>
    <w:p>
      <w:pPr>
        <w:ind w:right="680" w:firstLine="432"/>
        <w:spacing w:after="0" w:line="308" w:lineRule="auto"/>
        <w:rPr>
          <w:sz w:val="20"/>
          <w:szCs w:val="20"/>
          <w:color w:val="auto"/>
        </w:rPr>
      </w:pPr>
      <w:r>
        <w:rPr>
          <w:rFonts w:ascii="Arial" w:cs="Arial" w:eastAsia="Arial" w:hAnsi="Arial"/>
          <w:sz w:val="17"/>
          <w:szCs w:val="17"/>
          <w:color w:val="auto"/>
        </w:rPr>
        <w:t>In addition, the stock prices of many technology companies have experienced wide fluctuations that have often been unrelated to the operating performance of those companies. These factors may materially and adversely affect the market price of our common stock.</w:t>
      </w:r>
    </w:p>
    <w:p>
      <w:pPr>
        <w:spacing w:after="0" w:line="255" w:lineRule="exact"/>
        <w:rPr>
          <w:sz w:val="20"/>
          <w:szCs w:val="20"/>
          <w:color w:val="auto"/>
        </w:rPr>
      </w:pPr>
    </w:p>
    <w:p>
      <w:pPr>
        <w:ind w:right="180"/>
        <w:spacing w:after="0" w:line="308" w:lineRule="auto"/>
        <w:rPr>
          <w:sz w:val="20"/>
          <w:szCs w:val="20"/>
          <w:color w:val="auto"/>
        </w:rPr>
      </w:pPr>
      <w:r>
        <w:rPr>
          <w:rFonts w:ascii="Arial" w:cs="Arial" w:eastAsia="Arial" w:hAnsi="Arial"/>
          <w:sz w:val="17"/>
          <w:szCs w:val="17"/>
          <w:b w:val="1"/>
          <w:bCs w:val="1"/>
          <w:i w:val="1"/>
          <w:iCs w:val="1"/>
          <w:color w:val="auto"/>
        </w:rPr>
        <w:t>If our internal control over financial reporting is found not to be effective or if we make disclosure of existing or potential material weaknesses in those controls, investors could lose confidence in our financial reports, and our stock price may be adversely affected.</w:t>
      </w:r>
    </w:p>
    <w:p>
      <w:pPr>
        <w:spacing w:after="0" w:line="38" w:lineRule="exact"/>
        <w:rPr>
          <w:sz w:val="20"/>
          <w:szCs w:val="20"/>
          <w:color w:val="auto"/>
        </w:rPr>
      </w:pPr>
    </w:p>
    <w:p>
      <w:pPr>
        <w:ind w:firstLine="432"/>
        <w:spacing w:after="0" w:line="308" w:lineRule="auto"/>
        <w:rPr>
          <w:sz w:val="20"/>
          <w:szCs w:val="20"/>
          <w:color w:val="auto"/>
        </w:rPr>
      </w:pPr>
      <w:r>
        <w:rPr>
          <w:rFonts w:ascii="Arial" w:cs="Arial" w:eastAsia="Arial" w:hAnsi="Arial"/>
          <w:sz w:val="17"/>
          <w:szCs w:val="17"/>
          <w:color w:val="auto"/>
        </w:rPr>
        <w:t>Section 404 of the Sarbanes-Oxley Act of 2002 requires us to include an internal control report with our Annual Report on Form 10-K. That report must include management’s assessment of the effectiveness of our internal control over financial reporting as of the end of the fiscal year.</w:t>
      </w:r>
    </w:p>
    <w:p>
      <w:pPr>
        <w:spacing w:after="0" w:line="38" w:lineRule="exact"/>
        <w:rPr>
          <w:sz w:val="20"/>
          <w:szCs w:val="20"/>
          <w:color w:val="auto"/>
        </w:rPr>
      </w:pPr>
    </w:p>
    <w:p>
      <w:pPr>
        <w:ind w:right="100" w:firstLine="432"/>
        <w:spacing w:after="0" w:line="291" w:lineRule="auto"/>
        <w:rPr>
          <w:sz w:val="20"/>
          <w:szCs w:val="20"/>
          <w:color w:val="auto"/>
        </w:rPr>
      </w:pPr>
      <w:r>
        <w:rPr>
          <w:rFonts w:ascii="Arial" w:cs="Arial" w:eastAsia="Arial" w:hAnsi="Arial"/>
          <w:sz w:val="16"/>
          <w:szCs w:val="16"/>
          <w:color w:val="auto"/>
        </w:rPr>
        <w:t>We evaluate our existing internal control over financial reporting based on the framework issued by the Committee of Sponsoring Organizations of the Treadway Commission. During the course of our ongoing evaluation of the internal controls, we may identify areas requiring improvement, and may have to design enhanced processes and controls to address issues identified through this review. Remedying any deficiencies, significant deficiencies or material weaknesses that we identify may require us to incur significant costs and expend significant time and management resources. We cannot assure you that any of the measures we implement to remedy any such deficiencies will effectively mitigate or remedy such deficiencies. Investors could lose confidence in our financial reports, and our stock price may be adversely affected, if our internal controls over financial reporting are found not to be effective by management or if we make disclosure of existing or potential significant deficiencies or material weaknesses in those controls.</w:t>
      </w:r>
    </w:p>
    <w:p>
      <w:pPr>
        <w:spacing w:after="0" w:line="275" w:lineRule="exact"/>
        <w:rPr>
          <w:sz w:val="20"/>
          <w:szCs w:val="20"/>
          <w:color w:val="auto"/>
        </w:rPr>
      </w:pPr>
    </w:p>
    <w:p>
      <w:pPr>
        <w:ind w:right="300"/>
        <w:spacing w:after="0" w:line="308" w:lineRule="auto"/>
        <w:rPr>
          <w:sz w:val="20"/>
          <w:szCs w:val="20"/>
          <w:color w:val="auto"/>
        </w:rPr>
      </w:pPr>
      <w:r>
        <w:rPr>
          <w:rFonts w:ascii="Arial" w:cs="Arial" w:eastAsia="Arial" w:hAnsi="Arial"/>
          <w:sz w:val="17"/>
          <w:szCs w:val="17"/>
          <w:b w:val="1"/>
          <w:bCs w:val="1"/>
          <w:i w:val="1"/>
          <w:iCs w:val="1"/>
          <w:color w:val="auto"/>
        </w:rPr>
        <w:t>If our estimates relating to our critical accounting policies are based on assumptions or judgments that change or prove to be incorrect, our operating results could fall below expectations of financial analysts and investors, resulting in a decline in our stock price.</w:t>
      </w:r>
    </w:p>
    <w:p>
      <w:pPr>
        <w:spacing w:after="0" w:line="38" w:lineRule="exact"/>
        <w:rPr>
          <w:sz w:val="20"/>
          <w:szCs w:val="20"/>
          <w:color w:val="auto"/>
        </w:rPr>
      </w:pPr>
    </w:p>
    <w:p>
      <w:pPr>
        <w:ind w:firstLine="432"/>
        <w:spacing w:after="0" w:line="290" w:lineRule="auto"/>
        <w:rPr>
          <w:sz w:val="20"/>
          <w:szCs w:val="20"/>
          <w:color w:val="auto"/>
        </w:rPr>
      </w:pPr>
      <w:r>
        <w:rPr>
          <w:rFonts w:ascii="Arial" w:cs="Arial" w:eastAsia="Arial" w:hAnsi="Arial"/>
          <w:sz w:val="16"/>
          <w:szCs w:val="16"/>
          <w:color w:val="auto"/>
        </w:rPr>
        <w:t xml:space="preserve">The preparation of financial statements in conformity with U.S. GAAP requires our management to make estimates, assumptions and judgments that affect the amounts reported in the consolidated financial statements and accompanying notes. We base our estimates on historical experience and on various other assumptions that we believe to be reasonable under the circumstances, the results of which form the basis for making judgments about the carrying values of assets, liabilities, equity, revenue and expenses that are not readily apparent from other sources. Our operating results may be adversely affected if our assumptions change or if actual circumstances differ from those in our assumptions, which could cause our operating results to fall below the expectations of financial analysts and investors, resulting in a decline in our stock price. Significant assumptions and estimates used in preparing our consolidated financial statements include those related to revenue recognition, stock-based compensation and income taxes. Moreover, the new revenue recognition guidance, ASC Topic 606, </w:t>
      </w:r>
      <w:r>
        <w:rPr>
          <w:rFonts w:ascii="Arial" w:cs="Arial" w:eastAsia="Arial" w:hAnsi="Arial"/>
          <w:sz w:val="16"/>
          <w:szCs w:val="16"/>
          <w:i w:val="1"/>
          <w:iCs w:val="1"/>
          <w:color w:val="auto"/>
        </w:rPr>
        <w:t>Revenue from Contracts with Customers</w:t>
      </w:r>
      <w:r>
        <w:rPr>
          <w:rFonts w:ascii="Arial" w:cs="Arial" w:eastAsia="Arial" w:hAnsi="Arial"/>
          <w:sz w:val="16"/>
          <w:szCs w:val="16"/>
          <w:color w:val="auto"/>
        </w:rPr>
        <w:t>, requires more judgment than did the prior guidance.</w:t>
      </w:r>
    </w:p>
    <w:p>
      <w:pPr>
        <w:spacing w:after="0" w:line="27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Our financial results may be adversely affected by changes in accounting principles applicable to us.</w:t>
      </w:r>
    </w:p>
    <w:p>
      <w:pPr>
        <w:spacing w:after="0" w:line="117" w:lineRule="exact"/>
        <w:rPr>
          <w:sz w:val="20"/>
          <w:szCs w:val="20"/>
          <w:color w:val="auto"/>
        </w:rPr>
      </w:pPr>
    </w:p>
    <w:p>
      <w:pPr>
        <w:ind w:right="80" w:firstLine="432"/>
        <w:spacing w:after="0" w:line="257" w:lineRule="auto"/>
        <w:rPr>
          <w:sz w:val="20"/>
          <w:szCs w:val="20"/>
          <w:color w:val="auto"/>
        </w:rPr>
      </w:pPr>
      <w:r>
        <w:rPr>
          <w:rFonts w:ascii="Arial" w:cs="Arial" w:eastAsia="Arial" w:hAnsi="Arial"/>
          <w:sz w:val="18"/>
          <w:szCs w:val="18"/>
          <w:color w:val="auto"/>
        </w:rPr>
        <w:t xml:space="preserve">U.S. GAAP are subject to interpretation by the FASB, the SEC, and other bodies formed to promulgate and interpret appropriate accounting principles. For example, in May 2014, the FASB issued ASC Topic 606, </w:t>
      </w:r>
      <w:r>
        <w:rPr>
          <w:rFonts w:ascii="Arial" w:cs="Arial" w:eastAsia="Arial" w:hAnsi="Arial"/>
          <w:sz w:val="18"/>
          <w:szCs w:val="18"/>
          <w:i w:val="1"/>
          <w:iCs w:val="1"/>
          <w:color w:val="auto"/>
        </w:rPr>
        <w:t>Revenue from Contracts with Customers</w:t>
      </w:r>
      <w:r>
        <w:rPr>
          <w:rFonts w:ascii="Arial" w:cs="Arial" w:eastAsia="Arial" w:hAnsi="Arial"/>
          <w:sz w:val="18"/>
          <w:szCs w:val="18"/>
          <w:color w:val="auto"/>
        </w:rPr>
        <w:t>, which supersedes nearly all existing revenue recognition guidance under U.S. GAAP. We adopted this guidance as of January 1, 2018. The most significant impact relates to changing the revenue recognition for custom optoelectronics to an over time method. Before the adoption of this standard, we deferred the recognition of revenue until products were shipped to</w:t>
      </w:r>
    </w:p>
    <w:p>
      <w:pPr>
        <w:spacing w:after="0" w:line="21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49</w:t>
      </w:r>
    </w:p>
    <w:p>
      <w:pPr>
        <w:sectPr>
          <w:pgSz w:w="11900" w:h="16838" w:orient="portrait"/>
          <w:cols w:equalWidth="0" w:num="1">
            <w:col w:w="11400"/>
          </w:cols>
          <w:pgMar w:left="240" w:top="118" w:right="259" w:bottom="1440" w:gutter="0" w:footer="0" w:header="0"/>
        </w:sectPr>
      </w:pPr>
    </w:p>
    <w:bookmarkStart w:id="49" w:name="page50"/>
    <w:bookmarkEnd w:id="49"/>
    <w:p>
      <w:pPr>
        <w:spacing w:after="0"/>
        <w:rPr>
          <w:rFonts w:ascii="Arial" w:cs="Arial" w:eastAsia="Arial" w:hAnsi="Arial"/>
          <w:sz w:val="14"/>
          <w:szCs w:val="14"/>
          <w:b w:val="1"/>
          <w:bCs w:val="1"/>
          <w:u w:val="single" w:color="auto"/>
          <w:color w:val="0000EE"/>
        </w:rPr>
      </w:pPr>
      <w:hyperlink w:anchor="page2">
        <w:r>
          <w:rPr>
            <w:rFonts w:ascii="Arial" w:cs="Arial" w:eastAsia="Arial" w:hAnsi="Arial"/>
            <w:sz w:val="14"/>
            <w:szCs w:val="14"/>
            <w:b w:val="1"/>
            <w:bCs w:val="1"/>
            <w:u w:val="single" w:color="auto"/>
            <w:color w:val="0000EE"/>
          </w:rPr>
          <w:t>Table of Contents</w:t>
        </w:r>
      </w:hyperlink>
    </w:p>
    <w:p>
      <w:pPr>
        <w:spacing w:after="0" w:line="360" w:lineRule="exact"/>
        <w:rPr>
          <w:sz w:val="20"/>
          <w:szCs w:val="20"/>
          <w:color w:val="auto"/>
        </w:rPr>
      </w:pPr>
    </w:p>
    <w:p>
      <w:pPr>
        <w:ind w:right="360"/>
        <w:spacing w:after="0" w:line="277" w:lineRule="auto"/>
        <w:rPr>
          <w:sz w:val="20"/>
          <w:szCs w:val="20"/>
          <w:color w:val="auto"/>
        </w:rPr>
      </w:pPr>
      <w:r>
        <w:rPr>
          <w:rFonts w:ascii="Arial" w:cs="Arial" w:eastAsia="Arial" w:hAnsi="Arial"/>
          <w:sz w:val="18"/>
          <w:szCs w:val="18"/>
          <w:color w:val="auto"/>
        </w:rPr>
        <w:t>the customer. Any difficulties in implementing these pronouncements or adequately accounting after adoption could cause us to fail to meet our financial reporting obligations, which could result in regulatory discipline and harm investors’ confidence in us.</w:t>
      </w:r>
    </w:p>
    <w:p>
      <w:pPr>
        <w:spacing w:after="0" w:line="279" w:lineRule="exact"/>
        <w:rPr>
          <w:sz w:val="20"/>
          <w:szCs w:val="20"/>
          <w:color w:val="auto"/>
        </w:rPr>
      </w:pPr>
    </w:p>
    <w:p>
      <w:pPr>
        <w:ind w:right="80"/>
        <w:spacing w:after="0" w:line="264" w:lineRule="auto"/>
        <w:rPr>
          <w:sz w:val="20"/>
          <w:szCs w:val="20"/>
          <w:color w:val="auto"/>
        </w:rPr>
      </w:pPr>
      <w:r>
        <w:rPr>
          <w:rFonts w:ascii="Arial" w:cs="Arial" w:eastAsia="Arial" w:hAnsi="Arial"/>
          <w:sz w:val="18"/>
          <w:szCs w:val="18"/>
          <w:b w:val="1"/>
          <w:bCs w:val="1"/>
          <w:i w:val="1"/>
          <w:iCs w:val="1"/>
          <w:color w:val="auto"/>
        </w:rPr>
        <w:t>Anti-takeover provisions in our amended and restated certificate of incorporation and bylaws and Delaware law could discourage or prevent a change in control, even if an acquisition would be beneficial to our stockholders, which could affect our stock price adversely and prevent attempts by our stockholders to replace or remove our current management.</w:t>
      </w:r>
    </w:p>
    <w:p>
      <w:pPr>
        <w:spacing w:after="0" w:line="181" w:lineRule="exact"/>
        <w:rPr>
          <w:sz w:val="20"/>
          <w:szCs w:val="20"/>
          <w:color w:val="auto"/>
        </w:rPr>
      </w:pPr>
    </w:p>
    <w:p>
      <w:pPr>
        <w:jc w:val="both"/>
        <w:ind w:right="40" w:firstLine="432"/>
        <w:spacing w:after="0" w:line="264" w:lineRule="auto"/>
        <w:rPr>
          <w:sz w:val="20"/>
          <w:szCs w:val="20"/>
          <w:color w:val="auto"/>
        </w:rPr>
      </w:pPr>
      <w:r>
        <w:rPr>
          <w:rFonts w:ascii="Arial" w:cs="Arial" w:eastAsia="Arial" w:hAnsi="Arial"/>
          <w:sz w:val="18"/>
          <w:szCs w:val="18"/>
          <w:color w:val="auto"/>
        </w:rPr>
        <w:t>Our amended and restated certificate of incorporation and bylaws and Delaware law contain provisions that might delay or prevent a change in control, discourage bids at a premium over the market price of our common stock and adversely affect the market price of our common stock and the voting and other rights of the holders of our common stock. These provisions include:</w:t>
      </w:r>
    </w:p>
    <w:p>
      <w:pPr>
        <w:spacing w:after="0" w:line="181" w:lineRule="exact"/>
        <w:rPr>
          <w:sz w:val="20"/>
          <w:szCs w:val="20"/>
          <w:color w:val="auto"/>
        </w:rPr>
      </w:pPr>
    </w:p>
    <w:p>
      <w:pPr>
        <w:ind w:left="500" w:hanging="330"/>
        <w:spacing w:after="0"/>
        <w:tabs>
          <w:tab w:leader="none" w:pos="500" w:val="left"/>
        </w:tabs>
        <w:numPr>
          <w:ilvl w:val="0"/>
          <w:numId w:val="22"/>
        </w:numPr>
        <w:rPr>
          <w:rFonts w:ascii="Arial" w:cs="Arial" w:eastAsia="Arial" w:hAnsi="Arial"/>
          <w:sz w:val="18"/>
          <w:szCs w:val="18"/>
          <w:color w:val="auto"/>
        </w:rPr>
      </w:pPr>
      <w:r>
        <w:rPr>
          <w:rFonts w:ascii="Arial" w:cs="Arial" w:eastAsia="Arial" w:hAnsi="Arial"/>
          <w:sz w:val="18"/>
          <w:szCs w:val="18"/>
          <w:color w:val="auto"/>
        </w:rPr>
        <w:t>a classified board of directors serving staggered terms;</w:t>
      </w:r>
    </w:p>
    <w:p>
      <w:pPr>
        <w:spacing w:after="0" w:line="23" w:lineRule="exact"/>
        <w:rPr>
          <w:rFonts w:ascii="Arial" w:cs="Arial" w:eastAsia="Arial" w:hAnsi="Arial"/>
          <w:sz w:val="18"/>
          <w:szCs w:val="18"/>
          <w:color w:val="auto"/>
        </w:rPr>
      </w:pPr>
    </w:p>
    <w:p>
      <w:pPr>
        <w:ind w:left="500" w:hanging="330"/>
        <w:spacing w:after="0"/>
        <w:tabs>
          <w:tab w:leader="none" w:pos="500" w:val="left"/>
        </w:tabs>
        <w:numPr>
          <w:ilvl w:val="0"/>
          <w:numId w:val="22"/>
        </w:numPr>
        <w:rPr>
          <w:rFonts w:ascii="Arial" w:cs="Arial" w:eastAsia="Arial" w:hAnsi="Arial"/>
          <w:sz w:val="18"/>
          <w:szCs w:val="18"/>
          <w:color w:val="auto"/>
        </w:rPr>
      </w:pPr>
      <w:r>
        <w:rPr>
          <w:rFonts w:ascii="Arial" w:cs="Arial" w:eastAsia="Arial" w:hAnsi="Arial"/>
          <w:sz w:val="18"/>
          <w:szCs w:val="18"/>
          <w:color w:val="auto"/>
        </w:rPr>
        <w:t>advance notice requirements to stockholders for matters to be brought at stockholder meetings;</w:t>
      </w:r>
    </w:p>
    <w:p>
      <w:pPr>
        <w:spacing w:after="0" w:line="9" w:lineRule="exact"/>
        <w:rPr>
          <w:rFonts w:ascii="Arial" w:cs="Arial" w:eastAsia="Arial" w:hAnsi="Arial"/>
          <w:sz w:val="18"/>
          <w:szCs w:val="18"/>
          <w:color w:val="auto"/>
        </w:rPr>
      </w:pPr>
    </w:p>
    <w:p>
      <w:pPr>
        <w:ind w:left="500" w:hanging="330"/>
        <w:spacing w:after="0"/>
        <w:tabs>
          <w:tab w:leader="none" w:pos="500" w:val="left"/>
        </w:tabs>
        <w:numPr>
          <w:ilvl w:val="0"/>
          <w:numId w:val="22"/>
        </w:numPr>
        <w:rPr>
          <w:rFonts w:ascii="Arial" w:cs="Arial" w:eastAsia="Arial" w:hAnsi="Arial"/>
          <w:sz w:val="16"/>
          <w:szCs w:val="16"/>
          <w:color w:val="auto"/>
        </w:rPr>
      </w:pPr>
      <w:r>
        <w:rPr>
          <w:rFonts w:ascii="Arial" w:cs="Arial" w:eastAsia="Arial" w:hAnsi="Arial"/>
          <w:sz w:val="16"/>
          <w:szCs w:val="16"/>
          <w:color w:val="auto"/>
        </w:rPr>
        <w:t>a supermajority stockholder vote requirement for amending certain provisions of our amended and restated certificate of incorporation and bylaws; and</w:t>
      </w:r>
    </w:p>
    <w:p>
      <w:pPr>
        <w:spacing w:after="0" w:line="32" w:lineRule="exact"/>
        <w:rPr>
          <w:rFonts w:ascii="Arial" w:cs="Arial" w:eastAsia="Arial" w:hAnsi="Arial"/>
          <w:sz w:val="16"/>
          <w:szCs w:val="16"/>
          <w:color w:val="auto"/>
        </w:rPr>
      </w:pPr>
    </w:p>
    <w:p>
      <w:pPr>
        <w:ind w:left="500" w:hanging="330"/>
        <w:spacing w:after="0"/>
        <w:tabs>
          <w:tab w:leader="none" w:pos="500" w:val="left"/>
        </w:tabs>
        <w:numPr>
          <w:ilvl w:val="0"/>
          <w:numId w:val="22"/>
        </w:numPr>
        <w:rPr>
          <w:rFonts w:ascii="Arial" w:cs="Arial" w:eastAsia="Arial" w:hAnsi="Arial"/>
          <w:sz w:val="17"/>
          <w:szCs w:val="17"/>
          <w:color w:val="auto"/>
        </w:rPr>
      </w:pPr>
      <w:r>
        <w:rPr>
          <w:rFonts w:ascii="Arial" w:cs="Arial" w:eastAsia="Arial" w:hAnsi="Arial"/>
          <w:sz w:val="17"/>
          <w:szCs w:val="17"/>
          <w:color w:val="auto"/>
        </w:rPr>
        <w:t>the right to issue preferred stock without stockholder approval, which could be used to dilute the stock ownership of a potential hostile acquirer.</w:t>
      </w:r>
    </w:p>
    <w:p>
      <w:pPr>
        <w:spacing w:after="0" w:line="222" w:lineRule="exact"/>
        <w:rPr>
          <w:sz w:val="20"/>
          <w:szCs w:val="20"/>
          <w:color w:val="auto"/>
        </w:rPr>
      </w:pPr>
    </w:p>
    <w:p>
      <w:pPr>
        <w:ind w:right="40" w:firstLine="432"/>
        <w:spacing w:after="0" w:line="264" w:lineRule="auto"/>
        <w:rPr>
          <w:sz w:val="20"/>
          <w:szCs w:val="20"/>
          <w:color w:val="auto"/>
        </w:rPr>
      </w:pPr>
      <w:r>
        <w:rPr>
          <w:rFonts w:ascii="Arial" w:cs="Arial" w:eastAsia="Arial" w:hAnsi="Arial"/>
          <w:sz w:val="18"/>
          <w:szCs w:val="18"/>
          <w:color w:val="auto"/>
        </w:rPr>
        <w:t>We are also subject to provisions of the Delaware General Corporation law that, in general, prohibit any business combination with a beneficial owner of 15% or more of our common stock for three years unless the holder’s acquisition of our stock was approved in advance by our board of directors or certain other conditions are satisfied.</w:t>
      </w:r>
    </w:p>
    <w:p>
      <w:pPr>
        <w:spacing w:after="0" w:line="73" w:lineRule="exact"/>
        <w:rPr>
          <w:sz w:val="20"/>
          <w:szCs w:val="20"/>
          <w:color w:val="auto"/>
        </w:rPr>
      </w:pPr>
    </w:p>
    <w:p>
      <w:pPr>
        <w:ind w:firstLine="432"/>
        <w:spacing w:after="0" w:line="277" w:lineRule="auto"/>
        <w:rPr>
          <w:sz w:val="20"/>
          <w:szCs w:val="20"/>
          <w:color w:val="auto"/>
        </w:rPr>
      </w:pPr>
      <w:r>
        <w:rPr>
          <w:rFonts w:ascii="Arial" w:cs="Arial" w:eastAsia="Arial" w:hAnsi="Arial"/>
          <w:sz w:val="18"/>
          <w:szCs w:val="18"/>
          <w:color w:val="auto"/>
        </w:rPr>
        <w:t>The existence of these provisions could adversely affect the voting power of holders of common stock and limit the price that investors might be willing to pay in the future for shares of our common stock.</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50</w:t>
      </w:r>
    </w:p>
    <w:p>
      <w:pPr>
        <w:sectPr>
          <w:pgSz w:w="11900" w:h="16838" w:orient="portrait"/>
          <w:cols w:equalWidth="0" w:num="1">
            <w:col w:w="11400"/>
          </w:cols>
          <w:pgMar w:left="240" w:top="118" w:right="259" w:bottom="1440" w:gutter="0" w:footer="0" w:header="0"/>
        </w:sectPr>
      </w:pPr>
    </w:p>
    <w:bookmarkStart w:id="50" w:name="page51"/>
    <w:bookmarkEnd w:id="50"/>
    <w:p>
      <w:pPr>
        <w:spacing w:after="0"/>
        <w:rPr>
          <w:rFonts w:ascii="Arial" w:cs="Arial" w:eastAsia="Arial" w:hAnsi="Arial"/>
          <w:sz w:val="14"/>
          <w:szCs w:val="14"/>
          <w:b w:val="1"/>
          <w:bCs w:val="1"/>
          <w:u w:val="single" w:color="auto"/>
          <w:color w:val="0000EE"/>
        </w:rPr>
      </w:pPr>
      <w:hyperlink w:anchor="page2">
        <w:r>
          <w:rPr>
            <w:rFonts w:ascii="Arial" w:cs="Arial" w:eastAsia="Arial" w:hAnsi="Arial"/>
            <w:sz w:val="14"/>
            <w:szCs w:val="14"/>
            <w:b w:val="1"/>
            <w:bCs w:val="1"/>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26" w:lineRule="exact"/>
        <w:rPr>
          <w:sz w:val="20"/>
          <w:szCs w:val="20"/>
          <w:color w:val="auto"/>
        </w:rPr>
      </w:pPr>
    </w:p>
    <w:p>
      <w:pPr>
        <w:ind w:left="40"/>
        <w:spacing w:after="0"/>
        <w:tabs>
          <w:tab w:leader="none" w:pos="1280" w:val="left"/>
        </w:tabs>
        <w:rPr>
          <w:sz w:val="20"/>
          <w:szCs w:val="20"/>
          <w:color w:val="auto"/>
        </w:rPr>
      </w:pPr>
      <w:r>
        <w:rPr>
          <w:rFonts w:ascii="Arial" w:cs="Arial" w:eastAsia="Arial" w:hAnsi="Arial"/>
          <w:sz w:val="18"/>
          <w:szCs w:val="18"/>
          <w:b w:val="1"/>
          <w:bCs w:val="1"/>
          <w:color w:val="auto"/>
        </w:rPr>
        <w:t>ITEM 2.</w:t>
      </w:r>
      <w:r>
        <w:rPr>
          <w:sz w:val="20"/>
          <w:szCs w:val="20"/>
          <w:color w:val="auto"/>
        </w:rPr>
        <w:tab/>
      </w:r>
      <w:r>
        <w:rPr>
          <w:rFonts w:ascii="Arial" w:cs="Arial" w:eastAsia="Arial" w:hAnsi="Arial"/>
          <w:sz w:val="17"/>
          <w:szCs w:val="17"/>
          <w:b w:val="1"/>
          <w:bCs w:val="1"/>
          <w:i w:val="1"/>
          <w:iCs w:val="1"/>
          <w:color w:val="auto"/>
        </w:rPr>
        <w:t>UNREGISTERED SALES OF EQUITY SECURITIES AND USE OF PROCEEDS</w:t>
      </w:r>
    </w:p>
    <w:p>
      <w:pPr>
        <w:spacing w:after="0" w:line="148" w:lineRule="exact"/>
        <w:rPr>
          <w:sz w:val="20"/>
          <w:szCs w:val="20"/>
          <w:color w:val="auto"/>
        </w:rPr>
      </w:pPr>
    </w:p>
    <w:p>
      <w:pPr>
        <w:ind w:right="4900"/>
        <w:spacing w:after="0" w:line="375" w:lineRule="auto"/>
        <w:rPr>
          <w:sz w:val="20"/>
          <w:szCs w:val="20"/>
          <w:color w:val="auto"/>
        </w:rPr>
      </w:pPr>
      <w:r>
        <w:rPr>
          <w:rFonts w:ascii="Arial" w:cs="Arial" w:eastAsia="Arial" w:hAnsi="Arial"/>
          <w:sz w:val="18"/>
          <w:szCs w:val="18"/>
          <w:i w:val="1"/>
          <w:iCs w:val="1"/>
          <w:color w:val="auto"/>
        </w:rPr>
        <w:t xml:space="preserve">(a) Unregistered Sales of Equity Securities during the Three Months Ended June 30, 2018 </w:t>
      </w:r>
      <w:r>
        <w:rPr>
          <w:rFonts w:ascii="Arial" w:cs="Arial" w:eastAsia="Arial" w:hAnsi="Arial"/>
          <w:sz w:val="18"/>
          <w:szCs w:val="18"/>
          <w:b w:val="1"/>
          <w:bCs w:val="1"/>
          <w:color w:val="auto"/>
        </w:rPr>
        <w:t>Common Stock Dividend Payable to Carilion</w:t>
      </w:r>
    </w:p>
    <w:p>
      <w:pPr>
        <w:spacing w:after="0" w:line="1" w:lineRule="exact"/>
        <w:rPr>
          <w:sz w:val="20"/>
          <w:szCs w:val="20"/>
          <w:color w:val="auto"/>
        </w:rPr>
      </w:pPr>
    </w:p>
    <w:p>
      <w:pPr>
        <w:ind w:right="60" w:firstLine="432"/>
        <w:spacing w:after="0" w:line="289" w:lineRule="auto"/>
        <w:rPr>
          <w:sz w:val="20"/>
          <w:szCs w:val="20"/>
          <w:color w:val="auto"/>
        </w:rPr>
      </w:pPr>
      <w:r>
        <w:rPr>
          <w:rFonts w:ascii="Arial" w:cs="Arial" w:eastAsia="Arial" w:hAnsi="Arial"/>
          <w:sz w:val="16"/>
          <w:szCs w:val="16"/>
          <w:color w:val="auto"/>
        </w:rPr>
        <w:t>We issued 1,321,514 shares of Series A Preferred Stock, par value $0.001 per share, to Carilion Clinic in January 2010, which shares were issued in reliance on the exemptions from registration under the Securities Act provided by Sections 3(a)(9) and 4 (a)(2) thereof. The Series A Preferred Stock accrues dividends at the rate of $0.2815 per share per annum, payable quarterly in arrears. Accrued dividends are payable in shares of our common stock, with the number of shares being equal to the quotient of (i) the cumulative aggregate balance of accrued but unpaid dividends on each share of Series A Preferred Stock divided by (ii) the conversion price of the Series A Preferred Stock, which is currently $4.69159 per share. For the period from January 12, 2010, the original issue date of the Series A Preferred Stock, through June 30, 2018, the Series A Preferred Stock issued to Carilion has accrued $1,287,991 in dividends. The accrued dividend as of June 30, 2018 will be paid by the issuance of 671,339 shares of our common stock, which we will issue at Carilion’s written request. As the Series A Preferred Stock was issued in reliance on the exemption provided by Section 3(a)(9), the shares of common stock payable as dividends will also be exempt from registration in reliance on Section 3(a)(9) of the Securities Act.</w:t>
      </w:r>
    </w:p>
    <w:p>
      <w:pPr>
        <w:spacing w:after="0" w:line="37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Warrant Exercises</w:t>
      </w:r>
    </w:p>
    <w:p>
      <w:pPr>
        <w:spacing w:after="0" w:line="121" w:lineRule="exact"/>
        <w:rPr>
          <w:sz w:val="20"/>
          <w:szCs w:val="20"/>
          <w:color w:val="auto"/>
        </w:rPr>
      </w:pPr>
    </w:p>
    <w:p>
      <w:pPr>
        <w:jc w:val="both"/>
        <w:ind w:right="120" w:firstLine="648"/>
        <w:spacing w:after="0" w:line="288" w:lineRule="auto"/>
        <w:rPr>
          <w:sz w:val="20"/>
          <w:szCs w:val="20"/>
          <w:color w:val="auto"/>
        </w:rPr>
      </w:pPr>
      <w:r>
        <w:rPr>
          <w:rFonts w:ascii="Arial" w:cs="Arial" w:eastAsia="Arial" w:hAnsi="Arial"/>
          <w:sz w:val="16"/>
          <w:szCs w:val="16"/>
          <w:color w:val="auto"/>
        </w:rPr>
        <w:t>During the three months ended June 30, 2018, Carilion Clinic exercised warrants to purchase an aggregate of 43,212 shares of common stock at an exercise price of $2.32 per share and warrants to purchase an aggregate of 206,093 shares of common stock at an exercise price of $2.50 per share, resulting in aggregate proceeds to us of $617,509. The exercises were exempt from registration under the Securities Act pursuant to the exemption under Section 4(a)</w:t>
      </w:r>
    </w:p>
    <w:p>
      <w:pPr>
        <w:spacing w:after="0"/>
        <w:rPr>
          <w:sz w:val="20"/>
          <w:szCs w:val="20"/>
          <w:color w:val="auto"/>
        </w:rPr>
      </w:pPr>
      <w:r>
        <w:rPr>
          <w:rFonts w:ascii="Arial" w:cs="Arial" w:eastAsia="Arial" w:hAnsi="Arial"/>
          <w:sz w:val="18"/>
          <w:szCs w:val="18"/>
          <w:color w:val="auto"/>
        </w:rPr>
        <w:t>(2) as an offering to one accredited investor in an offering that did not involve a public offering.</w:t>
      </w:r>
    </w:p>
    <w:p>
      <w:pPr>
        <w:spacing w:after="0" w:line="319" w:lineRule="exact"/>
        <w:rPr>
          <w:sz w:val="20"/>
          <w:szCs w:val="20"/>
          <w:color w:val="auto"/>
        </w:rPr>
      </w:pPr>
    </w:p>
    <w:p>
      <w:pPr>
        <w:ind w:left="440" w:right="6940" w:hanging="432"/>
        <w:spacing w:after="0" w:line="375" w:lineRule="auto"/>
        <w:tabs>
          <w:tab w:leader="none" w:pos="263" w:val="left"/>
        </w:tabs>
        <w:numPr>
          <w:ilvl w:val="0"/>
          <w:numId w:val="23"/>
        </w:numPr>
        <w:rPr>
          <w:rFonts w:ascii="Arial" w:cs="Arial" w:eastAsia="Arial" w:hAnsi="Arial"/>
          <w:sz w:val="18"/>
          <w:szCs w:val="18"/>
          <w:i w:val="1"/>
          <w:iCs w:val="1"/>
          <w:color w:val="auto"/>
        </w:rPr>
      </w:pPr>
      <w:r>
        <w:rPr>
          <w:rFonts w:ascii="Arial" w:cs="Arial" w:eastAsia="Arial" w:hAnsi="Arial"/>
          <w:sz w:val="18"/>
          <w:szCs w:val="18"/>
          <w:i w:val="1"/>
          <w:iCs w:val="1"/>
          <w:color w:val="auto"/>
        </w:rPr>
        <w:t xml:space="preserve">Use of Proceeds from Sale of Registered Equity Securities </w:t>
      </w:r>
      <w:r>
        <w:rPr>
          <w:rFonts w:ascii="Arial" w:cs="Arial" w:eastAsia="Arial" w:hAnsi="Arial"/>
          <w:sz w:val="18"/>
          <w:szCs w:val="18"/>
          <w:color w:val="auto"/>
        </w:rPr>
        <w:t>Not applicable.</w:t>
      </w:r>
    </w:p>
    <w:p>
      <w:pPr>
        <w:spacing w:after="0" w:line="1" w:lineRule="exact"/>
        <w:rPr>
          <w:rFonts w:ascii="Arial" w:cs="Arial" w:eastAsia="Arial" w:hAnsi="Arial"/>
          <w:sz w:val="18"/>
          <w:szCs w:val="18"/>
          <w:i w:val="1"/>
          <w:iCs w:val="1"/>
          <w:color w:val="auto"/>
        </w:rPr>
      </w:pPr>
    </w:p>
    <w:p>
      <w:pPr>
        <w:ind w:left="260" w:hanging="252"/>
        <w:spacing w:after="0"/>
        <w:tabs>
          <w:tab w:leader="none" w:pos="260" w:val="left"/>
        </w:tabs>
        <w:numPr>
          <w:ilvl w:val="0"/>
          <w:numId w:val="23"/>
        </w:numPr>
        <w:rPr>
          <w:rFonts w:ascii="Arial" w:cs="Arial" w:eastAsia="Arial" w:hAnsi="Arial"/>
          <w:sz w:val="18"/>
          <w:szCs w:val="18"/>
          <w:i w:val="1"/>
          <w:iCs w:val="1"/>
          <w:color w:val="auto"/>
        </w:rPr>
      </w:pPr>
      <w:r>
        <w:rPr>
          <w:rFonts w:ascii="Arial" w:cs="Arial" w:eastAsia="Arial" w:hAnsi="Arial"/>
          <w:sz w:val="18"/>
          <w:szCs w:val="18"/>
          <w:i w:val="1"/>
          <w:iCs w:val="1"/>
          <w:color w:val="auto"/>
        </w:rPr>
        <w:t>Purchases of Equity Securities by the Registrant</w:t>
      </w:r>
    </w:p>
    <w:p>
      <w:pPr>
        <w:spacing w:after="0" w:line="117" w:lineRule="exact"/>
        <w:rPr>
          <w:sz w:val="20"/>
          <w:szCs w:val="20"/>
          <w:color w:val="auto"/>
        </w:rPr>
      </w:pPr>
    </w:p>
    <w:p>
      <w:pPr>
        <w:ind w:left="660"/>
        <w:spacing w:after="0"/>
        <w:rPr>
          <w:sz w:val="20"/>
          <w:szCs w:val="20"/>
          <w:color w:val="auto"/>
        </w:rPr>
      </w:pPr>
      <w:r>
        <w:rPr>
          <w:rFonts w:ascii="Arial" w:cs="Arial" w:eastAsia="Arial" w:hAnsi="Arial"/>
          <w:sz w:val="16"/>
          <w:szCs w:val="16"/>
          <w:color w:val="auto"/>
        </w:rPr>
        <w:t>The following table summarizes repurchases of our common stock during June 2018. There were no purchases during April 2018 or May 2018.</w:t>
      </w:r>
    </w:p>
    <w:p>
      <w:pPr>
        <w:spacing w:after="0" w:line="200" w:lineRule="exact"/>
        <w:rPr>
          <w:sz w:val="20"/>
          <w:szCs w:val="20"/>
          <w:color w:val="auto"/>
        </w:rPr>
      </w:pPr>
    </w:p>
    <w:p>
      <w:pPr>
        <w:spacing w:after="0" w:line="200" w:lineRule="exact"/>
        <w:rPr>
          <w:sz w:val="20"/>
          <w:szCs w:val="20"/>
          <w:color w:val="auto"/>
        </w:rPr>
      </w:pPr>
    </w:p>
    <w:p>
      <w:pPr>
        <w:spacing w:after="0" w:line="226" w:lineRule="exact"/>
        <w:rPr>
          <w:sz w:val="20"/>
          <w:szCs w:val="20"/>
          <w:color w:val="auto"/>
        </w:rPr>
      </w:pPr>
    </w:p>
    <w:tbl>
      <w:tblPr>
        <w:tblLayout w:type="fixed"/>
        <w:tblInd w:w="80" w:type="dxa"/>
        <w:tblCellMar>
          <w:top w:w="0" w:type="dxa"/>
          <w:left w:w="0" w:type="dxa"/>
          <w:bottom w:w="0" w:type="dxa"/>
          <w:right w:w="0" w:type="dxa"/>
        </w:tblCellMar>
      </w:tblPr>
      <w:tr>
        <w:trPr>
          <w:trHeight w:val="230"/>
        </w:trPr>
        <w:tc>
          <w:tcPr>
            <w:tcW w:w="2140" w:type="dxa"/>
            <w:vAlign w:val="bottom"/>
          </w:tcPr>
          <w:p>
            <w:pPr>
              <w:spacing w:after="0"/>
              <w:rPr>
                <w:sz w:val="20"/>
                <w:szCs w:val="20"/>
                <w:color w:val="auto"/>
              </w:rPr>
            </w:pPr>
          </w:p>
        </w:tc>
        <w:tc>
          <w:tcPr>
            <w:tcW w:w="238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2200" w:type="dxa"/>
            <w:vAlign w:val="bottom"/>
          </w:tcPr>
          <w:p>
            <w:pPr>
              <w:spacing w:after="0"/>
              <w:rPr>
                <w:sz w:val="20"/>
                <w:szCs w:val="20"/>
                <w:color w:val="auto"/>
              </w:rPr>
            </w:pPr>
          </w:p>
        </w:tc>
        <w:tc>
          <w:tcPr>
            <w:tcW w:w="1780" w:type="dxa"/>
            <w:vAlign w:val="bottom"/>
          </w:tcPr>
          <w:p>
            <w:pPr>
              <w:jc w:val="center"/>
              <w:ind w:left="110"/>
              <w:spacing w:after="0"/>
              <w:rPr>
                <w:sz w:val="20"/>
                <w:szCs w:val="20"/>
                <w:color w:val="auto"/>
              </w:rPr>
            </w:pPr>
            <w:r>
              <w:rPr>
                <w:rFonts w:ascii="Arial" w:cs="Arial" w:eastAsia="Arial" w:hAnsi="Arial"/>
                <w:sz w:val="18"/>
                <w:szCs w:val="18"/>
                <w:color w:val="auto"/>
                <w:w w:val="91"/>
              </w:rPr>
              <w:t>Total Number of</w:t>
            </w:r>
          </w:p>
        </w:tc>
        <w:tc>
          <w:tcPr>
            <w:tcW w:w="560" w:type="dxa"/>
            <w:vAlign w:val="bottom"/>
          </w:tcPr>
          <w:p>
            <w:pPr>
              <w:spacing w:after="0"/>
              <w:rPr>
                <w:sz w:val="20"/>
                <w:szCs w:val="20"/>
                <w:color w:val="auto"/>
              </w:rPr>
            </w:pPr>
          </w:p>
        </w:tc>
        <w:tc>
          <w:tcPr>
            <w:tcW w:w="2040" w:type="dxa"/>
            <w:vAlign w:val="bottom"/>
          </w:tcPr>
          <w:p>
            <w:pPr>
              <w:jc w:val="center"/>
              <w:ind w:right="130"/>
              <w:spacing w:after="0"/>
              <w:rPr>
                <w:sz w:val="20"/>
                <w:szCs w:val="20"/>
                <w:color w:val="auto"/>
              </w:rPr>
            </w:pPr>
            <w:r>
              <w:rPr>
                <w:rFonts w:ascii="Arial" w:cs="Arial" w:eastAsia="Arial" w:hAnsi="Arial"/>
                <w:sz w:val="18"/>
                <w:szCs w:val="18"/>
                <w:color w:val="auto"/>
                <w:w w:val="95"/>
              </w:rPr>
              <w:t>Approximate Dollar</w:t>
            </w:r>
          </w:p>
        </w:tc>
      </w:tr>
      <w:tr>
        <w:trPr>
          <w:trHeight w:val="270"/>
        </w:trPr>
        <w:tc>
          <w:tcPr>
            <w:tcW w:w="2140" w:type="dxa"/>
            <w:vAlign w:val="bottom"/>
          </w:tcPr>
          <w:p>
            <w:pPr>
              <w:spacing w:after="0"/>
              <w:rPr>
                <w:sz w:val="23"/>
                <w:szCs w:val="23"/>
                <w:color w:val="auto"/>
              </w:rPr>
            </w:pPr>
          </w:p>
        </w:tc>
        <w:tc>
          <w:tcPr>
            <w:tcW w:w="2380" w:type="dxa"/>
            <w:vAlign w:val="bottom"/>
          </w:tcPr>
          <w:p>
            <w:pPr>
              <w:spacing w:after="0"/>
              <w:rPr>
                <w:sz w:val="23"/>
                <w:szCs w:val="23"/>
                <w:color w:val="auto"/>
              </w:rPr>
            </w:pPr>
          </w:p>
        </w:tc>
        <w:tc>
          <w:tcPr>
            <w:tcW w:w="200" w:type="dxa"/>
            <w:vAlign w:val="bottom"/>
          </w:tcPr>
          <w:p>
            <w:pPr>
              <w:spacing w:after="0"/>
              <w:rPr>
                <w:sz w:val="23"/>
                <w:szCs w:val="23"/>
                <w:color w:val="auto"/>
              </w:rPr>
            </w:pPr>
          </w:p>
        </w:tc>
        <w:tc>
          <w:tcPr>
            <w:tcW w:w="2200" w:type="dxa"/>
            <w:vAlign w:val="bottom"/>
          </w:tcPr>
          <w:p>
            <w:pPr>
              <w:spacing w:after="0"/>
              <w:rPr>
                <w:sz w:val="23"/>
                <w:szCs w:val="23"/>
                <w:color w:val="auto"/>
              </w:rPr>
            </w:pPr>
          </w:p>
        </w:tc>
        <w:tc>
          <w:tcPr>
            <w:tcW w:w="1780" w:type="dxa"/>
            <w:vAlign w:val="bottom"/>
          </w:tcPr>
          <w:p>
            <w:pPr>
              <w:jc w:val="center"/>
              <w:ind w:left="110"/>
              <w:spacing w:after="0"/>
              <w:rPr>
                <w:sz w:val="20"/>
                <w:szCs w:val="20"/>
                <w:color w:val="auto"/>
              </w:rPr>
            </w:pPr>
            <w:r>
              <w:rPr>
                <w:rFonts w:ascii="Arial" w:cs="Arial" w:eastAsia="Arial" w:hAnsi="Arial"/>
                <w:sz w:val="18"/>
                <w:szCs w:val="18"/>
                <w:color w:val="auto"/>
                <w:w w:val="84"/>
              </w:rPr>
              <w:t>Shares Purchased as</w:t>
            </w:r>
          </w:p>
        </w:tc>
        <w:tc>
          <w:tcPr>
            <w:tcW w:w="560" w:type="dxa"/>
            <w:vAlign w:val="bottom"/>
          </w:tcPr>
          <w:p>
            <w:pPr>
              <w:spacing w:after="0"/>
              <w:rPr>
                <w:sz w:val="23"/>
                <w:szCs w:val="23"/>
                <w:color w:val="auto"/>
              </w:rPr>
            </w:pPr>
          </w:p>
        </w:tc>
        <w:tc>
          <w:tcPr>
            <w:tcW w:w="2040" w:type="dxa"/>
            <w:vAlign w:val="bottom"/>
          </w:tcPr>
          <w:p>
            <w:pPr>
              <w:jc w:val="center"/>
              <w:ind w:right="150"/>
              <w:spacing w:after="0"/>
              <w:rPr>
                <w:sz w:val="20"/>
                <w:szCs w:val="20"/>
                <w:color w:val="auto"/>
              </w:rPr>
            </w:pPr>
            <w:r>
              <w:rPr>
                <w:rFonts w:ascii="Arial" w:cs="Arial" w:eastAsia="Arial" w:hAnsi="Arial"/>
                <w:sz w:val="18"/>
                <w:szCs w:val="18"/>
                <w:color w:val="auto"/>
                <w:w w:val="88"/>
              </w:rPr>
              <w:t>Value of Shares that</w:t>
            </w:r>
          </w:p>
        </w:tc>
      </w:tr>
      <w:tr>
        <w:trPr>
          <w:trHeight w:val="270"/>
        </w:trPr>
        <w:tc>
          <w:tcPr>
            <w:tcW w:w="2140" w:type="dxa"/>
            <w:vAlign w:val="bottom"/>
          </w:tcPr>
          <w:p>
            <w:pPr>
              <w:spacing w:after="0"/>
              <w:rPr>
                <w:sz w:val="23"/>
                <w:szCs w:val="23"/>
                <w:color w:val="auto"/>
              </w:rPr>
            </w:pPr>
          </w:p>
        </w:tc>
        <w:tc>
          <w:tcPr>
            <w:tcW w:w="2380" w:type="dxa"/>
            <w:vAlign w:val="bottom"/>
          </w:tcPr>
          <w:p>
            <w:pPr>
              <w:jc w:val="center"/>
              <w:spacing w:after="0"/>
              <w:rPr>
                <w:sz w:val="20"/>
                <w:szCs w:val="20"/>
                <w:color w:val="auto"/>
              </w:rPr>
            </w:pPr>
            <w:r>
              <w:rPr>
                <w:rFonts w:ascii="Arial" w:cs="Arial" w:eastAsia="Arial" w:hAnsi="Arial"/>
                <w:sz w:val="18"/>
                <w:szCs w:val="18"/>
                <w:color w:val="auto"/>
                <w:w w:val="89"/>
              </w:rPr>
              <w:t>Total Number of Shares</w:t>
            </w:r>
          </w:p>
        </w:tc>
        <w:tc>
          <w:tcPr>
            <w:tcW w:w="200" w:type="dxa"/>
            <w:vAlign w:val="bottom"/>
          </w:tcPr>
          <w:p>
            <w:pPr>
              <w:spacing w:after="0"/>
              <w:rPr>
                <w:sz w:val="23"/>
                <w:szCs w:val="23"/>
                <w:color w:val="auto"/>
              </w:rPr>
            </w:pPr>
          </w:p>
        </w:tc>
        <w:tc>
          <w:tcPr>
            <w:tcW w:w="2200" w:type="dxa"/>
            <w:vAlign w:val="bottom"/>
          </w:tcPr>
          <w:p>
            <w:pPr>
              <w:jc w:val="center"/>
              <w:ind w:right="250"/>
              <w:spacing w:after="0"/>
              <w:rPr>
                <w:sz w:val="20"/>
                <w:szCs w:val="20"/>
                <w:color w:val="auto"/>
              </w:rPr>
            </w:pPr>
            <w:r>
              <w:rPr>
                <w:rFonts w:ascii="Arial" w:cs="Arial" w:eastAsia="Arial" w:hAnsi="Arial"/>
                <w:sz w:val="18"/>
                <w:szCs w:val="18"/>
                <w:color w:val="auto"/>
                <w:w w:val="89"/>
              </w:rPr>
              <w:t>Average Price Paid per</w:t>
            </w:r>
          </w:p>
        </w:tc>
        <w:tc>
          <w:tcPr>
            <w:tcW w:w="1780" w:type="dxa"/>
            <w:vAlign w:val="bottom"/>
          </w:tcPr>
          <w:p>
            <w:pPr>
              <w:jc w:val="center"/>
              <w:ind w:left="110"/>
              <w:spacing w:after="0"/>
              <w:rPr>
                <w:sz w:val="20"/>
                <w:szCs w:val="20"/>
                <w:color w:val="auto"/>
              </w:rPr>
            </w:pPr>
            <w:r>
              <w:rPr>
                <w:rFonts w:ascii="Arial" w:cs="Arial" w:eastAsia="Arial" w:hAnsi="Arial"/>
                <w:sz w:val="18"/>
                <w:szCs w:val="18"/>
                <w:color w:val="auto"/>
                <w:w w:val="93"/>
              </w:rPr>
              <w:t>Part of a Publicly</w:t>
            </w:r>
          </w:p>
        </w:tc>
        <w:tc>
          <w:tcPr>
            <w:tcW w:w="560" w:type="dxa"/>
            <w:vAlign w:val="bottom"/>
          </w:tcPr>
          <w:p>
            <w:pPr>
              <w:spacing w:after="0"/>
              <w:rPr>
                <w:sz w:val="23"/>
                <w:szCs w:val="23"/>
                <w:color w:val="auto"/>
              </w:rPr>
            </w:pPr>
          </w:p>
        </w:tc>
        <w:tc>
          <w:tcPr>
            <w:tcW w:w="2040" w:type="dxa"/>
            <w:vAlign w:val="bottom"/>
          </w:tcPr>
          <w:p>
            <w:pPr>
              <w:jc w:val="center"/>
              <w:ind w:right="130"/>
              <w:spacing w:after="0"/>
              <w:rPr>
                <w:sz w:val="20"/>
                <w:szCs w:val="20"/>
                <w:color w:val="auto"/>
              </w:rPr>
            </w:pPr>
            <w:r>
              <w:rPr>
                <w:rFonts w:ascii="Arial" w:cs="Arial" w:eastAsia="Arial" w:hAnsi="Arial"/>
                <w:sz w:val="18"/>
                <w:szCs w:val="18"/>
                <w:color w:val="auto"/>
                <w:w w:val="88"/>
              </w:rPr>
              <w:t>May Yet be Purchased</w:t>
            </w:r>
          </w:p>
        </w:tc>
      </w:tr>
      <w:tr>
        <w:trPr>
          <w:trHeight w:val="270"/>
        </w:trPr>
        <w:tc>
          <w:tcPr>
            <w:tcW w:w="2140" w:type="dxa"/>
            <w:vAlign w:val="bottom"/>
          </w:tcPr>
          <w:p>
            <w:pPr>
              <w:jc w:val="right"/>
              <w:ind w:right="750"/>
              <w:spacing w:after="0"/>
              <w:rPr>
                <w:sz w:val="20"/>
                <w:szCs w:val="20"/>
                <w:color w:val="auto"/>
              </w:rPr>
            </w:pPr>
            <w:r>
              <w:rPr>
                <w:rFonts w:ascii="Arial" w:cs="Arial" w:eastAsia="Arial" w:hAnsi="Arial"/>
                <w:sz w:val="18"/>
                <w:szCs w:val="18"/>
                <w:color w:val="auto"/>
              </w:rPr>
              <w:t>Period</w:t>
            </w:r>
          </w:p>
        </w:tc>
        <w:tc>
          <w:tcPr>
            <w:tcW w:w="2380" w:type="dxa"/>
            <w:vAlign w:val="bottom"/>
          </w:tcPr>
          <w:p>
            <w:pPr>
              <w:jc w:val="center"/>
              <w:spacing w:after="0"/>
              <w:rPr>
                <w:sz w:val="20"/>
                <w:szCs w:val="20"/>
                <w:color w:val="auto"/>
              </w:rPr>
            </w:pPr>
            <w:r>
              <w:rPr>
                <w:rFonts w:ascii="Arial" w:cs="Arial" w:eastAsia="Arial" w:hAnsi="Arial"/>
                <w:sz w:val="18"/>
                <w:szCs w:val="18"/>
                <w:color w:val="auto"/>
                <w:w w:val="85"/>
              </w:rPr>
              <w:t>Purchased</w:t>
            </w:r>
          </w:p>
        </w:tc>
        <w:tc>
          <w:tcPr>
            <w:tcW w:w="200" w:type="dxa"/>
            <w:vAlign w:val="bottom"/>
          </w:tcPr>
          <w:p>
            <w:pPr>
              <w:spacing w:after="0"/>
              <w:rPr>
                <w:sz w:val="23"/>
                <w:szCs w:val="23"/>
                <w:color w:val="auto"/>
              </w:rPr>
            </w:pPr>
          </w:p>
        </w:tc>
        <w:tc>
          <w:tcPr>
            <w:tcW w:w="2200" w:type="dxa"/>
            <w:vAlign w:val="bottom"/>
          </w:tcPr>
          <w:p>
            <w:pPr>
              <w:jc w:val="center"/>
              <w:ind w:right="250"/>
              <w:spacing w:after="0"/>
              <w:rPr>
                <w:sz w:val="20"/>
                <w:szCs w:val="20"/>
                <w:color w:val="auto"/>
              </w:rPr>
            </w:pPr>
            <w:r>
              <w:rPr>
                <w:rFonts w:ascii="Arial" w:cs="Arial" w:eastAsia="Arial" w:hAnsi="Arial"/>
                <w:sz w:val="18"/>
                <w:szCs w:val="18"/>
                <w:color w:val="auto"/>
                <w:w w:val="87"/>
              </w:rPr>
              <w:t>Share</w:t>
            </w:r>
          </w:p>
        </w:tc>
        <w:tc>
          <w:tcPr>
            <w:tcW w:w="1780" w:type="dxa"/>
            <w:vAlign w:val="bottom"/>
          </w:tcPr>
          <w:p>
            <w:pPr>
              <w:jc w:val="center"/>
              <w:ind w:left="110"/>
              <w:spacing w:after="0"/>
              <w:rPr>
                <w:sz w:val="20"/>
                <w:szCs w:val="20"/>
                <w:color w:val="auto"/>
              </w:rPr>
            </w:pPr>
            <w:r>
              <w:rPr>
                <w:rFonts w:ascii="Arial" w:cs="Arial" w:eastAsia="Arial" w:hAnsi="Arial"/>
                <w:sz w:val="18"/>
                <w:szCs w:val="18"/>
                <w:color w:val="auto"/>
                <w:w w:val="90"/>
              </w:rPr>
              <w:t>Announced Program</w:t>
            </w:r>
          </w:p>
        </w:tc>
        <w:tc>
          <w:tcPr>
            <w:tcW w:w="560" w:type="dxa"/>
            <w:vAlign w:val="bottom"/>
          </w:tcPr>
          <w:p>
            <w:pPr>
              <w:spacing w:after="0"/>
              <w:rPr>
                <w:sz w:val="23"/>
                <w:szCs w:val="23"/>
                <w:color w:val="auto"/>
              </w:rPr>
            </w:pPr>
          </w:p>
        </w:tc>
        <w:tc>
          <w:tcPr>
            <w:tcW w:w="2040" w:type="dxa"/>
            <w:vAlign w:val="bottom"/>
          </w:tcPr>
          <w:p>
            <w:pPr>
              <w:jc w:val="center"/>
              <w:ind w:right="130"/>
              <w:spacing w:after="0"/>
              <w:rPr>
                <w:sz w:val="20"/>
                <w:szCs w:val="20"/>
                <w:color w:val="auto"/>
              </w:rPr>
            </w:pPr>
            <w:r>
              <w:rPr>
                <w:rFonts w:ascii="Arial" w:cs="Arial" w:eastAsia="Arial" w:hAnsi="Arial"/>
                <w:sz w:val="18"/>
                <w:szCs w:val="18"/>
                <w:color w:val="auto"/>
                <w:w w:val="90"/>
              </w:rPr>
              <w:t>Under the Program(1)</w:t>
            </w:r>
          </w:p>
        </w:tc>
      </w:tr>
      <w:tr>
        <w:trPr>
          <w:trHeight w:val="270"/>
        </w:trPr>
        <w:tc>
          <w:tcPr>
            <w:tcW w:w="2140" w:type="dxa"/>
            <w:vAlign w:val="bottom"/>
          </w:tcPr>
          <w:p>
            <w:pPr>
              <w:jc w:val="right"/>
              <w:ind w:right="530"/>
              <w:spacing w:after="0"/>
              <w:rPr>
                <w:sz w:val="20"/>
                <w:szCs w:val="20"/>
                <w:color w:val="auto"/>
              </w:rPr>
            </w:pPr>
            <w:r>
              <w:rPr>
                <w:rFonts w:ascii="Arial" w:cs="Arial" w:eastAsia="Arial" w:hAnsi="Arial"/>
                <w:sz w:val="18"/>
                <w:szCs w:val="18"/>
                <w:color w:val="auto"/>
                <w:w w:val="90"/>
              </w:rPr>
              <w:t>6/1/2018 - 6/30/2018</w:t>
            </w:r>
          </w:p>
        </w:tc>
        <w:tc>
          <w:tcPr>
            <w:tcW w:w="2380" w:type="dxa"/>
            <w:vAlign w:val="bottom"/>
          </w:tcPr>
          <w:p>
            <w:pPr>
              <w:jc w:val="right"/>
              <w:spacing w:after="0"/>
              <w:rPr>
                <w:sz w:val="20"/>
                <w:szCs w:val="20"/>
                <w:color w:val="auto"/>
              </w:rPr>
            </w:pPr>
            <w:r>
              <w:rPr>
                <w:rFonts w:ascii="Arial" w:cs="Arial" w:eastAsia="Arial" w:hAnsi="Arial"/>
                <w:sz w:val="18"/>
                <w:szCs w:val="18"/>
                <w:color w:val="auto"/>
              </w:rPr>
              <w:t>49,751 (2)</w:t>
            </w:r>
          </w:p>
        </w:tc>
        <w:tc>
          <w:tcPr>
            <w:tcW w:w="20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2200" w:type="dxa"/>
            <w:vAlign w:val="bottom"/>
          </w:tcPr>
          <w:p>
            <w:pPr>
              <w:jc w:val="right"/>
              <w:ind w:right="150"/>
              <w:spacing w:after="0"/>
              <w:rPr>
                <w:sz w:val="20"/>
                <w:szCs w:val="20"/>
                <w:color w:val="auto"/>
              </w:rPr>
            </w:pPr>
            <w:r>
              <w:rPr>
                <w:rFonts w:ascii="Arial" w:cs="Arial" w:eastAsia="Arial" w:hAnsi="Arial"/>
                <w:sz w:val="18"/>
                <w:szCs w:val="18"/>
                <w:color w:val="auto"/>
              </w:rPr>
              <w:t>3.23</w:t>
            </w:r>
          </w:p>
        </w:tc>
        <w:tc>
          <w:tcPr>
            <w:tcW w:w="1780" w:type="dxa"/>
            <w:vAlign w:val="bottom"/>
          </w:tcPr>
          <w:p>
            <w:pPr>
              <w:spacing w:after="0"/>
              <w:rPr>
                <w:sz w:val="23"/>
                <w:szCs w:val="23"/>
                <w:color w:val="auto"/>
              </w:rPr>
            </w:pPr>
          </w:p>
        </w:tc>
        <w:tc>
          <w:tcPr>
            <w:tcW w:w="560" w:type="dxa"/>
            <w:vAlign w:val="bottom"/>
          </w:tcPr>
          <w:p>
            <w:pPr>
              <w:ind w:left="40"/>
              <w:spacing w:after="0"/>
              <w:rPr>
                <w:sz w:val="20"/>
                <w:szCs w:val="20"/>
                <w:color w:val="auto"/>
              </w:rPr>
            </w:pPr>
            <w:r>
              <w:rPr>
                <w:rFonts w:ascii="Arial" w:cs="Arial" w:eastAsia="Arial" w:hAnsi="Arial"/>
                <w:sz w:val="18"/>
                <w:szCs w:val="18"/>
                <w:color w:val="auto"/>
              </w:rPr>
              <w:t>—  $</w:t>
            </w:r>
          </w:p>
        </w:tc>
        <w:tc>
          <w:tcPr>
            <w:tcW w:w="2040" w:type="dxa"/>
            <w:vAlign w:val="bottom"/>
          </w:tcPr>
          <w:p>
            <w:pPr>
              <w:jc w:val="right"/>
              <w:ind w:right="30"/>
              <w:spacing w:after="0"/>
              <w:rPr>
                <w:sz w:val="20"/>
                <w:szCs w:val="20"/>
                <w:color w:val="auto"/>
              </w:rPr>
            </w:pPr>
            <w:r>
              <w:rPr>
                <w:rFonts w:ascii="Arial" w:cs="Arial" w:eastAsia="Arial" w:hAnsi="Arial"/>
                <w:sz w:val="18"/>
                <w:szCs w:val="18"/>
                <w:color w:val="auto"/>
              </w:rPr>
              <w:t>931,809</w:t>
            </w:r>
          </w:p>
        </w:tc>
      </w:tr>
      <w:tr>
        <w:trPr>
          <w:trHeight w:val="27"/>
        </w:trPr>
        <w:tc>
          <w:tcPr>
            <w:tcW w:w="2140" w:type="dxa"/>
            <w:vAlign w:val="bottom"/>
          </w:tcPr>
          <w:p>
            <w:pPr>
              <w:spacing w:after="0"/>
              <w:rPr>
                <w:sz w:val="2"/>
                <w:szCs w:val="2"/>
                <w:color w:val="auto"/>
              </w:rPr>
            </w:pPr>
          </w:p>
        </w:tc>
        <w:tc>
          <w:tcPr>
            <w:tcW w:w="2380" w:type="dxa"/>
            <w:vAlign w:val="bottom"/>
            <w:tcBorders>
              <w:bottom w:val="single" w:sz="8" w:color="auto"/>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2200" w:type="dxa"/>
            <w:vAlign w:val="bottom"/>
            <w:tcBorders>
              <w:bottom w:val="single" w:sz="8" w:color="auto"/>
            </w:tcBorders>
          </w:tcPr>
          <w:p>
            <w:pPr>
              <w:spacing w:after="0"/>
              <w:rPr>
                <w:sz w:val="2"/>
                <w:szCs w:val="2"/>
                <w:color w:val="auto"/>
              </w:rPr>
            </w:pPr>
          </w:p>
        </w:tc>
        <w:tc>
          <w:tcPr>
            <w:tcW w:w="1780" w:type="dxa"/>
            <w:vAlign w:val="bottom"/>
            <w:tcBorders>
              <w:bottom w:val="single" w:sz="8" w:color="auto"/>
            </w:tcBorders>
          </w:tcPr>
          <w:p>
            <w:pPr>
              <w:spacing w:after="0"/>
              <w:rPr>
                <w:sz w:val="2"/>
                <w:szCs w:val="2"/>
                <w:color w:val="auto"/>
              </w:rPr>
            </w:pPr>
          </w:p>
        </w:tc>
        <w:tc>
          <w:tcPr>
            <w:tcW w:w="560" w:type="dxa"/>
            <w:vAlign w:val="bottom"/>
            <w:tcBorders>
              <w:bottom w:val="single" w:sz="8" w:color="auto"/>
            </w:tcBorders>
          </w:tcPr>
          <w:p>
            <w:pPr>
              <w:spacing w:after="0"/>
              <w:rPr>
                <w:sz w:val="2"/>
                <w:szCs w:val="2"/>
                <w:color w:val="auto"/>
              </w:rPr>
            </w:pPr>
          </w:p>
        </w:tc>
        <w:tc>
          <w:tcPr>
            <w:tcW w:w="2040" w:type="dxa"/>
            <w:vAlign w:val="bottom"/>
            <w:tcBorders>
              <w:bottom w:val="single" w:sz="8" w:color="auto"/>
            </w:tcBorders>
          </w:tcPr>
          <w:p>
            <w:pPr>
              <w:spacing w:after="0"/>
              <w:rPr>
                <w:sz w:val="2"/>
                <w:szCs w:val="2"/>
                <w:color w:val="auto"/>
              </w:rPr>
            </w:pPr>
          </w:p>
        </w:tc>
      </w:tr>
    </w:tbl>
    <w:p>
      <w:pPr>
        <w:spacing w:after="0" w:line="94" w:lineRule="exact"/>
        <w:rPr>
          <w:sz w:val="20"/>
          <w:szCs w:val="20"/>
          <w:color w:val="auto"/>
        </w:rPr>
      </w:pPr>
    </w:p>
    <w:p>
      <w:pPr>
        <w:ind w:right="140" w:firstLine="8"/>
        <w:spacing w:after="0" w:line="312" w:lineRule="auto"/>
        <w:tabs>
          <w:tab w:leader="none" w:pos="255" w:val="left"/>
        </w:tabs>
        <w:numPr>
          <w:ilvl w:val="0"/>
          <w:numId w:val="24"/>
        </w:numPr>
        <w:rPr>
          <w:rFonts w:ascii="Arial" w:cs="Arial" w:eastAsia="Arial" w:hAnsi="Arial"/>
          <w:sz w:val="16"/>
          <w:szCs w:val="16"/>
          <w:color w:val="auto"/>
        </w:rPr>
      </w:pPr>
      <w:r>
        <w:rPr>
          <w:rFonts w:ascii="Arial" w:cs="Arial" w:eastAsia="Arial" w:hAnsi="Arial"/>
          <w:sz w:val="16"/>
          <w:szCs w:val="16"/>
          <w:color w:val="auto"/>
        </w:rPr>
        <w:t>On September 20, 2017, we announced that our board of directors re-instituted our stock repurchase program, authorizing the repurchase of up to $2.0 million of our common stock. An aggregate purchase price of $1.1 million had been expended under this program as of June 30, 2018. Unless extended, the stock repurchase authorization expires on September 19, 2018 and may be terminated, increased or decreased by our board of directors at any time.</w:t>
      </w:r>
    </w:p>
    <w:p>
      <w:pPr>
        <w:spacing w:after="0" w:line="38" w:lineRule="exact"/>
        <w:rPr>
          <w:rFonts w:ascii="Arial" w:cs="Arial" w:eastAsia="Arial" w:hAnsi="Arial"/>
          <w:sz w:val="16"/>
          <w:szCs w:val="16"/>
          <w:color w:val="auto"/>
        </w:rPr>
      </w:pPr>
    </w:p>
    <w:p>
      <w:pPr>
        <w:ind w:right="380" w:firstLine="8"/>
        <w:spacing w:after="0" w:line="277" w:lineRule="auto"/>
        <w:tabs>
          <w:tab w:leader="none" w:pos="255" w:val="left"/>
        </w:tabs>
        <w:numPr>
          <w:ilvl w:val="0"/>
          <w:numId w:val="24"/>
        </w:numPr>
        <w:rPr>
          <w:rFonts w:ascii="Arial" w:cs="Arial" w:eastAsia="Arial" w:hAnsi="Arial"/>
          <w:sz w:val="18"/>
          <w:szCs w:val="18"/>
          <w:color w:val="auto"/>
        </w:rPr>
      </w:pPr>
      <w:r>
        <w:rPr>
          <w:rFonts w:ascii="Arial" w:cs="Arial" w:eastAsia="Arial" w:hAnsi="Arial"/>
          <w:sz w:val="18"/>
          <w:szCs w:val="18"/>
          <w:color w:val="auto"/>
        </w:rPr>
        <w:t>These shares of common stock were repurchased from employees to satisfy tax withholding obligations triggered upon the vesting of restricted stock awards.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7" w:lineRule="exact"/>
        <w:rPr>
          <w:sz w:val="20"/>
          <w:szCs w:val="20"/>
          <w:color w:val="auto"/>
        </w:rPr>
      </w:pPr>
    </w:p>
    <w:p>
      <w:pPr>
        <w:ind w:left="40"/>
        <w:spacing w:after="0"/>
        <w:tabs>
          <w:tab w:leader="none" w:pos="1280" w:val="left"/>
        </w:tabs>
        <w:rPr>
          <w:sz w:val="20"/>
          <w:szCs w:val="20"/>
          <w:color w:val="auto"/>
        </w:rPr>
      </w:pPr>
      <w:r>
        <w:rPr>
          <w:rFonts w:ascii="Arial" w:cs="Arial" w:eastAsia="Arial" w:hAnsi="Arial"/>
          <w:sz w:val="18"/>
          <w:szCs w:val="18"/>
          <w:b w:val="1"/>
          <w:bCs w:val="1"/>
          <w:color w:val="auto"/>
        </w:rPr>
        <w:t>ITEM 3.</w:t>
      </w:r>
      <w:r>
        <w:rPr>
          <w:sz w:val="20"/>
          <w:szCs w:val="20"/>
          <w:color w:val="auto"/>
        </w:rPr>
        <w:tab/>
      </w:r>
      <w:r>
        <w:rPr>
          <w:rFonts w:ascii="Arial" w:cs="Arial" w:eastAsia="Arial" w:hAnsi="Arial"/>
          <w:sz w:val="17"/>
          <w:szCs w:val="17"/>
          <w:b w:val="1"/>
          <w:bCs w:val="1"/>
          <w:i w:val="1"/>
          <w:iCs w:val="1"/>
          <w:color w:val="auto"/>
        </w:rPr>
        <w:t>DEFAULTS UPON SENIOR SECURITIES</w:t>
      </w:r>
    </w:p>
    <w:p>
      <w:pPr>
        <w:spacing w:after="0" w:line="148" w:lineRule="exact"/>
        <w:rPr>
          <w:sz w:val="20"/>
          <w:szCs w:val="20"/>
          <w:color w:val="auto"/>
        </w:rPr>
      </w:pPr>
    </w:p>
    <w:p>
      <w:pPr>
        <w:ind w:left="440"/>
        <w:spacing w:after="0"/>
        <w:rPr>
          <w:sz w:val="20"/>
          <w:szCs w:val="20"/>
          <w:color w:val="auto"/>
        </w:rPr>
      </w:pPr>
      <w:r>
        <w:rPr>
          <w:rFonts w:ascii="Arial" w:cs="Arial" w:eastAsia="Arial" w:hAnsi="Arial"/>
          <w:sz w:val="18"/>
          <w:szCs w:val="18"/>
          <w:color w:val="auto"/>
        </w:rPr>
        <w:t>None.</w:t>
      </w:r>
    </w:p>
    <w:p>
      <w:pPr>
        <w:spacing w:after="0" w:line="200" w:lineRule="exact"/>
        <w:rPr>
          <w:sz w:val="20"/>
          <w:szCs w:val="20"/>
          <w:color w:val="auto"/>
        </w:rPr>
      </w:pPr>
    </w:p>
    <w:p>
      <w:pPr>
        <w:spacing w:after="0" w:line="268"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51</w:t>
      </w:r>
    </w:p>
    <w:p>
      <w:pPr>
        <w:sectPr>
          <w:pgSz w:w="11900" w:h="16838" w:orient="portrait"/>
          <w:cols w:equalWidth="0" w:num="1">
            <w:col w:w="11380"/>
          </w:cols>
          <w:pgMar w:left="240" w:top="118" w:right="279" w:bottom="1440" w:gutter="0" w:footer="0" w:header="0"/>
        </w:sectPr>
      </w:pPr>
    </w:p>
    <w:bookmarkStart w:id="51" w:name="page52"/>
    <w:bookmarkEnd w:id="51"/>
    <w:p>
      <w:pPr>
        <w:spacing w:after="0"/>
        <w:rPr>
          <w:rFonts w:ascii="Arial" w:cs="Arial" w:eastAsia="Arial" w:hAnsi="Arial"/>
          <w:sz w:val="14"/>
          <w:szCs w:val="14"/>
          <w:b w:val="1"/>
          <w:bCs w:val="1"/>
          <w:u w:val="single" w:color="auto"/>
          <w:color w:val="0000EE"/>
        </w:rPr>
      </w:pPr>
      <w:hyperlink w:anchor="page2">
        <w:r>
          <w:rPr>
            <w:rFonts w:ascii="Arial" w:cs="Arial" w:eastAsia="Arial" w:hAnsi="Arial"/>
            <w:sz w:val="14"/>
            <w:szCs w:val="14"/>
            <w:b w:val="1"/>
            <w:bCs w:val="1"/>
            <w:u w:val="single" w:color="auto"/>
            <w:color w:val="0000EE"/>
          </w:rPr>
          <w:t>Table of Contents</w:t>
        </w:r>
      </w:hyperlink>
    </w:p>
    <w:p>
      <w:pPr>
        <w:spacing w:after="0" w:line="200" w:lineRule="exact"/>
        <w:rPr>
          <w:sz w:val="20"/>
          <w:szCs w:val="20"/>
          <w:color w:val="auto"/>
        </w:rPr>
      </w:pPr>
    </w:p>
    <w:p>
      <w:pPr>
        <w:spacing w:after="0" w:line="210" w:lineRule="exact"/>
        <w:rPr>
          <w:sz w:val="20"/>
          <w:szCs w:val="20"/>
          <w:color w:val="auto"/>
        </w:rPr>
      </w:pPr>
    </w:p>
    <w:p>
      <w:pPr>
        <w:ind w:left="40"/>
        <w:spacing w:after="0"/>
        <w:tabs>
          <w:tab w:leader="none" w:pos="1280" w:val="left"/>
        </w:tabs>
        <w:rPr>
          <w:sz w:val="20"/>
          <w:szCs w:val="20"/>
          <w:color w:val="auto"/>
        </w:rPr>
      </w:pPr>
      <w:r>
        <w:rPr>
          <w:rFonts w:ascii="Arial" w:cs="Arial" w:eastAsia="Arial" w:hAnsi="Arial"/>
          <w:sz w:val="18"/>
          <w:szCs w:val="18"/>
          <w:b w:val="1"/>
          <w:bCs w:val="1"/>
          <w:color w:val="auto"/>
        </w:rPr>
        <w:t>ITEM 4.</w:t>
      </w:r>
      <w:r>
        <w:rPr>
          <w:sz w:val="20"/>
          <w:szCs w:val="20"/>
          <w:color w:val="auto"/>
        </w:rPr>
        <w:tab/>
      </w:r>
      <w:r>
        <w:rPr>
          <w:rFonts w:ascii="Arial" w:cs="Arial" w:eastAsia="Arial" w:hAnsi="Arial"/>
          <w:sz w:val="17"/>
          <w:szCs w:val="17"/>
          <w:b w:val="1"/>
          <w:bCs w:val="1"/>
          <w:i w:val="1"/>
          <w:iCs w:val="1"/>
          <w:color w:val="auto"/>
        </w:rPr>
        <w:t>MINE SAFETY DISCLOSURES</w:t>
      </w:r>
    </w:p>
    <w:p>
      <w:pPr>
        <w:spacing w:after="0" w:line="148" w:lineRule="exact"/>
        <w:rPr>
          <w:sz w:val="20"/>
          <w:szCs w:val="20"/>
          <w:color w:val="auto"/>
        </w:rPr>
      </w:pPr>
    </w:p>
    <w:p>
      <w:pPr>
        <w:ind w:left="440"/>
        <w:spacing w:after="0"/>
        <w:rPr>
          <w:sz w:val="20"/>
          <w:szCs w:val="20"/>
          <w:color w:val="auto"/>
        </w:rPr>
      </w:pPr>
      <w:r>
        <w:rPr>
          <w:rFonts w:ascii="Arial" w:cs="Arial" w:eastAsia="Arial" w:hAnsi="Arial"/>
          <w:sz w:val="18"/>
          <w:szCs w:val="18"/>
          <w:color w:val="auto"/>
        </w:rPr>
        <w:t>Not applicable.</w:t>
      </w:r>
    </w:p>
    <w:p>
      <w:pPr>
        <w:spacing w:after="0" w:line="383" w:lineRule="exact"/>
        <w:rPr>
          <w:sz w:val="20"/>
          <w:szCs w:val="20"/>
          <w:color w:val="auto"/>
        </w:rPr>
      </w:pPr>
    </w:p>
    <w:p>
      <w:pPr>
        <w:ind w:left="40"/>
        <w:spacing w:after="0"/>
        <w:tabs>
          <w:tab w:leader="none" w:pos="1280" w:val="left"/>
        </w:tabs>
        <w:rPr>
          <w:sz w:val="20"/>
          <w:szCs w:val="20"/>
          <w:color w:val="auto"/>
        </w:rPr>
      </w:pPr>
      <w:r>
        <w:rPr>
          <w:rFonts w:ascii="Arial" w:cs="Arial" w:eastAsia="Arial" w:hAnsi="Arial"/>
          <w:sz w:val="18"/>
          <w:szCs w:val="18"/>
          <w:b w:val="1"/>
          <w:bCs w:val="1"/>
          <w:color w:val="auto"/>
        </w:rPr>
        <w:t>ITEM 5.</w:t>
      </w:r>
      <w:r>
        <w:rPr>
          <w:sz w:val="20"/>
          <w:szCs w:val="20"/>
          <w:color w:val="auto"/>
        </w:rPr>
        <w:tab/>
      </w:r>
      <w:r>
        <w:rPr>
          <w:rFonts w:ascii="Arial" w:cs="Arial" w:eastAsia="Arial" w:hAnsi="Arial"/>
          <w:sz w:val="17"/>
          <w:szCs w:val="17"/>
          <w:b w:val="1"/>
          <w:bCs w:val="1"/>
          <w:i w:val="1"/>
          <w:iCs w:val="1"/>
          <w:color w:val="auto"/>
        </w:rPr>
        <w:t>OTHER INFORMATION</w:t>
      </w:r>
    </w:p>
    <w:p>
      <w:pPr>
        <w:spacing w:after="0" w:line="148" w:lineRule="exact"/>
        <w:rPr>
          <w:sz w:val="20"/>
          <w:szCs w:val="20"/>
          <w:color w:val="auto"/>
        </w:rPr>
      </w:pPr>
    </w:p>
    <w:p>
      <w:pPr>
        <w:spacing w:after="0"/>
        <w:rPr>
          <w:sz w:val="20"/>
          <w:szCs w:val="20"/>
          <w:color w:val="auto"/>
        </w:rPr>
      </w:pPr>
      <w:r>
        <w:rPr>
          <w:rFonts w:ascii="Arial" w:cs="Arial" w:eastAsia="Arial" w:hAnsi="Arial"/>
          <w:sz w:val="18"/>
          <w:szCs w:val="18"/>
          <w:color w:val="auto"/>
        </w:rPr>
        <w:t>Entry into Amended and Restated Employment Agreement with Dale E. Messick.</w:t>
      </w:r>
    </w:p>
    <w:p>
      <w:pPr>
        <w:spacing w:after="0" w:line="117" w:lineRule="exact"/>
        <w:rPr>
          <w:sz w:val="20"/>
          <w:szCs w:val="20"/>
          <w:color w:val="auto"/>
        </w:rPr>
      </w:pPr>
    </w:p>
    <w:p>
      <w:pPr>
        <w:jc w:val="both"/>
        <w:ind w:right="140" w:firstLine="648"/>
        <w:spacing w:after="0" w:line="264" w:lineRule="auto"/>
        <w:rPr>
          <w:sz w:val="20"/>
          <w:szCs w:val="20"/>
          <w:color w:val="auto"/>
        </w:rPr>
      </w:pPr>
      <w:r>
        <w:rPr>
          <w:rFonts w:ascii="Arial" w:cs="Arial" w:eastAsia="Arial" w:hAnsi="Arial"/>
          <w:sz w:val="18"/>
          <w:szCs w:val="18"/>
          <w:color w:val="auto"/>
        </w:rPr>
        <w:t>On July 31, 2018, we entered into an amended and restated employment agreement with Dale E. Messick. Pursuant to the employment agreement, Mr. Messick will be employed by us on an "at-will" basis, meaning either party may terminate the agreement at any time, with or without cause or advanced notice.</w:t>
      </w:r>
    </w:p>
    <w:p>
      <w:pPr>
        <w:spacing w:after="0" w:line="73" w:lineRule="exact"/>
        <w:rPr>
          <w:sz w:val="20"/>
          <w:szCs w:val="20"/>
          <w:color w:val="auto"/>
        </w:rPr>
      </w:pPr>
    </w:p>
    <w:p>
      <w:pPr>
        <w:ind w:right="160" w:firstLine="648"/>
        <w:spacing w:after="0" w:line="259" w:lineRule="auto"/>
        <w:rPr>
          <w:sz w:val="20"/>
          <w:szCs w:val="20"/>
          <w:color w:val="auto"/>
        </w:rPr>
      </w:pPr>
      <w:r>
        <w:rPr>
          <w:rFonts w:ascii="Arial" w:cs="Arial" w:eastAsia="Arial" w:hAnsi="Arial"/>
          <w:sz w:val="18"/>
          <w:szCs w:val="18"/>
          <w:color w:val="auto"/>
        </w:rPr>
        <w:t>Pursuant to the employment agreement, effective as of May 1, 2018, Mr. Messick's initial base salary is $255,000 per year, subject to review and adjustment from time to time in the discretion of our board of directors (the "Board"). Mr. Messick is eligible to earn an annual performance cash bonus at a target amount of 40% of his then current base salary, and up to 80% of his then current base salary, subject to his achievement of individual and corporate performance goals to be determined by our chief executive officer and the Board.</w:t>
      </w:r>
    </w:p>
    <w:p>
      <w:pPr>
        <w:spacing w:after="0" w:line="79" w:lineRule="exact"/>
        <w:rPr>
          <w:sz w:val="20"/>
          <w:szCs w:val="20"/>
          <w:color w:val="auto"/>
        </w:rPr>
      </w:pPr>
    </w:p>
    <w:p>
      <w:pPr>
        <w:ind w:firstLine="648"/>
        <w:spacing w:after="0" w:line="264" w:lineRule="auto"/>
        <w:rPr>
          <w:sz w:val="20"/>
          <w:szCs w:val="20"/>
          <w:color w:val="auto"/>
        </w:rPr>
      </w:pPr>
      <w:r>
        <w:rPr>
          <w:rFonts w:ascii="Arial" w:cs="Arial" w:eastAsia="Arial" w:hAnsi="Arial"/>
          <w:sz w:val="18"/>
          <w:szCs w:val="18"/>
          <w:color w:val="auto"/>
        </w:rPr>
        <w:t>In the event that Mr. Messick's employment is terminated by us "without cause" or by Mr. Messick for "good reason" (each as defined in his employment agreement), subject to Mr. Messick's entering into and not revoking a separation agreement that includes, among other terms, a general release of claims in our favor, in a form acceptable to us, Mr. Messick will be entitled to receive:</w:t>
      </w:r>
    </w:p>
    <w:p>
      <w:pPr>
        <w:spacing w:after="0" w:line="73" w:lineRule="exact"/>
        <w:rPr>
          <w:sz w:val="20"/>
          <w:szCs w:val="20"/>
          <w:color w:val="auto"/>
        </w:rPr>
      </w:pPr>
    </w:p>
    <w:p>
      <w:pPr>
        <w:ind w:left="660" w:hanging="328"/>
        <w:spacing w:after="0"/>
        <w:tabs>
          <w:tab w:leader="none" w:pos="660" w:val="left"/>
        </w:tabs>
        <w:numPr>
          <w:ilvl w:val="0"/>
          <w:numId w:val="25"/>
        </w:numPr>
        <w:rPr>
          <w:rFonts w:ascii="Arial" w:cs="Arial" w:eastAsia="Arial" w:hAnsi="Arial"/>
          <w:sz w:val="18"/>
          <w:szCs w:val="18"/>
          <w:color w:val="auto"/>
        </w:rPr>
      </w:pPr>
      <w:r>
        <w:rPr>
          <w:rFonts w:ascii="Arial" w:cs="Arial" w:eastAsia="Arial" w:hAnsi="Arial"/>
          <w:sz w:val="18"/>
          <w:szCs w:val="18"/>
          <w:color w:val="auto"/>
        </w:rPr>
        <w:t>severance payments equal to his then applicable base salary for a period of 9 months paid in installments on our regular payroll dates;</w:t>
      </w:r>
    </w:p>
    <w:p>
      <w:pPr>
        <w:spacing w:after="0" w:line="117" w:lineRule="exact"/>
        <w:rPr>
          <w:rFonts w:ascii="Arial" w:cs="Arial" w:eastAsia="Arial" w:hAnsi="Arial"/>
          <w:sz w:val="18"/>
          <w:szCs w:val="18"/>
          <w:color w:val="auto"/>
        </w:rPr>
      </w:pPr>
    </w:p>
    <w:p>
      <w:pPr>
        <w:ind w:left="660" w:right="20" w:hanging="328"/>
        <w:spacing w:after="0" w:line="297" w:lineRule="auto"/>
        <w:tabs>
          <w:tab w:leader="none" w:pos="660" w:val="left"/>
        </w:tabs>
        <w:numPr>
          <w:ilvl w:val="0"/>
          <w:numId w:val="25"/>
        </w:numPr>
        <w:rPr>
          <w:rFonts w:ascii="Arial" w:cs="Arial" w:eastAsia="Arial" w:hAnsi="Arial"/>
          <w:sz w:val="16"/>
          <w:szCs w:val="16"/>
          <w:color w:val="auto"/>
        </w:rPr>
      </w:pPr>
      <w:r>
        <w:rPr>
          <w:rFonts w:ascii="Arial" w:cs="Arial" w:eastAsia="Arial" w:hAnsi="Arial"/>
          <w:sz w:val="16"/>
          <w:szCs w:val="16"/>
          <w:color w:val="auto"/>
        </w:rPr>
        <w:t>a discretionary lump sum bonus payment equal to the target bonus that he would have been eligible to receive for the year in which the termination occurs, which will be paid when we otherwise pay annual bonuses, so long as that date is no later than March 15th the following year in which the termination occurs; provided, however, if the termination occurs within three months prior to or 12 months following a "change in control" transaction (as defined in the employment agreement), then Mr. Messick will be entitled to receive a discretionary lump sum bonus payment equal to the maximum target bonus that he would have been eligible to receive for the year in which the termination occurs;</w:t>
      </w:r>
    </w:p>
    <w:p>
      <w:pPr>
        <w:spacing w:after="0" w:line="50" w:lineRule="exact"/>
        <w:rPr>
          <w:rFonts w:ascii="Arial" w:cs="Arial" w:eastAsia="Arial" w:hAnsi="Arial"/>
          <w:sz w:val="16"/>
          <w:szCs w:val="16"/>
          <w:color w:val="auto"/>
        </w:rPr>
      </w:pPr>
    </w:p>
    <w:p>
      <w:pPr>
        <w:ind w:left="660" w:right="120" w:hanging="328"/>
        <w:spacing w:after="0" w:line="259" w:lineRule="auto"/>
        <w:tabs>
          <w:tab w:leader="none" w:pos="660" w:val="left"/>
        </w:tabs>
        <w:numPr>
          <w:ilvl w:val="0"/>
          <w:numId w:val="25"/>
        </w:numPr>
        <w:rPr>
          <w:rFonts w:ascii="Arial" w:cs="Arial" w:eastAsia="Arial" w:hAnsi="Arial"/>
          <w:sz w:val="18"/>
          <w:szCs w:val="18"/>
          <w:color w:val="auto"/>
        </w:rPr>
      </w:pPr>
      <w:r>
        <w:rPr>
          <w:rFonts w:ascii="Arial" w:cs="Arial" w:eastAsia="Arial" w:hAnsi="Arial"/>
          <w:sz w:val="18"/>
          <w:szCs w:val="18"/>
          <w:color w:val="auto"/>
        </w:rPr>
        <w:t>if he timely elects and remains eligible for continued coverage under COBRA, the health insurance premiums that we were paying on behalf of Mr. Messick and his covered dependents prior to the date of termination, until the earliest of (i) 12 months following termination, (ii) the date Mr. Messick becomes eligible for substantially equivalent insurance in connection with new employment or self-employment, or (iii) the date Mr. Messick ceases to be eligible for COBRA continuation coverage; and</w:t>
      </w:r>
    </w:p>
    <w:p>
      <w:pPr>
        <w:spacing w:after="0" w:line="78" w:lineRule="exact"/>
        <w:rPr>
          <w:rFonts w:ascii="Arial" w:cs="Arial" w:eastAsia="Arial" w:hAnsi="Arial"/>
          <w:sz w:val="18"/>
          <w:szCs w:val="18"/>
          <w:color w:val="auto"/>
        </w:rPr>
      </w:pPr>
    </w:p>
    <w:p>
      <w:pPr>
        <w:ind w:left="660" w:hanging="328"/>
        <w:spacing w:after="0"/>
        <w:tabs>
          <w:tab w:leader="none" w:pos="660" w:val="left"/>
        </w:tabs>
        <w:numPr>
          <w:ilvl w:val="0"/>
          <w:numId w:val="25"/>
        </w:numPr>
        <w:rPr>
          <w:rFonts w:ascii="Arial" w:cs="Arial" w:eastAsia="Arial" w:hAnsi="Arial"/>
          <w:sz w:val="18"/>
          <w:szCs w:val="18"/>
          <w:color w:val="auto"/>
        </w:rPr>
      </w:pPr>
      <w:r>
        <w:rPr>
          <w:rFonts w:ascii="Arial" w:cs="Arial" w:eastAsia="Arial" w:hAnsi="Arial"/>
          <w:sz w:val="18"/>
          <w:szCs w:val="18"/>
          <w:color w:val="auto"/>
        </w:rPr>
        <w:t>a cash payment for any unvested company matching contributions in Mr. Messick's account under our 401(k) plan.</w:t>
      </w:r>
    </w:p>
    <w:p>
      <w:pPr>
        <w:spacing w:after="0" w:line="117" w:lineRule="exact"/>
        <w:rPr>
          <w:sz w:val="20"/>
          <w:szCs w:val="20"/>
          <w:color w:val="auto"/>
        </w:rPr>
      </w:pPr>
    </w:p>
    <w:p>
      <w:pPr>
        <w:ind w:firstLine="648"/>
        <w:spacing w:after="0" w:line="264" w:lineRule="auto"/>
        <w:rPr>
          <w:sz w:val="20"/>
          <w:szCs w:val="20"/>
          <w:color w:val="auto"/>
        </w:rPr>
      </w:pPr>
      <w:r>
        <w:rPr>
          <w:rFonts w:ascii="Arial" w:cs="Arial" w:eastAsia="Arial" w:hAnsi="Arial"/>
          <w:sz w:val="18"/>
          <w:szCs w:val="18"/>
          <w:color w:val="auto"/>
        </w:rPr>
        <w:t>In addition, if Mr. Messick's employment is terminated by us "without cause" or by Mr. Messick for "good reason" within three months prior to or 12 months following a "change of control" transaction, all unvested stock options and other stock awards for our common stock held by Mr. Messick as of immediately prior to the termination date will accelerate in full.</w:t>
      </w:r>
    </w:p>
    <w:p>
      <w:pPr>
        <w:spacing w:after="0" w:line="73" w:lineRule="exact"/>
        <w:rPr>
          <w:sz w:val="20"/>
          <w:szCs w:val="20"/>
          <w:color w:val="auto"/>
        </w:rPr>
      </w:pPr>
    </w:p>
    <w:p>
      <w:pPr>
        <w:ind w:right="260" w:firstLine="648"/>
        <w:spacing w:after="0" w:line="277" w:lineRule="auto"/>
        <w:rPr>
          <w:sz w:val="20"/>
          <w:szCs w:val="20"/>
          <w:color w:val="auto"/>
        </w:rPr>
      </w:pPr>
      <w:r>
        <w:rPr>
          <w:rFonts w:ascii="Arial" w:cs="Arial" w:eastAsia="Arial" w:hAnsi="Arial"/>
          <w:sz w:val="18"/>
          <w:szCs w:val="18"/>
          <w:color w:val="auto"/>
        </w:rPr>
        <w:t>The foregoing description of Mr. Messick's employment agreement is not complete and is qualified in its entirety by reference to the employment agreement, which is filed as an exhibit to this Quarterly Report on Form 10-Q and incorporated herein by reference.</w:t>
      </w:r>
    </w:p>
    <w:p>
      <w:pPr>
        <w:spacing w:after="0" w:line="200" w:lineRule="exact"/>
        <w:rPr>
          <w:sz w:val="20"/>
          <w:szCs w:val="20"/>
          <w:color w:val="auto"/>
        </w:rPr>
      </w:pPr>
    </w:p>
    <w:p>
      <w:pPr>
        <w:spacing w:after="0" w:line="200" w:lineRule="exact"/>
        <w:rPr>
          <w:sz w:val="20"/>
          <w:szCs w:val="20"/>
          <w:color w:val="auto"/>
        </w:rPr>
      </w:pPr>
    </w:p>
    <w:p>
      <w:pPr>
        <w:spacing w:after="0" w:line="253" w:lineRule="exact"/>
        <w:rPr>
          <w:sz w:val="20"/>
          <w:szCs w:val="20"/>
          <w:color w:val="auto"/>
        </w:rPr>
      </w:pPr>
    </w:p>
    <w:p>
      <w:pPr>
        <w:ind w:left="40"/>
        <w:spacing w:after="0"/>
        <w:tabs>
          <w:tab w:leader="none" w:pos="1280" w:val="left"/>
        </w:tabs>
        <w:rPr>
          <w:sz w:val="20"/>
          <w:szCs w:val="20"/>
          <w:color w:val="auto"/>
        </w:rPr>
      </w:pPr>
      <w:r>
        <w:rPr>
          <w:rFonts w:ascii="Arial" w:cs="Arial" w:eastAsia="Arial" w:hAnsi="Arial"/>
          <w:sz w:val="18"/>
          <w:szCs w:val="18"/>
          <w:b w:val="1"/>
          <w:bCs w:val="1"/>
          <w:color w:val="auto"/>
        </w:rPr>
        <w:t>ITEM 6.</w:t>
      </w:r>
      <w:r>
        <w:rPr>
          <w:sz w:val="20"/>
          <w:szCs w:val="20"/>
          <w:color w:val="auto"/>
        </w:rPr>
        <w:tab/>
      </w:r>
      <w:r>
        <w:rPr>
          <w:rFonts w:ascii="Arial" w:cs="Arial" w:eastAsia="Arial" w:hAnsi="Arial"/>
          <w:sz w:val="18"/>
          <w:szCs w:val="18"/>
          <w:b w:val="1"/>
          <w:bCs w:val="1"/>
          <w:i w:val="1"/>
          <w:iCs w:val="1"/>
          <w:color w:val="auto"/>
        </w:rPr>
        <w:t>EXHIBITS</w:t>
      </w:r>
    </w:p>
    <w:p>
      <w:pPr>
        <w:spacing w:after="0" w:line="200" w:lineRule="exact"/>
        <w:rPr>
          <w:sz w:val="20"/>
          <w:szCs w:val="20"/>
          <w:color w:val="auto"/>
        </w:rPr>
      </w:pPr>
    </w:p>
    <w:p>
      <w:pPr>
        <w:spacing w:after="0" w:line="200" w:lineRule="exact"/>
        <w:rPr>
          <w:sz w:val="20"/>
          <w:szCs w:val="20"/>
          <w:color w:val="auto"/>
        </w:rPr>
      </w:pPr>
    </w:p>
    <w:p>
      <w:pPr>
        <w:spacing w:after="0" w:line="20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52</w:t>
      </w:r>
    </w:p>
    <w:p>
      <w:pPr>
        <w:sectPr>
          <w:pgSz w:w="11900" w:h="16838" w:orient="portrait"/>
          <w:cols w:equalWidth="0" w:num="1">
            <w:col w:w="11400"/>
          </w:cols>
          <w:pgMar w:left="240" w:top="118" w:right="259" w:bottom="1440" w:gutter="0" w:footer="0" w:header="0"/>
        </w:sectPr>
      </w:pPr>
    </w:p>
    <w:bookmarkStart w:id="52" w:name="page53"/>
    <w:bookmarkEnd w:id="52"/>
    <w:tbl>
      <w:tblPr>
        <w:tblLayout w:type="fixed"/>
        <w:tblInd w:w="0" w:type="dxa"/>
        <w:tblCellMar>
          <w:top w:w="0" w:type="dxa"/>
          <w:left w:w="0" w:type="dxa"/>
          <w:bottom w:w="0" w:type="dxa"/>
          <w:right w:w="0" w:type="dxa"/>
        </w:tblCellMar>
      </w:tblPr>
      <w:tr>
        <w:trPr>
          <w:trHeight w:val="161"/>
        </w:trPr>
        <w:tc>
          <w:tcPr>
            <w:tcW w:w="1100" w:type="dxa"/>
            <w:vAlign w:val="bottom"/>
            <w:tcBorders>
              <w:bottom w:val="single" w:sz="8" w:color="0000EE"/>
            </w:tcBorders>
            <w:gridSpan w:val="3"/>
          </w:tcPr>
          <w:p>
            <w:pPr>
              <w:spacing w:after="0"/>
              <w:rPr>
                <w:rFonts w:ascii="Arial" w:cs="Arial" w:eastAsia="Arial" w:hAnsi="Arial"/>
                <w:sz w:val="14"/>
                <w:szCs w:val="14"/>
                <w:b w:val="1"/>
                <w:bCs w:val="1"/>
                <w:color w:val="0000EE"/>
                <w:w w:val="91"/>
              </w:rPr>
            </w:pPr>
            <w:hyperlink w:anchor="page2">
              <w:r>
                <w:rPr>
                  <w:rFonts w:ascii="Arial" w:cs="Arial" w:eastAsia="Arial" w:hAnsi="Arial"/>
                  <w:sz w:val="14"/>
                  <w:szCs w:val="14"/>
                  <w:b w:val="1"/>
                  <w:bCs w:val="1"/>
                  <w:color w:val="0000EE"/>
                  <w:w w:val="91"/>
                </w:rPr>
                <w:t>Table of Contents</w:t>
              </w:r>
            </w:hyperlink>
          </w:p>
        </w:tc>
        <w:tc>
          <w:tcPr>
            <w:tcW w:w="32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4020" w:type="dxa"/>
            <w:vAlign w:val="bottom"/>
          </w:tcPr>
          <w:p>
            <w:pPr>
              <w:spacing w:after="0"/>
              <w:rPr>
                <w:sz w:val="14"/>
                <w:szCs w:val="14"/>
                <w:color w:val="auto"/>
              </w:rPr>
            </w:pPr>
          </w:p>
        </w:tc>
        <w:tc>
          <w:tcPr>
            <w:tcW w:w="430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538"/>
        </w:trPr>
        <w:tc>
          <w:tcPr>
            <w:tcW w:w="160" w:type="dxa"/>
            <w:vAlign w:val="bottom"/>
          </w:tcPr>
          <w:p>
            <w:pPr>
              <w:spacing w:after="0"/>
              <w:rPr>
                <w:sz w:val="24"/>
                <w:szCs w:val="24"/>
                <w:color w:val="auto"/>
              </w:rPr>
            </w:pPr>
          </w:p>
        </w:tc>
        <w:tc>
          <w:tcPr>
            <w:tcW w:w="1260" w:type="dxa"/>
            <w:vAlign w:val="bottom"/>
            <w:gridSpan w:val="3"/>
          </w:tcPr>
          <w:p>
            <w:pPr>
              <w:jc w:val="center"/>
              <w:ind w:right="760"/>
              <w:spacing w:after="0"/>
              <w:rPr>
                <w:sz w:val="20"/>
                <w:szCs w:val="20"/>
                <w:color w:val="auto"/>
              </w:rPr>
            </w:pPr>
            <w:r>
              <w:rPr>
                <w:rFonts w:ascii="Arial" w:cs="Arial" w:eastAsia="Arial" w:hAnsi="Arial"/>
                <w:sz w:val="14"/>
                <w:szCs w:val="14"/>
                <w:b w:val="1"/>
                <w:bCs w:val="1"/>
                <w:color w:val="auto"/>
                <w:w w:val="98"/>
              </w:rPr>
              <w:t>Exhibit</w:t>
            </w:r>
          </w:p>
        </w:tc>
        <w:tc>
          <w:tcPr>
            <w:tcW w:w="900" w:type="dxa"/>
            <w:vAlign w:val="bottom"/>
          </w:tcPr>
          <w:p>
            <w:pPr>
              <w:spacing w:after="0"/>
              <w:rPr>
                <w:sz w:val="24"/>
                <w:szCs w:val="24"/>
                <w:color w:val="auto"/>
              </w:rPr>
            </w:pPr>
          </w:p>
        </w:tc>
        <w:tc>
          <w:tcPr>
            <w:tcW w:w="9080" w:type="dxa"/>
            <w:vAlign w:val="bottom"/>
            <w:gridSpan w:val="5"/>
            <w:vMerge w:val="restart"/>
          </w:tcPr>
          <w:p>
            <w:pPr>
              <w:ind w:left="3720"/>
              <w:spacing w:after="0"/>
              <w:rPr>
                <w:sz w:val="20"/>
                <w:szCs w:val="20"/>
                <w:color w:val="auto"/>
              </w:rPr>
            </w:pPr>
            <w:r>
              <w:rPr>
                <w:rFonts w:ascii="Arial" w:cs="Arial" w:eastAsia="Arial" w:hAnsi="Arial"/>
                <w:sz w:val="14"/>
                <w:szCs w:val="14"/>
                <w:b w:val="1"/>
                <w:bCs w:val="1"/>
                <w:color w:val="auto"/>
              </w:rPr>
              <w:t>Description</w:t>
            </w:r>
          </w:p>
        </w:tc>
        <w:tc>
          <w:tcPr>
            <w:tcW w:w="0" w:type="dxa"/>
            <w:vAlign w:val="bottom"/>
          </w:tcPr>
          <w:p>
            <w:pPr>
              <w:spacing w:after="0"/>
              <w:rPr>
                <w:sz w:val="1"/>
                <w:szCs w:val="1"/>
                <w:color w:val="auto"/>
              </w:rPr>
            </w:pPr>
          </w:p>
        </w:tc>
      </w:tr>
      <w:tr>
        <w:trPr>
          <w:trHeight w:val="158"/>
        </w:trPr>
        <w:tc>
          <w:tcPr>
            <w:tcW w:w="160" w:type="dxa"/>
            <w:vAlign w:val="bottom"/>
          </w:tcPr>
          <w:p>
            <w:pPr>
              <w:spacing w:after="0"/>
              <w:rPr>
                <w:sz w:val="13"/>
                <w:szCs w:val="13"/>
                <w:color w:val="auto"/>
              </w:rPr>
            </w:pPr>
          </w:p>
        </w:tc>
        <w:tc>
          <w:tcPr>
            <w:tcW w:w="1260" w:type="dxa"/>
            <w:vAlign w:val="bottom"/>
            <w:gridSpan w:val="3"/>
          </w:tcPr>
          <w:p>
            <w:pPr>
              <w:jc w:val="center"/>
              <w:ind w:right="760"/>
              <w:spacing w:after="0" w:line="158" w:lineRule="exact"/>
              <w:rPr>
                <w:sz w:val="20"/>
                <w:szCs w:val="20"/>
                <w:color w:val="auto"/>
              </w:rPr>
            </w:pPr>
            <w:r>
              <w:rPr>
                <w:rFonts w:ascii="Arial" w:cs="Arial" w:eastAsia="Arial" w:hAnsi="Arial"/>
                <w:sz w:val="14"/>
                <w:szCs w:val="14"/>
                <w:b w:val="1"/>
                <w:bCs w:val="1"/>
                <w:color w:val="auto"/>
                <w:w w:val="94"/>
              </w:rPr>
              <w:t>Number</w:t>
            </w:r>
          </w:p>
        </w:tc>
        <w:tc>
          <w:tcPr>
            <w:tcW w:w="900" w:type="dxa"/>
            <w:vAlign w:val="bottom"/>
          </w:tcPr>
          <w:p>
            <w:pPr>
              <w:spacing w:after="0"/>
              <w:rPr>
                <w:sz w:val="13"/>
                <w:szCs w:val="13"/>
                <w:color w:val="auto"/>
              </w:rPr>
            </w:pPr>
          </w:p>
        </w:tc>
        <w:tc>
          <w:tcPr>
            <w:tcW w:w="9080" w:type="dxa"/>
            <w:vAlign w:val="bottom"/>
            <w:gridSpan w:val="5"/>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20"/>
        </w:trPr>
        <w:tc>
          <w:tcPr>
            <w:tcW w:w="160" w:type="dxa"/>
            <w:vAlign w:val="bottom"/>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900" w:type="dxa"/>
            <w:vAlign w:val="bottom"/>
          </w:tcPr>
          <w:p>
            <w:pPr>
              <w:spacing w:after="0" w:line="20" w:lineRule="exact"/>
              <w:rPr>
                <w:sz w:val="1"/>
                <w:szCs w:val="1"/>
                <w:color w:val="auto"/>
              </w:rPr>
            </w:pPr>
          </w:p>
        </w:tc>
        <w:tc>
          <w:tcPr>
            <w:tcW w:w="4020" w:type="dxa"/>
            <w:vAlign w:val="bottom"/>
          </w:tcPr>
          <w:p>
            <w:pPr>
              <w:spacing w:after="0" w:line="20" w:lineRule="exact"/>
              <w:rPr>
                <w:sz w:val="1"/>
                <w:szCs w:val="1"/>
                <w:color w:val="auto"/>
              </w:rPr>
            </w:pPr>
          </w:p>
        </w:tc>
        <w:tc>
          <w:tcPr>
            <w:tcW w:w="4300" w:type="dxa"/>
            <w:vAlign w:val="bottom"/>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3"/>
        </w:trPr>
        <w:tc>
          <w:tcPr>
            <w:tcW w:w="660" w:type="dxa"/>
            <w:vAlign w:val="bottom"/>
            <w:gridSpan w:val="2"/>
          </w:tcPr>
          <w:p>
            <w:pPr>
              <w:ind w:left="40"/>
              <w:spacing w:after="0"/>
              <w:rPr>
                <w:sz w:val="20"/>
                <w:szCs w:val="20"/>
                <w:color w:val="auto"/>
              </w:rPr>
            </w:pPr>
            <w:r>
              <w:rPr>
                <w:rFonts w:ascii="Arial" w:cs="Arial" w:eastAsia="Arial" w:hAnsi="Arial"/>
                <w:sz w:val="18"/>
                <w:szCs w:val="18"/>
                <w:color w:val="auto"/>
              </w:rPr>
              <w:t>10.1+</w:t>
            </w:r>
          </w:p>
        </w:tc>
        <w:tc>
          <w:tcPr>
            <w:tcW w:w="44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9980" w:type="dxa"/>
            <w:vAlign w:val="bottom"/>
            <w:gridSpan w:val="6"/>
          </w:tcPr>
          <w:p>
            <w:pPr>
              <w:spacing w:after="0"/>
              <w:rPr>
                <w:rFonts w:ascii="Arial" w:cs="Arial" w:eastAsia="Arial" w:hAnsi="Arial"/>
                <w:sz w:val="18"/>
                <w:szCs w:val="18"/>
                <w:color w:val="0000FF"/>
                <w:w w:val="97"/>
              </w:rPr>
            </w:pPr>
            <w:hyperlink w:anchor="page55">
              <w:r>
                <w:rPr>
                  <w:rFonts w:ascii="Arial" w:cs="Arial" w:eastAsia="Arial" w:hAnsi="Arial"/>
                  <w:sz w:val="18"/>
                  <w:szCs w:val="18"/>
                  <w:color w:val="0000FF"/>
                  <w:w w:val="97"/>
                </w:rPr>
                <w:t>Amended and Restated Employment Agreement, by and between the Registrant and Dale E. Messick, dated as of July 31, 2018.</w:t>
              </w:r>
            </w:hyperlink>
          </w:p>
        </w:tc>
        <w:tc>
          <w:tcPr>
            <w:tcW w:w="0" w:type="dxa"/>
            <w:vAlign w:val="bottom"/>
          </w:tcPr>
          <w:p>
            <w:pPr>
              <w:spacing w:after="0"/>
              <w:rPr>
                <w:sz w:val="1"/>
                <w:szCs w:val="1"/>
                <w:color w:val="auto"/>
              </w:rPr>
            </w:pPr>
          </w:p>
        </w:tc>
      </w:tr>
      <w:tr>
        <w:trPr>
          <w:trHeight w:val="20"/>
        </w:trPr>
        <w:tc>
          <w:tcPr>
            <w:tcW w:w="660" w:type="dxa"/>
            <w:vAlign w:val="bottom"/>
            <w:gridSpan w:val="2"/>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900" w:type="dxa"/>
            <w:vAlign w:val="bottom"/>
            <w:shd w:val="clear" w:color="auto" w:fill="0000FF"/>
          </w:tcPr>
          <w:p>
            <w:pPr>
              <w:spacing w:after="0" w:line="20" w:lineRule="exact"/>
              <w:rPr>
                <w:sz w:val="1"/>
                <w:szCs w:val="1"/>
                <w:color w:val="auto"/>
              </w:rPr>
            </w:pPr>
          </w:p>
        </w:tc>
        <w:tc>
          <w:tcPr>
            <w:tcW w:w="4020" w:type="dxa"/>
            <w:vAlign w:val="bottom"/>
            <w:shd w:val="clear" w:color="auto" w:fill="0000FF"/>
          </w:tcPr>
          <w:p>
            <w:pPr>
              <w:spacing w:after="0" w:line="20" w:lineRule="exact"/>
              <w:rPr>
                <w:sz w:val="1"/>
                <w:szCs w:val="1"/>
                <w:color w:val="auto"/>
              </w:rPr>
            </w:pPr>
          </w:p>
        </w:tc>
        <w:tc>
          <w:tcPr>
            <w:tcW w:w="4300" w:type="dxa"/>
            <w:vAlign w:val="bottom"/>
            <w:shd w:val="clear" w:color="auto" w:fill="0000FF"/>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72"/>
        </w:trPr>
        <w:tc>
          <w:tcPr>
            <w:tcW w:w="660" w:type="dxa"/>
            <w:vAlign w:val="bottom"/>
            <w:gridSpan w:val="2"/>
          </w:tcPr>
          <w:p>
            <w:pPr>
              <w:ind w:left="40"/>
              <w:spacing w:after="0"/>
              <w:rPr>
                <w:sz w:val="20"/>
                <w:szCs w:val="20"/>
                <w:color w:val="auto"/>
              </w:rPr>
            </w:pPr>
            <w:r>
              <w:rPr>
                <w:rFonts w:ascii="Arial" w:cs="Arial" w:eastAsia="Arial" w:hAnsi="Arial"/>
                <w:sz w:val="18"/>
                <w:szCs w:val="18"/>
                <w:color w:val="auto"/>
              </w:rPr>
              <w:t>31.1</w:t>
            </w:r>
          </w:p>
        </w:tc>
        <w:tc>
          <w:tcPr>
            <w:tcW w:w="44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9980" w:type="dxa"/>
            <w:vAlign w:val="bottom"/>
            <w:gridSpan w:val="6"/>
          </w:tcPr>
          <w:p>
            <w:pPr>
              <w:spacing w:after="0"/>
              <w:rPr>
                <w:rFonts w:ascii="Arial" w:cs="Arial" w:eastAsia="Arial" w:hAnsi="Arial"/>
                <w:sz w:val="18"/>
                <w:szCs w:val="18"/>
                <w:color w:val="0000FF"/>
                <w:w w:val="91"/>
              </w:rPr>
            </w:pPr>
            <w:hyperlink w:anchor="page68">
              <w:r>
                <w:rPr>
                  <w:rFonts w:ascii="Arial" w:cs="Arial" w:eastAsia="Arial" w:hAnsi="Arial"/>
                  <w:sz w:val="18"/>
                  <w:szCs w:val="18"/>
                  <w:color w:val="0000FF"/>
                  <w:w w:val="91"/>
                </w:rPr>
                <w:t>Certification of the Principal Executive Officer pursuant to Rule 13a-14(a) and Rule 15d-14(a) of the Securities Exchange Act of 1934, as</w:t>
              </w:r>
            </w:hyperlink>
          </w:p>
        </w:tc>
        <w:tc>
          <w:tcPr>
            <w:tcW w:w="0" w:type="dxa"/>
            <w:vAlign w:val="bottom"/>
          </w:tcPr>
          <w:p>
            <w:pPr>
              <w:spacing w:after="0"/>
              <w:rPr>
                <w:sz w:val="1"/>
                <w:szCs w:val="1"/>
                <w:color w:val="auto"/>
              </w:rPr>
            </w:pPr>
          </w:p>
        </w:tc>
      </w:tr>
      <w:tr>
        <w:trPr>
          <w:trHeight w:val="196"/>
        </w:trPr>
        <w:tc>
          <w:tcPr>
            <w:tcW w:w="160" w:type="dxa"/>
            <w:vAlign w:val="bottom"/>
          </w:tcPr>
          <w:p>
            <w:pPr>
              <w:spacing w:after="0"/>
              <w:rPr>
                <w:sz w:val="17"/>
                <w:szCs w:val="17"/>
                <w:color w:val="auto"/>
              </w:rPr>
            </w:pPr>
          </w:p>
        </w:tc>
        <w:tc>
          <w:tcPr>
            <w:tcW w:w="500" w:type="dxa"/>
            <w:vAlign w:val="bottom"/>
          </w:tcPr>
          <w:p>
            <w:pPr>
              <w:spacing w:after="0"/>
              <w:rPr>
                <w:sz w:val="17"/>
                <w:szCs w:val="17"/>
                <w:color w:val="auto"/>
              </w:rPr>
            </w:pPr>
          </w:p>
        </w:tc>
        <w:tc>
          <w:tcPr>
            <w:tcW w:w="44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4920" w:type="dxa"/>
            <w:vAlign w:val="bottom"/>
            <w:tcBorders>
              <w:top w:val="single" w:sz="8" w:color="0000FF"/>
              <w:bottom w:val="single" w:sz="8" w:color="0000FF"/>
            </w:tcBorders>
            <w:gridSpan w:val="2"/>
          </w:tcPr>
          <w:p>
            <w:pPr>
              <w:spacing w:after="0" w:line="196" w:lineRule="exact"/>
              <w:rPr>
                <w:rFonts w:ascii="Arial" w:cs="Arial" w:eastAsia="Arial" w:hAnsi="Arial"/>
                <w:sz w:val="18"/>
                <w:szCs w:val="18"/>
                <w:color w:val="0000FF"/>
                <w:w w:val="89"/>
              </w:rPr>
            </w:pPr>
            <w:hyperlink w:anchor="page68">
              <w:r>
                <w:rPr>
                  <w:rFonts w:ascii="Arial" w:cs="Arial" w:eastAsia="Arial" w:hAnsi="Arial"/>
                  <w:sz w:val="18"/>
                  <w:szCs w:val="18"/>
                  <w:color w:val="0000FF"/>
                  <w:w w:val="89"/>
                </w:rPr>
                <w:t>adopted pursuant to Section 302 of the Sarbanes-Oxley Act of 2002.</w:t>
              </w:r>
            </w:hyperlink>
          </w:p>
        </w:tc>
        <w:tc>
          <w:tcPr>
            <w:tcW w:w="5000" w:type="dxa"/>
            <w:vAlign w:val="bottom"/>
            <w:tcBorders>
              <w:top w:val="single" w:sz="8" w:color="0000FF"/>
            </w:tcBorders>
            <w:gridSpan w:val="3"/>
          </w:tcPr>
          <w:p>
            <w:pPr>
              <w:spacing w:after="0"/>
              <w:rPr>
                <w:sz w:val="17"/>
                <w:szCs w:val="17"/>
                <w:color w:val="auto"/>
              </w:rPr>
            </w:pPr>
          </w:p>
        </w:tc>
        <w:tc>
          <w:tcPr>
            <w:tcW w:w="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372"/>
        </w:trPr>
        <w:tc>
          <w:tcPr>
            <w:tcW w:w="660" w:type="dxa"/>
            <w:vAlign w:val="bottom"/>
            <w:gridSpan w:val="2"/>
          </w:tcPr>
          <w:p>
            <w:pPr>
              <w:ind w:left="40"/>
              <w:spacing w:after="0"/>
              <w:rPr>
                <w:sz w:val="20"/>
                <w:szCs w:val="20"/>
                <w:color w:val="auto"/>
              </w:rPr>
            </w:pPr>
            <w:r>
              <w:rPr>
                <w:rFonts w:ascii="Arial" w:cs="Arial" w:eastAsia="Arial" w:hAnsi="Arial"/>
                <w:sz w:val="18"/>
                <w:szCs w:val="18"/>
                <w:color w:val="auto"/>
              </w:rPr>
              <w:t>31.2</w:t>
            </w:r>
          </w:p>
        </w:tc>
        <w:tc>
          <w:tcPr>
            <w:tcW w:w="44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9880" w:type="dxa"/>
            <w:vAlign w:val="bottom"/>
            <w:tcBorders>
              <w:bottom w:val="single" w:sz="8" w:color="0000FF"/>
            </w:tcBorders>
            <w:gridSpan w:val="4"/>
          </w:tcPr>
          <w:p>
            <w:pPr>
              <w:spacing w:after="0"/>
              <w:rPr>
                <w:rFonts w:ascii="Arial" w:cs="Arial" w:eastAsia="Arial" w:hAnsi="Arial"/>
                <w:sz w:val="18"/>
                <w:szCs w:val="18"/>
                <w:color w:val="0000FF"/>
                <w:w w:val="91"/>
              </w:rPr>
            </w:pPr>
            <w:hyperlink w:anchor="page69">
              <w:r>
                <w:rPr>
                  <w:rFonts w:ascii="Arial" w:cs="Arial" w:eastAsia="Arial" w:hAnsi="Arial"/>
                  <w:sz w:val="18"/>
                  <w:szCs w:val="18"/>
                  <w:color w:val="0000FF"/>
                  <w:w w:val="91"/>
                </w:rPr>
                <w:t>Certification of the Principal Financial Officer pursuant to Rule 13a-14(a) and Rule 15d-14(a) of the Securities Exchange Act of 1934, as</w:t>
              </w:r>
            </w:hyperlink>
          </w:p>
        </w:tc>
        <w:tc>
          <w:tcPr>
            <w:tcW w:w="100" w:type="dxa"/>
            <w:vAlign w:val="bottom"/>
            <w:gridSpan w:val="2"/>
          </w:tcPr>
          <w:p>
            <w:pPr>
              <w:spacing w:after="0"/>
              <w:rPr>
                <w:sz w:val="24"/>
                <w:szCs w:val="24"/>
                <w:color w:val="auto"/>
              </w:rPr>
            </w:pPr>
          </w:p>
        </w:tc>
        <w:tc>
          <w:tcPr>
            <w:tcW w:w="0" w:type="dxa"/>
            <w:vAlign w:val="bottom"/>
          </w:tcPr>
          <w:p>
            <w:pPr>
              <w:spacing w:after="0"/>
              <w:rPr>
                <w:sz w:val="1"/>
                <w:szCs w:val="1"/>
                <w:color w:val="auto"/>
              </w:rPr>
            </w:pPr>
          </w:p>
        </w:tc>
      </w:tr>
      <w:tr>
        <w:trPr>
          <w:trHeight w:val="196"/>
        </w:trPr>
        <w:tc>
          <w:tcPr>
            <w:tcW w:w="160" w:type="dxa"/>
            <w:vAlign w:val="bottom"/>
          </w:tcPr>
          <w:p>
            <w:pPr>
              <w:spacing w:after="0"/>
              <w:rPr>
                <w:sz w:val="17"/>
                <w:szCs w:val="17"/>
                <w:color w:val="auto"/>
              </w:rPr>
            </w:pPr>
          </w:p>
        </w:tc>
        <w:tc>
          <w:tcPr>
            <w:tcW w:w="500" w:type="dxa"/>
            <w:vAlign w:val="bottom"/>
          </w:tcPr>
          <w:p>
            <w:pPr>
              <w:spacing w:after="0"/>
              <w:rPr>
                <w:sz w:val="17"/>
                <w:szCs w:val="17"/>
                <w:color w:val="auto"/>
              </w:rPr>
            </w:pPr>
          </w:p>
        </w:tc>
        <w:tc>
          <w:tcPr>
            <w:tcW w:w="44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4920" w:type="dxa"/>
            <w:vAlign w:val="bottom"/>
            <w:tcBorders>
              <w:bottom w:val="single" w:sz="8" w:color="0000FF"/>
            </w:tcBorders>
            <w:gridSpan w:val="2"/>
          </w:tcPr>
          <w:p>
            <w:pPr>
              <w:spacing w:after="0" w:line="196" w:lineRule="exact"/>
              <w:rPr>
                <w:rFonts w:ascii="Arial" w:cs="Arial" w:eastAsia="Arial" w:hAnsi="Arial"/>
                <w:sz w:val="18"/>
                <w:szCs w:val="18"/>
                <w:color w:val="0000FF"/>
                <w:w w:val="89"/>
              </w:rPr>
            </w:pPr>
            <w:hyperlink w:anchor="page69">
              <w:r>
                <w:rPr>
                  <w:rFonts w:ascii="Arial" w:cs="Arial" w:eastAsia="Arial" w:hAnsi="Arial"/>
                  <w:sz w:val="18"/>
                  <w:szCs w:val="18"/>
                  <w:color w:val="0000FF"/>
                  <w:w w:val="89"/>
                </w:rPr>
                <w:t>adopted pursuant to Section 302 of the Sarbanes-Oxley Act of 2002.</w:t>
              </w:r>
            </w:hyperlink>
          </w:p>
        </w:tc>
        <w:tc>
          <w:tcPr>
            <w:tcW w:w="5060" w:type="dxa"/>
            <w:vAlign w:val="bottom"/>
            <w:gridSpan w:val="4"/>
          </w:tcPr>
          <w:p>
            <w:pPr>
              <w:spacing w:after="0"/>
              <w:rPr>
                <w:sz w:val="17"/>
                <w:szCs w:val="17"/>
                <w:color w:val="auto"/>
              </w:rPr>
            </w:pPr>
          </w:p>
        </w:tc>
        <w:tc>
          <w:tcPr>
            <w:tcW w:w="0" w:type="dxa"/>
            <w:vAlign w:val="bottom"/>
          </w:tcPr>
          <w:p>
            <w:pPr>
              <w:spacing w:after="0"/>
              <w:rPr>
                <w:sz w:val="1"/>
                <w:szCs w:val="1"/>
                <w:color w:val="auto"/>
              </w:rPr>
            </w:pPr>
          </w:p>
        </w:tc>
      </w:tr>
      <w:tr>
        <w:trPr>
          <w:trHeight w:val="372"/>
        </w:trPr>
        <w:tc>
          <w:tcPr>
            <w:tcW w:w="660" w:type="dxa"/>
            <w:vAlign w:val="bottom"/>
            <w:gridSpan w:val="2"/>
          </w:tcPr>
          <w:p>
            <w:pPr>
              <w:ind w:left="40"/>
              <w:spacing w:after="0"/>
              <w:rPr>
                <w:sz w:val="20"/>
                <w:szCs w:val="20"/>
                <w:color w:val="auto"/>
              </w:rPr>
            </w:pPr>
            <w:r>
              <w:rPr>
                <w:rFonts w:ascii="Arial" w:cs="Arial" w:eastAsia="Arial" w:hAnsi="Arial"/>
                <w:sz w:val="18"/>
                <w:szCs w:val="18"/>
                <w:color w:val="auto"/>
              </w:rPr>
              <w:t>32.1*</w:t>
            </w:r>
          </w:p>
        </w:tc>
        <w:tc>
          <w:tcPr>
            <w:tcW w:w="44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9980" w:type="dxa"/>
            <w:vAlign w:val="bottom"/>
            <w:tcBorders>
              <w:bottom w:val="single" w:sz="8" w:color="0000FF"/>
            </w:tcBorders>
            <w:gridSpan w:val="6"/>
          </w:tcPr>
          <w:p>
            <w:pPr>
              <w:spacing w:after="0"/>
              <w:rPr>
                <w:rFonts w:ascii="Arial" w:cs="Arial" w:eastAsia="Arial" w:hAnsi="Arial"/>
                <w:sz w:val="18"/>
                <w:szCs w:val="18"/>
                <w:color w:val="0000FF"/>
                <w:w w:val="90"/>
              </w:rPr>
            </w:pPr>
            <w:hyperlink w:anchor="page70">
              <w:r>
                <w:rPr>
                  <w:rFonts w:ascii="Arial" w:cs="Arial" w:eastAsia="Arial" w:hAnsi="Arial"/>
                  <w:sz w:val="18"/>
                  <w:szCs w:val="18"/>
                  <w:color w:val="0000FF"/>
                  <w:w w:val="90"/>
                </w:rPr>
                <w:t>Certification of Principal Executive Officer pursuant to 18 U.S.C. Section 1350, as adopted pursuant to Section 906 of the Sarbanes-Oxley</w:t>
              </w:r>
            </w:hyperlink>
          </w:p>
        </w:tc>
        <w:tc>
          <w:tcPr>
            <w:tcW w:w="0" w:type="dxa"/>
            <w:vAlign w:val="bottom"/>
          </w:tcPr>
          <w:p>
            <w:pPr>
              <w:spacing w:after="0"/>
              <w:rPr>
                <w:sz w:val="1"/>
                <w:szCs w:val="1"/>
                <w:color w:val="auto"/>
              </w:rPr>
            </w:pPr>
          </w:p>
        </w:tc>
      </w:tr>
      <w:tr>
        <w:trPr>
          <w:trHeight w:val="196"/>
        </w:trPr>
        <w:tc>
          <w:tcPr>
            <w:tcW w:w="160" w:type="dxa"/>
            <w:vAlign w:val="bottom"/>
          </w:tcPr>
          <w:p>
            <w:pPr>
              <w:spacing w:after="0"/>
              <w:rPr>
                <w:sz w:val="17"/>
                <w:szCs w:val="17"/>
                <w:color w:val="auto"/>
              </w:rPr>
            </w:pPr>
          </w:p>
        </w:tc>
        <w:tc>
          <w:tcPr>
            <w:tcW w:w="500" w:type="dxa"/>
            <w:vAlign w:val="bottom"/>
          </w:tcPr>
          <w:p>
            <w:pPr>
              <w:spacing w:after="0"/>
              <w:rPr>
                <w:sz w:val="17"/>
                <w:szCs w:val="17"/>
                <w:color w:val="auto"/>
              </w:rPr>
            </w:pPr>
          </w:p>
        </w:tc>
        <w:tc>
          <w:tcPr>
            <w:tcW w:w="44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900" w:type="dxa"/>
            <w:vAlign w:val="bottom"/>
            <w:tcBorders>
              <w:bottom w:val="single" w:sz="8" w:color="0000FF"/>
            </w:tcBorders>
          </w:tcPr>
          <w:p>
            <w:pPr>
              <w:spacing w:after="0" w:line="196" w:lineRule="exact"/>
              <w:rPr>
                <w:rFonts w:ascii="Arial" w:cs="Arial" w:eastAsia="Arial" w:hAnsi="Arial"/>
                <w:sz w:val="18"/>
                <w:szCs w:val="18"/>
                <w:color w:val="0000FF"/>
                <w:w w:val="91"/>
              </w:rPr>
            </w:pPr>
            <w:hyperlink w:anchor="page70">
              <w:r>
                <w:rPr>
                  <w:rFonts w:ascii="Arial" w:cs="Arial" w:eastAsia="Arial" w:hAnsi="Arial"/>
                  <w:sz w:val="18"/>
                  <w:szCs w:val="18"/>
                  <w:color w:val="0000FF"/>
                  <w:w w:val="91"/>
                </w:rPr>
                <w:t>Act of 2002.</w:t>
              </w:r>
            </w:hyperlink>
          </w:p>
        </w:tc>
        <w:tc>
          <w:tcPr>
            <w:tcW w:w="9080" w:type="dxa"/>
            <w:vAlign w:val="bottom"/>
            <w:gridSpan w:val="5"/>
          </w:tcPr>
          <w:p>
            <w:pPr>
              <w:spacing w:after="0"/>
              <w:rPr>
                <w:sz w:val="17"/>
                <w:szCs w:val="17"/>
                <w:color w:val="auto"/>
              </w:rPr>
            </w:pPr>
          </w:p>
        </w:tc>
        <w:tc>
          <w:tcPr>
            <w:tcW w:w="0" w:type="dxa"/>
            <w:vAlign w:val="bottom"/>
          </w:tcPr>
          <w:p>
            <w:pPr>
              <w:spacing w:after="0"/>
              <w:rPr>
                <w:sz w:val="1"/>
                <w:szCs w:val="1"/>
                <w:color w:val="auto"/>
              </w:rPr>
            </w:pPr>
          </w:p>
        </w:tc>
      </w:tr>
      <w:tr>
        <w:trPr>
          <w:trHeight w:val="372"/>
        </w:trPr>
        <w:tc>
          <w:tcPr>
            <w:tcW w:w="660" w:type="dxa"/>
            <w:vAlign w:val="bottom"/>
            <w:gridSpan w:val="2"/>
          </w:tcPr>
          <w:p>
            <w:pPr>
              <w:ind w:left="40"/>
              <w:spacing w:after="0"/>
              <w:rPr>
                <w:sz w:val="20"/>
                <w:szCs w:val="20"/>
                <w:color w:val="auto"/>
              </w:rPr>
            </w:pPr>
            <w:r>
              <w:rPr>
                <w:rFonts w:ascii="Arial" w:cs="Arial" w:eastAsia="Arial" w:hAnsi="Arial"/>
                <w:sz w:val="18"/>
                <w:szCs w:val="18"/>
                <w:color w:val="auto"/>
              </w:rPr>
              <w:t>32.2*</w:t>
            </w:r>
          </w:p>
        </w:tc>
        <w:tc>
          <w:tcPr>
            <w:tcW w:w="44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9980" w:type="dxa"/>
            <w:vAlign w:val="bottom"/>
            <w:gridSpan w:val="6"/>
          </w:tcPr>
          <w:p>
            <w:pPr>
              <w:spacing w:after="0"/>
              <w:rPr>
                <w:rFonts w:ascii="Arial" w:cs="Arial" w:eastAsia="Arial" w:hAnsi="Arial"/>
                <w:sz w:val="18"/>
                <w:szCs w:val="18"/>
                <w:color w:val="0000FF"/>
                <w:w w:val="91"/>
              </w:rPr>
            </w:pPr>
            <w:hyperlink w:anchor="page71">
              <w:r>
                <w:rPr>
                  <w:rFonts w:ascii="Arial" w:cs="Arial" w:eastAsia="Arial" w:hAnsi="Arial"/>
                  <w:sz w:val="18"/>
                  <w:szCs w:val="18"/>
                  <w:color w:val="0000FF"/>
                  <w:w w:val="91"/>
                </w:rPr>
                <w:t>Certification of Principal Financial Officer pursuant to 18 U.S.C. Section 1350, as adopted pursuant to Section 906 of the Sarbanes-Oxley</w:t>
              </w:r>
            </w:hyperlink>
          </w:p>
        </w:tc>
        <w:tc>
          <w:tcPr>
            <w:tcW w:w="0" w:type="dxa"/>
            <w:vAlign w:val="bottom"/>
          </w:tcPr>
          <w:p>
            <w:pPr>
              <w:spacing w:after="0"/>
              <w:rPr>
                <w:sz w:val="1"/>
                <w:szCs w:val="1"/>
                <w:color w:val="auto"/>
              </w:rPr>
            </w:pPr>
          </w:p>
        </w:tc>
      </w:tr>
      <w:tr>
        <w:trPr>
          <w:trHeight w:val="196"/>
        </w:trPr>
        <w:tc>
          <w:tcPr>
            <w:tcW w:w="160" w:type="dxa"/>
            <w:vAlign w:val="bottom"/>
          </w:tcPr>
          <w:p>
            <w:pPr>
              <w:spacing w:after="0"/>
              <w:rPr>
                <w:sz w:val="17"/>
                <w:szCs w:val="17"/>
                <w:color w:val="auto"/>
              </w:rPr>
            </w:pPr>
          </w:p>
        </w:tc>
        <w:tc>
          <w:tcPr>
            <w:tcW w:w="500" w:type="dxa"/>
            <w:vAlign w:val="bottom"/>
          </w:tcPr>
          <w:p>
            <w:pPr>
              <w:spacing w:after="0"/>
              <w:rPr>
                <w:sz w:val="17"/>
                <w:szCs w:val="17"/>
                <w:color w:val="auto"/>
              </w:rPr>
            </w:pPr>
          </w:p>
        </w:tc>
        <w:tc>
          <w:tcPr>
            <w:tcW w:w="44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900" w:type="dxa"/>
            <w:vAlign w:val="bottom"/>
            <w:tcBorders>
              <w:top w:val="single" w:sz="8" w:color="0000FF"/>
              <w:bottom w:val="single" w:sz="8" w:color="0000FF"/>
            </w:tcBorders>
          </w:tcPr>
          <w:p>
            <w:pPr>
              <w:spacing w:after="0" w:line="196" w:lineRule="exact"/>
              <w:rPr>
                <w:rFonts w:ascii="Arial" w:cs="Arial" w:eastAsia="Arial" w:hAnsi="Arial"/>
                <w:sz w:val="18"/>
                <w:szCs w:val="18"/>
                <w:color w:val="0000FF"/>
                <w:w w:val="91"/>
              </w:rPr>
            </w:pPr>
            <w:hyperlink w:anchor="page71">
              <w:r>
                <w:rPr>
                  <w:rFonts w:ascii="Arial" w:cs="Arial" w:eastAsia="Arial" w:hAnsi="Arial"/>
                  <w:sz w:val="18"/>
                  <w:szCs w:val="18"/>
                  <w:color w:val="0000FF"/>
                  <w:w w:val="91"/>
                </w:rPr>
                <w:t>Act of 2002.</w:t>
              </w:r>
            </w:hyperlink>
          </w:p>
        </w:tc>
        <w:tc>
          <w:tcPr>
            <w:tcW w:w="9020" w:type="dxa"/>
            <w:vAlign w:val="bottom"/>
            <w:tcBorders>
              <w:top w:val="single" w:sz="8" w:color="0000FF"/>
            </w:tcBorders>
            <w:gridSpan w:val="4"/>
          </w:tcPr>
          <w:p>
            <w:pPr>
              <w:spacing w:after="0"/>
              <w:rPr>
                <w:sz w:val="17"/>
                <w:szCs w:val="17"/>
                <w:color w:val="auto"/>
              </w:rPr>
            </w:pPr>
          </w:p>
        </w:tc>
        <w:tc>
          <w:tcPr>
            <w:tcW w:w="60" w:type="dxa"/>
            <w:vAlign w:val="bottom"/>
          </w:tcPr>
          <w:p>
            <w:pPr>
              <w:spacing w:after="0"/>
              <w:rPr>
                <w:sz w:val="17"/>
                <w:szCs w:val="17"/>
                <w:color w:val="auto"/>
              </w:rPr>
            </w:pPr>
          </w:p>
        </w:tc>
        <w:tc>
          <w:tcPr>
            <w:tcW w:w="0" w:type="dxa"/>
            <w:vAlign w:val="bottom"/>
          </w:tcPr>
          <w:p>
            <w:pPr>
              <w:spacing w:after="0"/>
              <w:rPr>
                <w:sz w:val="1"/>
                <w:szCs w:val="1"/>
                <w:color w:val="auto"/>
              </w:rPr>
            </w:pPr>
          </w:p>
        </w:tc>
      </w:tr>
    </w:tbl>
    <w:p>
      <w:pPr>
        <w:spacing w:after="0" w:line="188" w:lineRule="exact"/>
        <w:rPr>
          <w:sz w:val="20"/>
          <w:szCs w:val="20"/>
          <w:color w:val="auto"/>
        </w:rPr>
      </w:pPr>
    </w:p>
    <w:p>
      <w:pPr>
        <w:jc w:val="both"/>
        <w:ind w:left="1420" w:right="200" w:hanging="1385"/>
        <w:spacing w:after="0" w:line="279" w:lineRule="auto"/>
        <w:tabs>
          <w:tab w:leader="none" w:pos="1420" w:val="left"/>
        </w:tabs>
        <w:numPr>
          <w:ilvl w:val="0"/>
          <w:numId w:val="26"/>
        </w:numPr>
        <w:rPr>
          <w:rFonts w:ascii="Arial" w:cs="Arial" w:eastAsia="Arial" w:hAnsi="Arial"/>
          <w:sz w:val="17"/>
          <w:szCs w:val="17"/>
          <w:color w:val="auto"/>
        </w:rPr>
      </w:pPr>
      <w:r>
        <w:rPr>
          <w:rFonts w:ascii="Arial" w:cs="Arial" w:eastAsia="Arial" w:hAnsi="Arial"/>
          <w:sz w:val="17"/>
          <w:szCs w:val="17"/>
          <w:color w:val="auto"/>
        </w:rPr>
        <w:t>The following materials from the Registrant’s Quarterly Report on Form 10-Q for the quarter ended June 30, 2018, formatted in XBRL (eXtensible Business Reporting Language): (i) Consolidated Balance Sheets at June 30, 2018 and December 31, 2017, (ii) Consolidated Statements of Operations for the three months ended June 30, 2018 and 2017, (iii) Consolidated Statements of Cash Flows for the three months ended June 30, 2018 and 2017 and (iv) Notes to Unaudited Consolidated Financial Statements.</w:t>
      </w:r>
    </w:p>
    <w:p>
      <w:pPr>
        <w:spacing w:after="0" w:line="361" w:lineRule="exact"/>
        <w:rPr>
          <w:sz w:val="20"/>
          <w:szCs w:val="20"/>
          <w:color w:val="auto"/>
        </w:rPr>
      </w:pPr>
    </w:p>
    <w:p>
      <w:pPr>
        <w:ind w:left="720" w:hanging="685"/>
        <w:spacing w:after="0"/>
        <w:tabs>
          <w:tab w:leader="none" w:pos="720" w:val="left"/>
        </w:tabs>
        <w:numPr>
          <w:ilvl w:val="0"/>
          <w:numId w:val="27"/>
        </w:numPr>
        <w:rPr>
          <w:rFonts w:ascii="Arial" w:cs="Arial" w:eastAsia="Arial" w:hAnsi="Arial"/>
          <w:sz w:val="18"/>
          <w:szCs w:val="18"/>
          <w:color w:val="auto"/>
        </w:rPr>
      </w:pPr>
      <w:r>
        <w:rPr>
          <w:rFonts w:ascii="Arial" w:cs="Arial" w:eastAsia="Arial" w:hAnsi="Arial"/>
          <w:sz w:val="18"/>
          <w:szCs w:val="18"/>
          <w:color w:val="auto"/>
        </w:rPr>
        <w:t>Indicates management contract or compensatory plan.</w:t>
      </w:r>
    </w:p>
    <w:p>
      <w:pPr>
        <w:spacing w:after="0" w:line="63" w:lineRule="exact"/>
        <w:rPr>
          <w:sz w:val="20"/>
          <w:szCs w:val="20"/>
          <w:color w:val="auto"/>
        </w:rPr>
      </w:pPr>
    </w:p>
    <w:p>
      <w:pPr>
        <w:ind w:left="720" w:right="100" w:hanging="685"/>
        <w:spacing w:after="0" w:line="264" w:lineRule="auto"/>
        <w:tabs>
          <w:tab w:leader="none" w:pos="720" w:val="left"/>
        </w:tabs>
        <w:numPr>
          <w:ilvl w:val="0"/>
          <w:numId w:val="28"/>
        </w:numPr>
        <w:rPr>
          <w:rFonts w:ascii="Arial" w:cs="Arial" w:eastAsia="Arial" w:hAnsi="Arial"/>
          <w:sz w:val="18"/>
          <w:szCs w:val="18"/>
          <w:color w:val="auto"/>
        </w:rPr>
      </w:pPr>
      <w:r>
        <w:rPr>
          <w:rFonts w:ascii="Arial" w:cs="Arial" w:eastAsia="Arial" w:hAnsi="Arial"/>
          <w:sz w:val="18"/>
          <w:szCs w:val="18"/>
          <w:color w:val="auto"/>
        </w:rPr>
        <w:t>These certifications are being furnished solely to accompany this quarterly report pursuant to 18 U.S.C. Section 1350, and are not being filed for purposes of Section 18 of the Securities Exchange Act of 1934 and are not to be incorporated by reference into any filing of the registrant, whether made before or after the date hereof, regardless of any general incorporation language in such filing.</w:t>
      </w:r>
    </w:p>
    <w:p>
      <w:pPr>
        <w:spacing w:after="0" w:line="200" w:lineRule="exact"/>
        <w:rPr>
          <w:sz w:val="20"/>
          <w:szCs w:val="20"/>
          <w:color w:val="auto"/>
        </w:rPr>
      </w:pPr>
    </w:p>
    <w:p>
      <w:pPr>
        <w:spacing w:after="0" w:line="35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53</w:t>
      </w:r>
    </w:p>
    <w:p>
      <w:pPr>
        <w:sectPr>
          <w:pgSz w:w="11900" w:h="16838" w:orient="portrait"/>
          <w:cols w:equalWidth="0" w:num="1">
            <w:col w:w="11400"/>
          </w:cols>
          <w:pgMar w:left="240" w:top="114" w:right="259" w:bottom="1440" w:gutter="0" w:footer="0" w:header="0"/>
        </w:sectPr>
      </w:pPr>
    </w:p>
    <w:bookmarkStart w:id="53" w:name="page54"/>
    <w:bookmarkEnd w:id="53"/>
    <w:p>
      <w:pPr>
        <w:spacing w:after="0"/>
        <w:rPr>
          <w:rFonts w:ascii="Arial" w:cs="Arial" w:eastAsia="Arial" w:hAnsi="Arial"/>
          <w:sz w:val="14"/>
          <w:szCs w:val="14"/>
          <w:b w:val="1"/>
          <w:bCs w:val="1"/>
          <w:u w:val="single" w:color="auto"/>
          <w:color w:val="0000EE"/>
        </w:rPr>
      </w:pPr>
      <w:hyperlink w:anchor="page2">
        <w:r>
          <w:rPr>
            <w:rFonts w:ascii="Arial" w:cs="Arial" w:eastAsia="Arial" w:hAnsi="Arial"/>
            <w:sz w:val="14"/>
            <w:szCs w:val="14"/>
            <w:b w:val="1"/>
            <w:bCs w:val="1"/>
            <w:u w:val="single" w:color="auto"/>
            <w:color w:val="0000EE"/>
          </w:rPr>
          <w:t>Table of Contents</w:t>
        </w:r>
      </w:hyperlink>
    </w:p>
    <w:p>
      <w:pPr>
        <w:spacing w:after="0" w:line="248" w:lineRule="exact"/>
        <w:rPr>
          <w:sz w:val="20"/>
          <w:szCs w:val="20"/>
          <w:color w:val="auto"/>
        </w:rPr>
      </w:pPr>
    </w:p>
    <w:p>
      <w:pPr>
        <w:jc w:val="center"/>
        <w:ind w:right="-559"/>
        <w:spacing w:after="0"/>
        <w:rPr>
          <w:sz w:val="20"/>
          <w:szCs w:val="20"/>
          <w:color w:val="auto"/>
        </w:rPr>
      </w:pPr>
      <w:r>
        <w:rPr>
          <w:rFonts w:ascii="Arial" w:cs="Arial" w:eastAsia="Arial" w:hAnsi="Arial"/>
          <w:sz w:val="18"/>
          <w:szCs w:val="18"/>
          <w:b w:val="1"/>
          <w:bCs w:val="1"/>
          <w:color w:val="auto"/>
        </w:rPr>
        <w:t>SIGNATURES</w:t>
      </w:r>
    </w:p>
    <w:p>
      <w:pPr>
        <w:spacing w:after="0" w:line="229" w:lineRule="exact"/>
        <w:rPr>
          <w:sz w:val="20"/>
          <w:szCs w:val="20"/>
          <w:color w:val="auto"/>
        </w:rPr>
      </w:pPr>
    </w:p>
    <w:p>
      <w:pPr>
        <w:ind w:right="140" w:firstLine="432"/>
        <w:spacing w:after="0" w:line="277"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thereunto duly authorized.</w:t>
      </w:r>
    </w:p>
    <w:p>
      <w:pPr>
        <w:spacing w:after="0" w:line="373" w:lineRule="exact"/>
        <w:rPr>
          <w:sz w:val="20"/>
          <w:szCs w:val="20"/>
          <w:color w:val="auto"/>
        </w:rPr>
      </w:pPr>
    </w:p>
    <w:p>
      <w:pPr>
        <w:ind w:left="5540"/>
        <w:spacing w:after="0"/>
        <w:rPr>
          <w:sz w:val="20"/>
          <w:szCs w:val="20"/>
          <w:color w:val="auto"/>
        </w:rPr>
      </w:pPr>
      <w:r>
        <w:rPr>
          <w:rFonts w:ascii="Arial" w:cs="Arial" w:eastAsia="Arial" w:hAnsi="Arial"/>
          <w:sz w:val="18"/>
          <w:szCs w:val="18"/>
          <w:color w:val="auto"/>
        </w:rPr>
        <w:t>Luna Innovations Incorporated</w:t>
      </w:r>
    </w:p>
    <w:p>
      <w:pPr>
        <w:spacing w:after="0" w:line="63" w:lineRule="exact"/>
        <w:rPr>
          <w:sz w:val="20"/>
          <w:szCs w:val="20"/>
          <w:color w:val="auto"/>
        </w:rPr>
      </w:pPr>
    </w:p>
    <w:p>
      <w:pPr>
        <w:ind w:left="40"/>
        <w:spacing w:after="0"/>
        <w:tabs>
          <w:tab w:leader="none" w:pos="700" w:val="left"/>
          <w:tab w:leader="none" w:pos="5520" w:val="left"/>
          <w:tab w:leader="none" w:pos="7820" w:val="left"/>
          <w:tab w:leader="none" w:pos="8160" w:val="left"/>
        </w:tabs>
        <w:rPr>
          <w:sz w:val="20"/>
          <w:szCs w:val="20"/>
          <w:color w:val="auto"/>
        </w:rPr>
      </w:pPr>
      <w:r>
        <w:rPr>
          <w:rFonts w:ascii="Arial" w:cs="Arial" w:eastAsia="Arial" w:hAnsi="Arial"/>
          <w:sz w:val="18"/>
          <w:szCs w:val="18"/>
          <w:color w:val="auto"/>
        </w:rPr>
        <w:t>Date:</w:t>
      </w:r>
      <w:r>
        <w:rPr>
          <w:sz w:val="20"/>
          <w:szCs w:val="20"/>
          <w:color w:val="auto"/>
        </w:rPr>
        <w:tab/>
      </w:r>
      <w:r>
        <w:rPr>
          <w:rFonts w:ascii="Arial" w:cs="Arial" w:eastAsia="Arial" w:hAnsi="Arial"/>
          <w:sz w:val="18"/>
          <w:szCs w:val="18"/>
          <w:color w:val="auto"/>
        </w:rPr>
        <w:t>August 1, 2018</w:t>
      </w:r>
      <w:r>
        <w:rPr>
          <w:sz w:val="20"/>
          <w:szCs w:val="20"/>
          <w:color w:val="auto"/>
        </w:rPr>
        <w:tab/>
      </w:r>
      <w:r>
        <w:rPr>
          <w:rFonts w:ascii="Arial" w:cs="Arial" w:eastAsia="Arial" w:hAnsi="Arial"/>
          <w:sz w:val="18"/>
          <w:szCs w:val="18"/>
          <w:color w:val="auto"/>
        </w:rPr>
        <w:t>By:</w:t>
      </w:r>
      <w:r>
        <w:rPr>
          <w:sz w:val="20"/>
          <w:szCs w:val="20"/>
          <w:color w:val="auto"/>
        </w:rPr>
        <w:tab/>
      </w:r>
      <w:r>
        <w:rPr>
          <w:rFonts w:ascii="Arial" w:cs="Arial" w:eastAsia="Arial" w:hAnsi="Arial"/>
          <w:sz w:val="18"/>
          <w:szCs w:val="18"/>
          <w:color w:val="auto"/>
        </w:rPr>
        <w:t>/s/</w:t>
      </w:r>
      <w:r>
        <w:rPr>
          <w:sz w:val="20"/>
          <w:szCs w:val="20"/>
          <w:color w:val="auto"/>
        </w:rPr>
        <w:tab/>
      </w:r>
      <w:r>
        <w:rPr>
          <w:rFonts w:ascii="Arial" w:cs="Arial" w:eastAsia="Arial" w:hAnsi="Arial"/>
          <w:sz w:val="16"/>
          <w:szCs w:val="16"/>
          <w:color w:val="auto"/>
        </w:rPr>
        <w:t>Dale Messick</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3778250</wp:posOffset>
            </wp:positionH>
            <wp:positionV relativeFrom="paragraph">
              <wp:posOffset>31750</wp:posOffset>
            </wp:positionV>
            <wp:extent cx="3473450" cy="889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3473450" cy="8890"/>
                    </a:xfrm>
                    <a:prstGeom prst="rect">
                      <a:avLst/>
                    </a:prstGeom>
                    <a:noFill/>
                  </pic:spPr>
                </pic:pic>
              </a:graphicData>
            </a:graphic>
          </wp:anchor>
        </w:drawing>
      </w:r>
    </w:p>
    <w:p>
      <w:pPr>
        <w:spacing w:after="0" w:line="48" w:lineRule="exact"/>
        <w:rPr>
          <w:sz w:val="20"/>
          <w:szCs w:val="20"/>
          <w:color w:val="auto"/>
        </w:rPr>
      </w:pPr>
    </w:p>
    <w:p>
      <w:pPr>
        <w:ind w:left="8280"/>
        <w:spacing w:after="0"/>
        <w:rPr>
          <w:sz w:val="20"/>
          <w:szCs w:val="20"/>
          <w:color w:val="auto"/>
        </w:rPr>
      </w:pPr>
      <w:r>
        <w:rPr>
          <w:rFonts w:ascii="Arial" w:cs="Arial" w:eastAsia="Arial" w:hAnsi="Arial"/>
          <w:sz w:val="14"/>
          <w:szCs w:val="14"/>
          <w:b w:val="1"/>
          <w:bCs w:val="1"/>
          <w:color w:val="auto"/>
        </w:rPr>
        <w:t>Dale Messick</w:t>
      </w:r>
    </w:p>
    <w:p>
      <w:pPr>
        <w:spacing w:after="0" w:line="96" w:lineRule="exact"/>
        <w:rPr>
          <w:sz w:val="20"/>
          <w:szCs w:val="20"/>
          <w:color w:val="auto"/>
        </w:rPr>
      </w:pPr>
    </w:p>
    <w:p>
      <w:pPr>
        <w:ind w:left="7980"/>
        <w:spacing w:after="0"/>
        <w:rPr>
          <w:sz w:val="20"/>
          <w:szCs w:val="20"/>
          <w:color w:val="auto"/>
        </w:rPr>
      </w:pPr>
      <w:r>
        <w:rPr>
          <w:rFonts w:ascii="Arial" w:cs="Arial" w:eastAsia="Arial" w:hAnsi="Arial"/>
          <w:sz w:val="14"/>
          <w:szCs w:val="14"/>
          <w:b w:val="1"/>
          <w:bCs w:val="1"/>
          <w:color w:val="auto"/>
        </w:rPr>
        <w:t>Chief Financial Officer</w:t>
      </w:r>
    </w:p>
    <w:p>
      <w:pPr>
        <w:spacing w:after="0" w:line="4" w:lineRule="exact"/>
        <w:rPr>
          <w:sz w:val="20"/>
          <w:szCs w:val="20"/>
          <w:color w:val="auto"/>
        </w:rPr>
      </w:pPr>
    </w:p>
    <w:p>
      <w:pPr>
        <w:jc w:val="right"/>
        <w:spacing w:after="0"/>
        <w:rPr>
          <w:sz w:val="20"/>
          <w:szCs w:val="20"/>
          <w:color w:val="auto"/>
        </w:rPr>
      </w:pPr>
      <w:r>
        <w:rPr>
          <w:rFonts w:ascii="Arial" w:cs="Arial" w:eastAsia="Arial" w:hAnsi="Arial"/>
          <w:sz w:val="14"/>
          <w:szCs w:val="14"/>
          <w:b w:val="1"/>
          <w:bCs w:val="1"/>
          <w:color w:val="auto"/>
        </w:rPr>
        <w:t>(principal financial and accounting officer and duly authorized officer)</w:t>
      </w:r>
    </w:p>
    <w:p>
      <w:pPr>
        <w:spacing w:after="0" w:line="250" w:lineRule="exact"/>
        <w:rPr>
          <w:sz w:val="20"/>
          <w:szCs w:val="20"/>
          <w:color w:val="auto"/>
        </w:rPr>
      </w:pPr>
    </w:p>
    <w:p>
      <w:pPr>
        <w:jc w:val="center"/>
        <w:ind w:right="-559"/>
        <w:spacing w:after="0"/>
        <w:rPr>
          <w:sz w:val="20"/>
          <w:szCs w:val="20"/>
          <w:color w:val="auto"/>
        </w:rPr>
      </w:pPr>
      <w:r>
        <w:rPr>
          <w:rFonts w:ascii="Arial" w:cs="Arial" w:eastAsia="Arial" w:hAnsi="Arial"/>
          <w:sz w:val="18"/>
          <w:szCs w:val="18"/>
          <w:color w:val="auto"/>
        </w:rPr>
        <w:t>54</w:t>
      </w:r>
    </w:p>
    <w:p>
      <w:pPr>
        <w:sectPr>
          <w:pgSz w:w="11900" w:h="16838" w:orient="portrait"/>
          <w:cols w:equalWidth="0" w:num="1">
            <w:col w:w="10860"/>
          </w:cols>
          <w:pgMar w:left="240" w:top="118" w:right="799" w:bottom="1440" w:gutter="0" w:footer="0" w:header="0"/>
        </w:sectPr>
      </w:pPr>
    </w:p>
    <w:bookmarkStart w:id="54" w:name="page55"/>
    <w:bookmarkEnd w:id="54"/>
    <w:p>
      <w:pPr>
        <w:jc w:val="center"/>
        <w:spacing w:after="0"/>
        <w:rPr>
          <w:sz w:val="20"/>
          <w:szCs w:val="20"/>
          <w:color w:val="auto"/>
        </w:rPr>
      </w:pPr>
      <w:r>
        <w:rPr>
          <w:rFonts w:ascii="Arial" w:cs="Arial" w:eastAsia="Arial" w:hAnsi="Arial"/>
          <w:sz w:val="22"/>
          <w:szCs w:val="22"/>
          <w:color w:val="auto"/>
        </w:rPr>
        <w:t>Exhibit 10.1</w:t>
      </w:r>
    </w:p>
    <w:p>
      <w:pPr>
        <w:spacing w:after="0" w:line="200" w:lineRule="exact"/>
        <w:rPr>
          <w:sz w:val="20"/>
          <w:szCs w:val="20"/>
          <w:color w:val="auto"/>
        </w:rPr>
      </w:pPr>
    </w:p>
    <w:p>
      <w:pPr>
        <w:spacing w:after="0" w:line="200" w:lineRule="exact"/>
        <w:rPr>
          <w:sz w:val="20"/>
          <w:szCs w:val="20"/>
          <w:color w:val="auto"/>
        </w:rPr>
      </w:pPr>
    </w:p>
    <w:p>
      <w:pPr>
        <w:spacing w:after="0" w:line="354"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EMPLOYMENT AGREEMENT</w:t>
      </w:r>
    </w:p>
    <w:p>
      <w:pPr>
        <w:spacing w:after="0" w:line="260" w:lineRule="exact"/>
        <w:rPr>
          <w:sz w:val="20"/>
          <w:szCs w:val="20"/>
          <w:color w:val="auto"/>
        </w:rPr>
      </w:pPr>
    </w:p>
    <w:p>
      <w:pPr>
        <w:jc w:val="both"/>
        <w:ind w:firstLine="648"/>
        <w:spacing w:after="0" w:line="256" w:lineRule="auto"/>
        <w:rPr>
          <w:sz w:val="20"/>
          <w:szCs w:val="20"/>
          <w:color w:val="auto"/>
        </w:rPr>
      </w:pPr>
      <w:r>
        <w:rPr>
          <w:rFonts w:ascii="Arial" w:cs="Arial" w:eastAsia="Arial" w:hAnsi="Arial"/>
          <w:sz w:val="22"/>
          <w:szCs w:val="22"/>
          <w:color w:val="auto"/>
        </w:rPr>
        <w:t xml:space="preserve">This </w:t>
      </w:r>
      <w:r>
        <w:rPr>
          <w:rFonts w:ascii="Arial" w:cs="Arial" w:eastAsia="Arial" w:hAnsi="Arial"/>
          <w:sz w:val="22"/>
          <w:szCs w:val="22"/>
          <w:b w:val="1"/>
          <w:bCs w:val="1"/>
          <w:color w:val="auto"/>
        </w:rPr>
        <w:t>AMENDED AND RESTATED EMPLOYMENT AGREEMENT</w:t>
      </w:r>
      <w:r>
        <w:rPr>
          <w:rFonts w:ascii="Arial" w:cs="Arial" w:eastAsia="Arial" w:hAnsi="Arial"/>
          <w:sz w:val="22"/>
          <w:szCs w:val="22"/>
          <w:color w:val="auto"/>
        </w:rPr>
        <w:t xml:space="preserve"> (the “</w:t>
      </w:r>
      <w:r>
        <w:rPr>
          <w:rFonts w:ascii="Arial" w:cs="Arial" w:eastAsia="Arial" w:hAnsi="Arial"/>
          <w:sz w:val="22"/>
          <w:szCs w:val="22"/>
          <w:b w:val="1"/>
          <w:bCs w:val="1"/>
          <w:i w:val="1"/>
          <w:iCs w:val="1"/>
          <w:color w:val="auto"/>
        </w:rPr>
        <w:t>Agreement</w:t>
      </w:r>
      <w:r>
        <w:rPr>
          <w:rFonts w:ascii="Arial" w:cs="Arial" w:eastAsia="Arial" w:hAnsi="Arial"/>
          <w:sz w:val="22"/>
          <w:szCs w:val="22"/>
          <w:color w:val="auto"/>
        </w:rPr>
        <w:t>”) is entered into effective as of May 1, 2018 (the “</w:t>
      </w:r>
      <w:r>
        <w:rPr>
          <w:rFonts w:ascii="Arial" w:cs="Arial" w:eastAsia="Arial" w:hAnsi="Arial"/>
          <w:sz w:val="22"/>
          <w:szCs w:val="22"/>
          <w:b w:val="1"/>
          <w:bCs w:val="1"/>
          <w:i w:val="1"/>
          <w:iCs w:val="1"/>
          <w:color w:val="auto"/>
        </w:rPr>
        <w:t>Effective Date</w:t>
      </w:r>
      <w:r>
        <w:rPr>
          <w:rFonts w:ascii="Arial" w:cs="Arial" w:eastAsia="Arial" w:hAnsi="Arial"/>
          <w:sz w:val="22"/>
          <w:szCs w:val="22"/>
          <w:color w:val="auto"/>
        </w:rPr>
        <w:t xml:space="preserve">”), by and between </w:t>
      </w:r>
      <w:r>
        <w:rPr>
          <w:rFonts w:ascii="Arial" w:cs="Arial" w:eastAsia="Arial" w:hAnsi="Arial"/>
          <w:sz w:val="22"/>
          <w:szCs w:val="22"/>
          <w:b w:val="1"/>
          <w:bCs w:val="1"/>
          <w:color w:val="auto"/>
        </w:rPr>
        <w:t>Dale E. Messick</w:t>
      </w:r>
      <w:r>
        <w:rPr>
          <w:rFonts w:ascii="Arial" w:cs="Arial" w:eastAsia="Arial" w:hAnsi="Arial"/>
          <w:sz w:val="22"/>
          <w:szCs w:val="22"/>
          <w:color w:val="auto"/>
        </w:rPr>
        <w:t xml:space="preserve"> (the “</w:t>
      </w:r>
      <w:r>
        <w:rPr>
          <w:rFonts w:ascii="Arial" w:cs="Arial" w:eastAsia="Arial" w:hAnsi="Arial"/>
          <w:sz w:val="22"/>
          <w:szCs w:val="22"/>
          <w:b w:val="1"/>
          <w:bCs w:val="1"/>
          <w:i w:val="1"/>
          <w:iCs w:val="1"/>
          <w:color w:val="auto"/>
        </w:rPr>
        <w:t>Employee</w:t>
      </w:r>
      <w:r>
        <w:rPr>
          <w:rFonts w:ascii="Arial" w:cs="Arial" w:eastAsia="Arial" w:hAnsi="Arial"/>
          <w:sz w:val="22"/>
          <w:szCs w:val="22"/>
          <w:color w:val="auto"/>
        </w:rPr>
        <w:t>”) and Luna Innovations Incorporated (the “</w:t>
      </w:r>
      <w:r>
        <w:rPr>
          <w:rFonts w:ascii="Arial" w:cs="Arial" w:eastAsia="Arial" w:hAnsi="Arial"/>
          <w:sz w:val="22"/>
          <w:szCs w:val="22"/>
          <w:b w:val="1"/>
          <w:bCs w:val="1"/>
          <w:i w:val="1"/>
          <w:iCs w:val="1"/>
          <w:color w:val="auto"/>
        </w:rPr>
        <w:t>Company</w:t>
      </w:r>
      <w:r>
        <w:rPr>
          <w:rFonts w:ascii="Arial" w:cs="Arial" w:eastAsia="Arial" w:hAnsi="Arial"/>
          <w:sz w:val="22"/>
          <w:szCs w:val="22"/>
          <w:color w:val="auto"/>
        </w:rPr>
        <w:t>”).</w:t>
      </w:r>
    </w:p>
    <w:p>
      <w:pPr>
        <w:spacing w:after="0" w:line="182" w:lineRule="exact"/>
        <w:rPr>
          <w:sz w:val="20"/>
          <w:szCs w:val="20"/>
          <w:color w:val="auto"/>
        </w:rPr>
      </w:pPr>
    </w:p>
    <w:p>
      <w:pPr>
        <w:jc w:val="both"/>
        <w:ind w:right="20" w:firstLine="648"/>
        <w:spacing w:after="0" w:line="263" w:lineRule="auto"/>
        <w:rPr>
          <w:sz w:val="20"/>
          <w:szCs w:val="20"/>
          <w:color w:val="auto"/>
        </w:rPr>
      </w:pPr>
      <w:r>
        <w:rPr>
          <w:rFonts w:ascii="Arial" w:cs="Arial" w:eastAsia="Arial" w:hAnsi="Arial"/>
          <w:sz w:val="22"/>
          <w:szCs w:val="22"/>
          <w:color w:val="auto"/>
        </w:rPr>
        <w:t>The Company desires to continue to employ the Employee and, in connection therewith, to compensate the Employee for Employee’s personal services to the Company; and</w:t>
      </w:r>
    </w:p>
    <w:p>
      <w:pPr>
        <w:spacing w:after="0" w:line="175" w:lineRule="exact"/>
        <w:rPr>
          <w:sz w:val="20"/>
          <w:szCs w:val="20"/>
          <w:color w:val="auto"/>
        </w:rPr>
      </w:pPr>
    </w:p>
    <w:p>
      <w:pPr>
        <w:jc w:val="both"/>
        <w:ind w:firstLine="648"/>
        <w:spacing w:after="0" w:line="263" w:lineRule="auto"/>
        <w:rPr>
          <w:sz w:val="20"/>
          <w:szCs w:val="20"/>
          <w:color w:val="auto"/>
        </w:rPr>
      </w:pPr>
      <w:r>
        <w:rPr>
          <w:rFonts w:ascii="Arial" w:cs="Arial" w:eastAsia="Arial" w:hAnsi="Arial"/>
          <w:sz w:val="22"/>
          <w:szCs w:val="22"/>
          <w:color w:val="auto"/>
        </w:rPr>
        <w:t>The Employee wishes to continue to be employed by the Company and provide personal services to the Company in return for certain compensation.</w:t>
      </w:r>
    </w:p>
    <w:p>
      <w:pPr>
        <w:spacing w:after="0" w:line="175" w:lineRule="exact"/>
        <w:rPr>
          <w:sz w:val="20"/>
          <w:szCs w:val="20"/>
          <w:color w:val="auto"/>
        </w:rPr>
      </w:pPr>
    </w:p>
    <w:p>
      <w:pPr>
        <w:jc w:val="both"/>
        <w:ind w:firstLine="648"/>
        <w:spacing w:after="0" w:line="271" w:lineRule="auto"/>
        <w:rPr>
          <w:sz w:val="20"/>
          <w:szCs w:val="20"/>
          <w:color w:val="auto"/>
        </w:rPr>
      </w:pPr>
      <w:r>
        <w:rPr>
          <w:rFonts w:ascii="Arial" w:cs="Arial" w:eastAsia="Arial" w:hAnsi="Arial"/>
          <w:sz w:val="21"/>
          <w:szCs w:val="21"/>
          <w:color w:val="auto"/>
        </w:rPr>
        <w:t>This Agreement supersedes any and all prior and contemporaneous oral or written employment agreements or arrangements between Employee and the Company or any predecessor thereof, including without limitation the existing Employment Agreement between the Company and Employee dated March 28, 2012 (the “</w:t>
      </w:r>
      <w:r>
        <w:rPr>
          <w:rFonts w:ascii="Arial" w:cs="Arial" w:eastAsia="Arial" w:hAnsi="Arial"/>
          <w:sz w:val="21"/>
          <w:szCs w:val="21"/>
          <w:b w:val="1"/>
          <w:bCs w:val="1"/>
          <w:color w:val="auto"/>
        </w:rPr>
        <w:t>Existing Agreement</w:t>
      </w:r>
      <w:r>
        <w:rPr>
          <w:rFonts w:ascii="Arial" w:cs="Arial" w:eastAsia="Arial" w:hAnsi="Arial"/>
          <w:sz w:val="21"/>
          <w:szCs w:val="21"/>
          <w:color w:val="auto"/>
        </w:rPr>
        <w:t>”).</w:t>
      </w:r>
    </w:p>
    <w:p>
      <w:pPr>
        <w:spacing w:after="0" w:line="168" w:lineRule="exact"/>
        <w:rPr>
          <w:sz w:val="20"/>
          <w:szCs w:val="20"/>
          <w:color w:val="auto"/>
        </w:rPr>
      </w:pPr>
    </w:p>
    <w:p>
      <w:pPr>
        <w:ind w:left="660"/>
        <w:spacing w:after="0"/>
        <w:rPr>
          <w:sz w:val="20"/>
          <w:szCs w:val="20"/>
          <w:color w:val="auto"/>
        </w:rPr>
      </w:pPr>
      <w:r>
        <w:rPr>
          <w:rFonts w:ascii="Arial" w:cs="Arial" w:eastAsia="Arial" w:hAnsi="Arial"/>
          <w:sz w:val="19"/>
          <w:szCs w:val="19"/>
          <w:color w:val="auto"/>
        </w:rPr>
        <w:t>Accordingly, in consideration of the mutual promises and covenants contained herein, the parties agree to the following:</w:t>
      </w:r>
    </w:p>
    <w:p>
      <w:pPr>
        <w:spacing w:after="0" w:line="248" w:lineRule="exact"/>
        <w:rPr>
          <w:sz w:val="20"/>
          <w:szCs w:val="20"/>
          <w:color w:val="auto"/>
        </w:rPr>
      </w:pPr>
    </w:p>
    <w:p>
      <w:pPr>
        <w:ind w:left="1520" w:hanging="783"/>
        <w:spacing w:after="0"/>
        <w:tabs>
          <w:tab w:leader="none" w:pos="1520" w:val="left"/>
        </w:tabs>
        <w:numPr>
          <w:ilvl w:val="0"/>
          <w:numId w:val="29"/>
        </w:numPr>
        <w:rPr>
          <w:rFonts w:ascii="Arial" w:cs="Arial" w:eastAsia="Arial" w:hAnsi="Arial"/>
          <w:sz w:val="22"/>
          <w:szCs w:val="22"/>
          <w:b w:val="1"/>
          <w:bCs w:val="1"/>
          <w:color w:val="auto"/>
        </w:rPr>
      </w:pPr>
      <w:r>
        <w:rPr>
          <w:rFonts w:ascii="Arial" w:cs="Arial" w:eastAsia="Arial" w:hAnsi="Arial"/>
          <w:sz w:val="22"/>
          <w:szCs w:val="22"/>
          <w:b w:val="1"/>
          <w:bCs w:val="1"/>
          <w:u w:val="single" w:color="auto"/>
          <w:color w:val="auto"/>
        </w:rPr>
        <w:t>EMPLOYMENT BY THE COMPANY</w:t>
      </w:r>
      <w:r>
        <w:rPr>
          <w:rFonts w:ascii="Arial" w:cs="Arial" w:eastAsia="Arial" w:hAnsi="Arial"/>
          <w:sz w:val="22"/>
          <w:szCs w:val="22"/>
          <w:b w:val="1"/>
          <w:bCs w:val="1"/>
          <w:color w:val="auto"/>
        </w:rPr>
        <w:t>.</w:t>
      </w:r>
    </w:p>
    <w:p>
      <w:pPr>
        <w:spacing w:after="0" w:line="220" w:lineRule="exact"/>
        <w:rPr>
          <w:sz w:val="20"/>
          <w:szCs w:val="20"/>
          <w:color w:val="auto"/>
        </w:rPr>
      </w:pPr>
    </w:p>
    <w:p>
      <w:pPr>
        <w:jc w:val="both"/>
        <w:ind w:firstLine="1297"/>
        <w:spacing w:after="0" w:line="249" w:lineRule="auto"/>
        <w:rPr>
          <w:sz w:val="20"/>
          <w:szCs w:val="20"/>
          <w:color w:val="auto"/>
        </w:rPr>
      </w:pPr>
      <w:r>
        <w:rPr>
          <w:rFonts w:ascii="Arial" w:cs="Arial" w:eastAsia="Arial" w:hAnsi="Arial"/>
          <w:sz w:val="22"/>
          <w:szCs w:val="22"/>
          <w:b w:val="1"/>
          <w:bCs w:val="1"/>
          <w:color w:val="auto"/>
        </w:rPr>
        <w:t xml:space="preserve">1.1 </w:t>
      </w:r>
      <w:r>
        <w:rPr>
          <w:rFonts w:ascii="Arial" w:cs="Arial" w:eastAsia="Arial" w:hAnsi="Arial"/>
          <w:sz w:val="22"/>
          <w:szCs w:val="22"/>
          <w:b w:val="1"/>
          <w:bCs w:val="1"/>
          <w:u w:val="single" w:color="auto"/>
          <w:color w:val="auto"/>
        </w:rPr>
        <w:t>At-Will Employment</w:t>
      </w:r>
      <w:r>
        <w:rPr>
          <w:rFonts w:ascii="Arial" w:cs="Arial" w:eastAsia="Arial" w:hAnsi="Arial"/>
          <w:sz w:val="22"/>
          <w:szCs w:val="22"/>
          <w:color w:val="auto"/>
        </w:rPr>
        <w:t>. Employee shall continue to be employed by the Company on an “at-will” basis,</w:t>
      </w:r>
      <w:r>
        <w:rPr>
          <w:rFonts w:ascii="Arial" w:cs="Arial" w:eastAsia="Arial" w:hAnsi="Arial"/>
          <w:sz w:val="22"/>
          <w:szCs w:val="22"/>
          <w:b w:val="1"/>
          <w:bCs w:val="1"/>
          <w:color w:val="auto"/>
        </w:rPr>
        <w:t xml:space="preserve"> </w:t>
      </w:r>
      <w:r>
        <w:rPr>
          <w:rFonts w:ascii="Arial" w:cs="Arial" w:eastAsia="Arial" w:hAnsi="Arial"/>
          <w:sz w:val="22"/>
          <w:szCs w:val="22"/>
          <w:color w:val="auto"/>
        </w:rPr>
        <w:t>meaning either the Company or Employee may terminate Employee’s employment at any time, with or without cause or advanced notice. Any contrary representations that may have been made to Employee shall be superseded by this Agreement. This Agreement shall constitute the full and complete agreement between Employee and the Company on the “at-will” nature of Employee’s employment with the Company, which may be changed only in an express written agreement signed by Employee and a duly authorized officer of the Company. Employee’s rights to any compensation following a termination shall be only as set forth in Section 6.</w:t>
      </w:r>
    </w:p>
    <w:p>
      <w:pPr>
        <w:spacing w:after="0" w:line="189" w:lineRule="exact"/>
        <w:rPr>
          <w:sz w:val="20"/>
          <w:szCs w:val="20"/>
          <w:color w:val="auto"/>
        </w:rPr>
      </w:pPr>
    </w:p>
    <w:p>
      <w:pPr>
        <w:jc w:val="both"/>
        <w:ind w:firstLine="1297"/>
        <w:spacing w:after="0" w:line="302" w:lineRule="auto"/>
        <w:rPr>
          <w:sz w:val="20"/>
          <w:szCs w:val="20"/>
          <w:color w:val="auto"/>
        </w:rPr>
      </w:pPr>
      <w:r>
        <w:rPr>
          <w:rFonts w:ascii="Arial" w:cs="Arial" w:eastAsia="Arial" w:hAnsi="Arial"/>
          <w:sz w:val="19"/>
          <w:szCs w:val="19"/>
          <w:b w:val="1"/>
          <w:bCs w:val="1"/>
          <w:color w:val="auto"/>
        </w:rPr>
        <w:t xml:space="preserve">1.2 </w:t>
      </w:r>
      <w:r>
        <w:rPr>
          <w:rFonts w:ascii="Arial" w:cs="Arial" w:eastAsia="Arial" w:hAnsi="Arial"/>
          <w:sz w:val="19"/>
          <w:szCs w:val="19"/>
          <w:b w:val="1"/>
          <w:bCs w:val="1"/>
          <w:u w:val="single" w:color="auto"/>
          <w:color w:val="auto"/>
        </w:rPr>
        <w:t>Position</w:t>
      </w:r>
      <w:r>
        <w:rPr>
          <w:rFonts w:ascii="Arial" w:cs="Arial" w:eastAsia="Arial" w:hAnsi="Arial"/>
          <w:sz w:val="19"/>
          <w:szCs w:val="19"/>
          <w:color w:val="auto"/>
        </w:rPr>
        <w:t>. Subject to the terms set forth herein, the Company agrees to continue to employ Employee, in the</w:t>
      </w:r>
      <w:r>
        <w:rPr>
          <w:rFonts w:ascii="Arial" w:cs="Arial" w:eastAsia="Arial" w:hAnsi="Arial"/>
          <w:sz w:val="19"/>
          <w:szCs w:val="19"/>
          <w:b w:val="1"/>
          <w:bCs w:val="1"/>
          <w:color w:val="auto"/>
        </w:rPr>
        <w:t xml:space="preserve"> </w:t>
      </w:r>
      <w:r>
        <w:rPr>
          <w:rFonts w:ascii="Arial" w:cs="Arial" w:eastAsia="Arial" w:hAnsi="Arial"/>
          <w:sz w:val="19"/>
          <w:szCs w:val="19"/>
          <w:color w:val="auto"/>
        </w:rPr>
        <w:t>position of Chief Financial Officer, and Employee hereby accepts such continued employment. During the term of Employee’s employment with the Company, and excluding periods of vacation and sick leave to which Employee is entitled, Employee shall devote all business time and attention to the affairs of the Company necessary to discharge the responsibilities assigned hereunder, and shall use commercially reasonable efforts to perform faithfully and efficiently such responsibilities.</w:t>
      </w:r>
    </w:p>
    <w:p>
      <w:pPr>
        <w:spacing w:after="0" w:line="138" w:lineRule="exact"/>
        <w:rPr>
          <w:sz w:val="20"/>
          <w:szCs w:val="20"/>
          <w:color w:val="auto"/>
        </w:rPr>
      </w:pPr>
    </w:p>
    <w:p>
      <w:pPr>
        <w:jc w:val="both"/>
        <w:ind w:firstLine="1297"/>
        <w:spacing w:after="0" w:line="268" w:lineRule="auto"/>
        <w:rPr>
          <w:sz w:val="20"/>
          <w:szCs w:val="20"/>
          <w:color w:val="auto"/>
        </w:rPr>
      </w:pPr>
      <w:r>
        <w:rPr>
          <w:rFonts w:ascii="Arial" w:cs="Arial" w:eastAsia="Arial" w:hAnsi="Arial"/>
          <w:sz w:val="21"/>
          <w:szCs w:val="21"/>
          <w:b w:val="1"/>
          <w:bCs w:val="1"/>
          <w:color w:val="auto"/>
        </w:rPr>
        <w:t xml:space="preserve">1.3 </w:t>
      </w:r>
      <w:r>
        <w:rPr>
          <w:rFonts w:ascii="Arial" w:cs="Arial" w:eastAsia="Arial" w:hAnsi="Arial"/>
          <w:sz w:val="21"/>
          <w:szCs w:val="21"/>
          <w:b w:val="1"/>
          <w:bCs w:val="1"/>
          <w:u w:val="single" w:color="auto"/>
          <w:color w:val="auto"/>
        </w:rPr>
        <w:t>Duties</w:t>
      </w:r>
      <w:r>
        <w:rPr>
          <w:rFonts w:ascii="Arial" w:cs="Arial" w:eastAsia="Arial" w:hAnsi="Arial"/>
          <w:sz w:val="21"/>
          <w:szCs w:val="21"/>
          <w:color w:val="auto"/>
        </w:rPr>
        <w:t>. Employee will report to the President and Chief Executive Officer (“</w:t>
      </w:r>
      <w:r>
        <w:rPr>
          <w:rFonts w:ascii="Arial" w:cs="Arial" w:eastAsia="Arial" w:hAnsi="Arial"/>
          <w:sz w:val="21"/>
          <w:szCs w:val="21"/>
          <w:b w:val="1"/>
          <w:bCs w:val="1"/>
          <w:i w:val="1"/>
          <w:iCs w:val="1"/>
          <w:color w:val="auto"/>
        </w:rPr>
        <w:t>CEO</w:t>
      </w:r>
      <w:r>
        <w:rPr>
          <w:rFonts w:ascii="Arial" w:cs="Arial" w:eastAsia="Arial" w:hAnsi="Arial"/>
          <w:sz w:val="21"/>
          <w:szCs w:val="21"/>
          <w:color w:val="auto"/>
        </w:rPr>
        <w:t>”) and will render such</w:t>
      </w:r>
      <w:r>
        <w:rPr>
          <w:rFonts w:ascii="Arial" w:cs="Arial" w:eastAsia="Arial" w:hAnsi="Arial"/>
          <w:sz w:val="21"/>
          <w:szCs w:val="21"/>
          <w:b w:val="1"/>
          <w:bCs w:val="1"/>
          <w:color w:val="auto"/>
        </w:rPr>
        <w:t xml:space="preserve"> </w:t>
      </w:r>
      <w:r>
        <w:rPr>
          <w:rFonts w:ascii="Arial" w:cs="Arial" w:eastAsia="Arial" w:hAnsi="Arial"/>
          <w:sz w:val="21"/>
          <w:szCs w:val="21"/>
          <w:color w:val="auto"/>
        </w:rPr>
        <w:t>business and professional services in the performance of his duties, consistent with Employee’s position as Chief Financial Officer, as shall reasonably be assigned to him by the CEO and the Company’s Board of Directors (the “</w:t>
      </w:r>
      <w:r>
        <w:rPr>
          <w:rFonts w:ascii="Arial" w:cs="Arial" w:eastAsia="Arial" w:hAnsi="Arial"/>
          <w:sz w:val="21"/>
          <w:szCs w:val="21"/>
          <w:b w:val="1"/>
          <w:bCs w:val="1"/>
          <w:i w:val="1"/>
          <w:iCs w:val="1"/>
          <w:color w:val="auto"/>
        </w:rPr>
        <w:t>Board</w:t>
      </w:r>
      <w:r>
        <w:rPr>
          <w:rFonts w:ascii="Arial" w:cs="Arial" w:eastAsia="Arial" w:hAnsi="Arial"/>
          <w:sz w:val="21"/>
          <w:szCs w:val="21"/>
          <w:color w:val="auto"/>
        </w:rPr>
        <w:t>”), subject to the oversight and direction of the CEO and Board. Employee shall perform his duties under this Agreement principally out of the Company’s corporate headquarters, or such other location as assigned. In addition, the Employee</w:t>
      </w:r>
    </w:p>
    <w:p>
      <w:pPr>
        <w:spacing w:after="0" w:line="200" w:lineRule="exact"/>
        <w:rPr>
          <w:sz w:val="20"/>
          <w:szCs w:val="20"/>
          <w:color w:val="auto"/>
        </w:rPr>
      </w:pPr>
    </w:p>
    <w:p>
      <w:pPr>
        <w:spacing w:after="0" w:line="203" w:lineRule="exact"/>
        <w:rPr>
          <w:sz w:val="20"/>
          <w:szCs w:val="20"/>
          <w:color w:val="auto"/>
        </w:rPr>
      </w:pPr>
    </w:p>
    <w:p>
      <w:pPr>
        <w:spacing w:after="0"/>
        <w:rPr>
          <w:sz w:val="20"/>
          <w:szCs w:val="20"/>
          <w:color w:val="auto"/>
        </w:rPr>
      </w:pPr>
      <w:r>
        <w:rPr>
          <w:rFonts w:ascii="Arial" w:cs="Arial" w:eastAsia="Arial" w:hAnsi="Arial"/>
          <w:sz w:val="14"/>
          <w:szCs w:val="14"/>
          <w:color w:val="auto"/>
        </w:rPr>
        <w:t>{2312556-2, 110610-00000-01}</w:t>
      </w:r>
    </w:p>
    <w:p>
      <w:pPr>
        <w:sectPr>
          <w:pgSz w:w="11900" w:h="16838" w:orient="portrait"/>
          <w:cols w:equalWidth="0" w:num="1">
            <w:col w:w="11420"/>
          </w:cols>
          <w:pgMar w:left="240" w:top="132" w:right="239" w:bottom="1440" w:gutter="0" w:footer="0" w:header="0"/>
        </w:sectPr>
      </w:pPr>
    </w:p>
    <w:bookmarkStart w:id="55" w:name="page56"/>
    <w:bookmarkEnd w:id="55"/>
    <w:p>
      <w:pPr>
        <w:jc w:val="both"/>
        <w:spacing w:after="0" w:line="263" w:lineRule="auto"/>
        <w:rPr>
          <w:sz w:val="20"/>
          <w:szCs w:val="20"/>
          <w:color w:val="auto"/>
        </w:rPr>
      </w:pPr>
      <w:r>
        <w:rPr>
          <w:rFonts w:ascii="Arial" w:cs="Arial" w:eastAsia="Arial" w:hAnsi="Arial"/>
          <w:sz w:val="22"/>
          <w:szCs w:val="22"/>
          <w:color w:val="auto"/>
        </w:rPr>
        <w:t>shall make such business trips to such places as may be reasonably necessary or advisable for the efficient operations of the Company.</w:t>
      </w:r>
    </w:p>
    <w:p>
      <w:pPr>
        <w:spacing w:after="0" w:line="169" w:lineRule="exact"/>
        <w:rPr>
          <w:sz w:val="20"/>
          <w:szCs w:val="20"/>
          <w:color w:val="auto"/>
        </w:rPr>
      </w:pPr>
    </w:p>
    <w:p>
      <w:pPr>
        <w:jc w:val="both"/>
        <w:ind w:firstLine="1297"/>
        <w:spacing w:after="0" w:line="250" w:lineRule="auto"/>
        <w:rPr>
          <w:sz w:val="20"/>
          <w:szCs w:val="20"/>
          <w:color w:val="auto"/>
        </w:rPr>
      </w:pPr>
      <w:r>
        <w:rPr>
          <w:rFonts w:ascii="Arial" w:cs="Arial" w:eastAsia="Arial" w:hAnsi="Arial"/>
          <w:sz w:val="22"/>
          <w:szCs w:val="22"/>
          <w:b w:val="1"/>
          <w:bCs w:val="1"/>
          <w:color w:val="auto"/>
        </w:rPr>
        <w:t xml:space="preserve">1.4 </w:t>
      </w:r>
      <w:r>
        <w:rPr>
          <w:rFonts w:ascii="Arial" w:cs="Arial" w:eastAsia="Arial" w:hAnsi="Arial"/>
          <w:sz w:val="22"/>
          <w:szCs w:val="22"/>
          <w:b w:val="1"/>
          <w:bCs w:val="1"/>
          <w:u w:val="single" w:color="auto"/>
          <w:color w:val="auto"/>
        </w:rPr>
        <w:t>Company Policies and Benefits</w:t>
      </w:r>
      <w:r>
        <w:rPr>
          <w:rFonts w:ascii="Arial" w:cs="Arial" w:eastAsia="Arial" w:hAnsi="Arial"/>
          <w:sz w:val="22"/>
          <w:szCs w:val="22"/>
          <w:color w:val="auto"/>
        </w:rPr>
        <w:t>. The employment relationship between the parties shall also be subject to the</w:t>
      </w:r>
      <w:r>
        <w:rPr>
          <w:rFonts w:ascii="Arial" w:cs="Arial" w:eastAsia="Arial" w:hAnsi="Arial"/>
          <w:sz w:val="22"/>
          <w:szCs w:val="22"/>
          <w:b w:val="1"/>
          <w:bCs w:val="1"/>
          <w:color w:val="auto"/>
        </w:rPr>
        <w:t xml:space="preserve"> </w:t>
      </w:r>
      <w:r>
        <w:rPr>
          <w:rFonts w:ascii="Arial" w:cs="Arial" w:eastAsia="Arial" w:hAnsi="Arial"/>
          <w:sz w:val="22"/>
          <w:szCs w:val="22"/>
          <w:color w:val="auto"/>
        </w:rPr>
        <w:t>Company’s personnel policies and procedures as they may be adopted, revised or deleted from time to time in the Company’s sole discretion. The Employee will continue to be eligible to participate on the same basis as similarly situated employees in the Company’s benefit plans in effect from time to time during his employment. All matters of eligibility for coverage or benefits under any benefit plan shall be determined in accordance with the provisions of such plan. The Company reserves the right to change, alter, or terminate any benefit plan in its sole discretion. Notwithstanding the foregoing, in the event that the terms of this Agreement differ from or are in conflict with the Company’s general employment policies or practices, this Agreement shall control.</w:t>
      </w:r>
    </w:p>
    <w:p>
      <w:pPr>
        <w:spacing w:after="0" w:line="188" w:lineRule="exact"/>
        <w:rPr>
          <w:sz w:val="20"/>
          <w:szCs w:val="20"/>
          <w:color w:val="auto"/>
        </w:rPr>
      </w:pPr>
    </w:p>
    <w:p>
      <w:pPr>
        <w:ind w:left="1300" w:hanging="644"/>
        <w:spacing w:after="0"/>
        <w:tabs>
          <w:tab w:leader="none" w:pos="1300" w:val="left"/>
        </w:tabs>
        <w:numPr>
          <w:ilvl w:val="0"/>
          <w:numId w:val="30"/>
        </w:numPr>
        <w:rPr>
          <w:rFonts w:ascii="Arial" w:cs="Arial" w:eastAsia="Arial" w:hAnsi="Arial"/>
          <w:sz w:val="22"/>
          <w:szCs w:val="22"/>
          <w:b w:val="1"/>
          <w:bCs w:val="1"/>
          <w:color w:val="auto"/>
        </w:rPr>
      </w:pPr>
      <w:r>
        <w:rPr>
          <w:rFonts w:ascii="Arial" w:cs="Arial" w:eastAsia="Arial" w:hAnsi="Arial"/>
          <w:sz w:val="22"/>
          <w:szCs w:val="22"/>
          <w:b w:val="1"/>
          <w:bCs w:val="1"/>
          <w:u w:val="single" w:color="auto"/>
          <w:color w:val="auto"/>
        </w:rPr>
        <w:t>COMPENSATION</w:t>
      </w:r>
      <w:r>
        <w:rPr>
          <w:rFonts w:ascii="Arial" w:cs="Arial" w:eastAsia="Arial" w:hAnsi="Arial"/>
          <w:sz w:val="22"/>
          <w:szCs w:val="22"/>
          <w:b w:val="1"/>
          <w:bCs w:val="1"/>
          <w:color w:val="auto"/>
        </w:rPr>
        <w:t>.</w:t>
      </w:r>
    </w:p>
    <w:p>
      <w:pPr>
        <w:spacing w:after="0" w:line="220" w:lineRule="exact"/>
        <w:rPr>
          <w:sz w:val="20"/>
          <w:szCs w:val="20"/>
          <w:color w:val="auto"/>
        </w:rPr>
      </w:pPr>
    </w:p>
    <w:p>
      <w:pPr>
        <w:jc w:val="both"/>
        <w:ind w:firstLine="1297"/>
        <w:spacing w:after="0" w:line="253" w:lineRule="auto"/>
        <w:rPr>
          <w:sz w:val="20"/>
          <w:szCs w:val="20"/>
          <w:color w:val="auto"/>
        </w:rPr>
      </w:pPr>
      <w:r>
        <w:rPr>
          <w:rFonts w:ascii="Arial" w:cs="Arial" w:eastAsia="Arial" w:hAnsi="Arial"/>
          <w:sz w:val="22"/>
          <w:szCs w:val="22"/>
          <w:b w:val="1"/>
          <w:bCs w:val="1"/>
          <w:color w:val="auto"/>
        </w:rPr>
        <w:t xml:space="preserve">2.1 </w:t>
      </w:r>
      <w:r>
        <w:rPr>
          <w:rFonts w:ascii="Arial" w:cs="Arial" w:eastAsia="Arial" w:hAnsi="Arial"/>
          <w:sz w:val="22"/>
          <w:szCs w:val="22"/>
          <w:b w:val="1"/>
          <w:bCs w:val="1"/>
          <w:u w:val="single" w:color="auto"/>
          <w:color w:val="auto"/>
        </w:rPr>
        <w:t>Salary</w:t>
      </w:r>
      <w:r>
        <w:rPr>
          <w:rFonts w:ascii="Arial" w:cs="Arial" w:eastAsia="Arial" w:hAnsi="Arial"/>
          <w:sz w:val="22"/>
          <w:szCs w:val="22"/>
          <w:color w:val="auto"/>
        </w:rPr>
        <w:t>. Effective as of May 1, 2018, Employee shall receive for Employee’s services to be rendered hereunder</w:t>
      </w:r>
      <w:r>
        <w:rPr>
          <w:rFonts w:ascii="Arial" w:cs="Arial" w:eastAsia="Arial" w:hAnsi="Arial"/>
          <w:sz w:val="22"/>
          <w:szCs w:val="22"/>
          <w:b w:val="1"/>
          <w:bCs w:val="1"/>
          <w:color w:val="auto"/>
        </w:rPr>
        <w:t xml:space="preserve"> </w:t>
      </w:r>
      <w:r>
        <w:rPr>
          <w:rFonts w:ascii="Arial" w:cs="Arial" w:eastAsia="Arial" w:hAnsi="Arial"/>
          <w:sz w:val="22"/>
          <w:szCs w:val="22"/>
          <w:color w:val="auto"/>
        </w:rPr>
        <w:t xml:space="preserve">an initial annualized base salary of </w:t>
      </w:r>
      <w:r>
        <w:rPr>
          <w:rFonts w:ascii="Arial" w:cs="Arial" w:eastAsia="Arial" w:hAnsi="Arial"/>
          <w:sz w:val="22"/>
          <w:szCs w:val="22"/>
          <w:b w:val="1"/>
          <w:bCs w:val="1"/>
          <w:color w:val="auto"/>
        </w:rPr>
        <w:t>$255,000</w:t>
      </w:r>
      <w:r>
        <w:rPr>
          <w:rFonts w:ascii="Arial" w:cs="Arial" w:eastAsia="Arial" w:hAnsi="Arial"/>
          <w:sz w:val="22"/>
          <w:szCs w:val="22"/>
          <w:color w:val="auto"/>
        </w:rPr>
        <w:t>, subject to review and adjustment from time to time by the Company in its sole discretion, payable subject to standard federal and state payroll withholding requirements in accordance with Company’s standard payroll practices (“</w:t>
      </w:r>
      <w:r>
        <w:rPr>
          <w:rFonts w:ascii="Arial" w:cs="Arial" w:eastAsia="Arial" w:hAnsi="Arial"/>
          <w:sz w:val="22"/>
          <w:szCs w:val="22"/>
          <w:b w:val="1"/>
          <w:bCs w:val="1"/>
          <w:i w:val="1"/>
          <w:iCs w:val="1"/>
          <w:color w:val="auto"/>
        </w:rPr>
        <w:t>Base Salary</w:t>
      </w:r>
      <w:r>
        <w:rPr>
          <w:rFonts w:ascii="Arial" w:cs="Arial" w:eastAsia="Arial" w:hAnsi="Arial"/>
          <w:sz w:val="22"/>
          <w:szCs w:val="22"/>
          <w:color w:val="auto"/>
        </w:rPr>
        <w:t>”). This increase will be reflected in the Company’s first regularly scheduled payroll date after the Effective Date.</w:t>
      </w:r>
    </w:p>
    <w:p>
      <w:pPr>
        <w:spacing w:after="0" w:line="179" w:lineRule="exact"/>
        <w:rPr>
          <w:sz w:val="20"/>
          <w:szCs w:val="20"/>
          <w:color w:val="auto"/>
        </w:rPr>
      </w:pPr>
    </w:p>
    <w:p>
      <w:pPr>
        <w:ind w:left="1300"/>
        <w:spacing w:after="0"/>
        <w:tabs>
          <w:tab w:leader="none" w:pos="1740" w:val="left"/>
        </w:tabs>
        <w:rPr>
          <w:sz w:val="20"/>
          <w:szCs w:val="20"/>
          <w:color w:val="auto"/>
        </w:rPr>
      </w:pPr>
      <w:r>
        <w:rPr>
          <w:rFonts w:ascii="Arial" w:cs="Arial" w:eastAsia="Arial" w:hAnsi="Arial"/>
          <w:sz w:val="22"/>
          <w:szCs w:val="22"/>
          <w:b w:val="1"/>
          <w:bCs w:val="1"/>
          <w:color w:val="auto"/>
        </w:rPr>
        <w:t>2.2</w:t>
      </w:r>
      <w:r>
        <w:rPr>
          <w:sz w:val="20"/>
          <w:szCs w:val="20"/>
          <w:color w:val="auto"/>
        </w:rPr>
        <w:tab/>
      </w:r>
      <w:r>
        <w:rPr>
          <w:rFonts w:ascii="Arial" w:cs="Arial" w:eastAsia="Arial" w:hAnsi="Arial"/>
          <w:sz w:val="18"/>
          <w:szCs w:val="18"/>
          <w:b w:val="1"/>
          <w:bCs w:val="1"/>
          <w:u w:val="single" w:color="auto"/>
          <w:color w:val="auto"/>
        </w:rPr>
        <w:t>Bonus</w:t>
      </w:r>
      <w:r>
        <w:rPr>
          <w:rFonts w:ascii="Arial" w:cs="Arial" w:eastAsia="Arial" w:hAnsi="Arial"/>
          <w:sz w:val="18"/>
          <w:szCs w:val="18"/>
          <w:color w:val="auto"/>
        </w:rPr>
        <w:t>.</w:t>
      </w:r>
    </w:p>
    <w:p>
      <w:pPr>
        <w:spacing w:after="0" w:line="233" w:lineRule="exact"/>
        <w:rPr>
          <w:sz w:val="20"/>
          <w:szCs w:val="20"/>
          <w:color w:val="auto"/>
        </w:rPr>
      </w:pPr>
    </w:p>
    <w:p>
      <w:pPr>
        <w:jc w:val="both"/>
        <w:ind w:firstLine="1953"/>
        <w:spacing w:after="0" w:line="288" w:lineRule="auto"/>
        <w:tabs>
          <w:tab w:leader="none" w:pos="2377" w:val="left"/>
        </w:tabs>
        <w:numPr>
          <w:ilvl w:val="0"/>
          <w:numId w:val="31"/>
        </w:numPr>
        <w:rPr>
          <w:rFonts w:ascii="Arial" w:cs="Arial" w:eastAsia="Arial" w:hAnsi="Arial"/>
          <w:sz w:val="19"/>
          <w:szCs w:val="19"/>
          <w:b w:val="1"/>
          <w:bCs w:val="1"/>
          <w:color w:val="auto"/>
        </w:rPr>
      </w:pPr>
      <w:r>
        <w:rPr>
          <w:rFonts w:ascii="Arial" w:cs="Arial" w:eastAsia="Arial" w:hAnsi="Arial"/>
          <w:sz w:val="19"/>
          <w:szCs w:val="19"/>
          <w:b w:val="1"/>
          <w:bCs w:val="1"/>
          <w:u w:val="single" w:color="auto"/>
          <w:color w:val="auto"/>
        </w:rPr>
        <w:t>During Employment</w:t>
      </w:r>
      <w:r>
        <w:rPr>
          <w:rFonts w:ascii="Arial" w:cs="Arial" w:eastAsia="Arial" w:hAnsi="Arial"/>
          <w:sz w:val="19"/>
          <w:szCs w:val="19"/>
          <w:color w:val="auto"/>
        </w:rPr>
        <w:t>. Employee shall continue to be eligible to earn an annual performance bonus with</w:t>
      </w:r>
      <w:r>
        <w:rPr>
          <w:rFonts w:ascii="Arial" w:cs="Arial" w:eastAsia="Arial" w:hAnsi="Arial"/>
          <w:sz w:val="19"/>
          <w:szCs w:val="19"/>
          <w:b w:val="1"/>
          <w:bCs w:val="1"/>
          <w:color w:val="auto"/>
        </w:rPr>
        <w:t xml:space="preserve"> </w:t>
      </w:r>
      <w:r>
        <w:rPr>
          <w:rFonts w:ascii="Arial" w:cs="Arial" w:eastAsia="Arial" w:hAnsi="Arial"/>
          <w:sz w:val="19"/>
          <w:szCs w:val="19"/>
          <w:color w:val="auto"/>
        </w:rPr>
        <w:t>a target of 40%, with a maximum potential of 80% of the actual salary received in the year in which the bonus is being measured (an “</w:t>
      </w:r>
      <w:r>
        <w:rPr>
          <w:rFonts w:ascii="Arial" w:cs="Arial" w:eastAsia="Arial" w:hAnsi="Arial"/>
          <w:sz w:val="19"/>
          <w:szCs w:val="19"/>
          <w:b w:val="1"/>
          <w:bCs w:val="1"/>
          <w:i w:val="1"/>
          <w:iCs w:val="1"/>
          <w:color w:val="auto"/>
        </w:rPr>
        <w:t>Annual Bonus</w:t>
      </w:r>
      <w:r>
        <w:rPr>
          <w:rFonts w:ascii="Arial" w:cs="Arial" w:eastAsia="Arial" w:hAnsi="Arial"/>
          <w:sz w:val="19"/>
          <w:szCs w:val="19"/>
          <w:color w:val="auto"/>
        </w:rPr>
        <w:t>” and the target amount of an Annual Bonus, the “</w:t>
      </w:r>
      <w:r>
        <w:rPr>
          <w:rFonts w:ascii="Arial" w:cs="Arial" w:eastAsia="Arial" w:hAnsi="Arial"/>
          <w:sz w:val="19"/>
          <w:szCs w:val="19"/>
          <w:b w:val="1"/>
          <w:bCs w:val="1"/>
          <w:i w:val="1"/>
          <w:iCs w:val="1"/>
          <w:color w:val="auto"/>
        </w:rPr>
        <w:t>Target Bonus</w:t>
      </w:r>
      <w:r>
        <w:rPr>
          <w:rFonts w:ascii="Arial" w:cs="Arial" w:eastAsia="Arial" w:hAnsi="Arial"/>
          <w:sz w:val="19"/>
          <w:szCs w:val="19"/>
          <w:color w:val="auto"/>
        </w:rPr>
        <w:t>” and the maximum amount of an Annual Bonus, the “</w:t>
      </w:r>
      <w:r>
        <w:rPr>
          <w:rFonts w:ascii="Arial" w:cs="Arial" w:eastAsia="Arial" w:hAnsi="Arial"/>
          <w:sz w:val="19"/>
          <w:szCs w:val="19"/>
          <w:b w:val="1"/>
          <w:bCs w:val="1"/>
          <w:i w:val="1"/>
          <w:iCs w:val="1"/>
          <w:color w:val="auto"/>
        </w:rPr>
        <w:t>Maximum Target Bonus</w:t>
      </w:r>
      <w:r>
        <w:rPr>
          <w:rFonts w:ascii="Arial" w:cs="Arial" w:eastAsia="Arial" w:hAnsi="Arial"/>
          <w:sz w:val="19"/>
          <w:szCs w:val="19"/>
          <w:color w:val="auto"/>
        </w:rPr>
        <w:t>). The Annual Bonus will be based upon the CEO’s and the Board’s assessment of the Employee’s performance and the Company’s attainment of targeted goals as set by the Board in its reasonable good faith discretion. The Annual Bonus, if any, will be subject to applicable payroll deductions and withholdings. Following the close of each calendar year, the CEO and Board will determine whether the Employee has earned the Annual Bonus, and the amount of any Annual Bonus, based on the set criteria. No amount of the Annual Bonus is guaranteed, and the Employee must be an employee in good standing through December 31 of the year in which the Annual Bonus is being measured to be eligible to receive an Annual Bonus. No partial or prorated bonuses will be provided. The Annual Bonus, if earned, will be paid no later than March 15 of the calendar year immediately following the applicable calendar year for which the Annual Bonus is being measured. The Employee’s eligibility for an Annual Bonus is subject to change in the discretion of the Board (or any authorized committee thereof). Employee acknowledges that if the Company adopts an incentive compensation plan the terms of any such plan may supersede and replace the provisions of this Section 2.2, as determined by the Company in its sole discretion</w:t>
      </w:r>
    </w:p>
    <w:p>
      <w:pPr>
        <w:spacing w:after="0" w:line="151" w:lineRule="exact"/>
        <w:rPr>
          <w:rFonts w:ascii="Arial" w:cs="Arial" w:eastAsia="Arial" w:hAnsi="Arial"/>
          <w:sz w:val="19"/>
          <w:szCs w:val="19"/>
          <w:b w:val="1"/>
          <w:bCs w:val="1"/>
          <w:color w:val="auto"/>
        </w:rPr>
      </w:pPr>
    </w:p>
    <w:p>
      <w:pPr>
        <w:jc w:val="both"/>
        <w:ind w:firstLine="1953"/>
        <w:spacing w:after="0" w:line="262" w:lineRule="auto"/>
        <w:tabs>
          <w:tab w:leader="none" w:pos="2443" w:val="left"/>
        </w:tabs>
        <w:numPr>
          <w:ilvl w:val="0"/>
          <w:numId w:val="31"/>
        </w:numPr>
        <w:rPr>
          <w:rFonts w:ascii="Arial" w:cs="Arial" w:eastAsia="Arial" w:hAnsi="Arial"/>
          <w:sz w:val="22"/>
          <w:szCs w:val="22"/>
          <w:b w:val="1"/>
          <w:bCs w:val="1"/>
          <w:color w:val="auto"/>
        </w:rPr>
      </w:pPr>
      <w:r>
        <w:rPr>
          <w:rFonts w:ascii="Arial" w:cs="Arial" w:eastAsia="Arial" w:hAnsi="Arial"/>
          <w:sz w:val="22"/>
          <w:szCs w:val="22"/>
          <w:b w:val="1"/>
          <w:bCs w:val="1"/>
          <w:u w:val="single" w:color="auto"/>
          <w:color w:val="auto"/>
        </w:rPr>
        <w:t>Upon Termination</w:t>
      </w:r>
      <w:r>
        <w:rPr>
          <w:rFonts w:ascii="Arial" w:cs="Arial" w:eastAsia="Arial" w:hAnsi="Arial"/>
          <w:sz w:val="22"/>
          <w:szCs w:val="22"/>
          <w:color w:val="auto"/>
        </w:rPr>
        <w:t>. Subject to the provisions of Section 6.1(a)(iii), in the event Employee leaves the</w:t>
      </w:r>
      <w:r>
        <w:rPr>
          <w:rFonts w:ascii="Arial" w:cs="Arial" w:eastAsia="Arial" w:hAnsi="Arial"/>
          <w:sz w:val="22"/>
          <w:szCs w:val="22"/>
          <w:b w:val="1"/>
          <w:bCs w:val="1"/>
          <w:color w:val="auto"/>
        </w:rPr>
        <w:t xml:space="preserve"> </w:t>
      </w:r>
      <w:r>
        <w:rPr>
          <w:rFonts w:ascii="Arial" w:cs="Arial" w:eastAsia="Arial" w:hAnsi="Arial"/>
          <w:sz w:val="22"/>
          <w:szCs w:val="22"/>
          <w:color w:val="auto"/>
        </w:rPr>
        <w:t>employ of the Company for any reason prior to December 31 of the year in which the Annual Bonus is being measured, he is not eligible for such Annual Bonus, prorated or otherwise.</w:t>
      </w:r>
    </w:p>
    <w:p>
      <w:pPr>
        <w:spacing w:after="0" w:line="200" w:lineRule="exact"/>
        <w:rPr>
          <w:sz w:val="20"/>
          <w:szCs w:val="20"/>
          <w:color w:val="auto"/>
        </w:rPr>
      </w:pPr>
    </w:p>
    <w:p>
      <w:pPr>
        <w:spacing w:after="0" w:line="371" w:lineRule="exact"/>
        <w:rPr>
          <w:sz w:val="20"/>
          <w:szCs w:val="20"/>
          <w:color w:val="auto"/>
        </w:rPr>
      </w:pPr>
    </w:p>
    <w:p>
      <w:pPr>
        <w:spacing w:after="0"/>
        <w:rPr>
          <w:sz w:val="20"/>
          <w:szCs w:val="20"/>
          <w:color w:val="auto"/>
        </w:rPr>
      </w:pPr>
      <w:r>
        <w:rPr>
          <w:rFonts w:ascii="Arial" w:cs="Arial" w:eastAsia="Arial" w:hAnsi="Arial"/>
          <w:sz w:val="14"/>
          <w:szCs w:val="14"/>
          <w:color w:val="auto"/>
        </w:rPr>
        <w:t>{2312556-2, 110610-00000-01}</w:t>
      </w:r>
    </w:p>
    <w:p>
      <w:pPr>
        <w:spacing w:after="0" w:line="21"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2</w:t>
      </w:r>
    </w:p>
    <w:p>
      <w:pPr>
        <w:sectPr>
          <w:pgSz w:w="11900" w:h="16838" w:orient="portrait"/>
          <w:cols w:equalWidth="0" w:num="1">
            <w:col w:w="11420"/>
          </w:cols>
          <w:pgMar w:left="240" w:top="631" w:right="239" w:bottom="1440" w:gutter="0" w:footer="0" w:header="0"/>
        </w:sectPr>
      </w:pPr>
    </w:p>
    <w:bookmarkStart w:id="56" w:name="page57"/>
    <w:bookmarkEnd w:id="56"/>
    <w:p>
      <w:pPr>
        <w:ind w:left="1300"/>
        <w:spacing w:after="0"/>
        <w:tabs>
          <w:tab w:leader="none" w:pos="1740" w:val="left"/>
        </w:tabs>
        <w:rPr>
          <w:sz w:val="20"/>
          <w:szCs w:val="20"/>
          <w:color w:val="auto"/>
        </w:rPr>
      </w:pPr>
      <w:r>
        <w:rPr>
          <w:rFonts w:ascii="Arial" w:cs="Arial" w:eastAsia="Arial" w:hAnsi="Arial"/>
          <w:sz w:val="22"/>
          <w:szCs w:val="22"/>
          <w:b w:val="1"/>
          <w:bCs w:val="1"/>
          <w:color w:val="auto"/>
        </w:rPr>
        <w:t>2.3</w:t>
      </w:r>
      <w:r>
        <w:rPr>
          <w:sz w:val="20"/>
          <w:szCs w:val="20"/>
          <w:color w:val="auto"/>
        </w:rPr>
        <w:tab/>
      </w:r>
      <w:r>
        <w:rPr>
          <w:rFonts w:ascii="Arial" w:cs="Arial" w:eastAsia="Arial" w:hAnsi="Arial"/>
          <w:sz w:val="19"/>
          <w:szCs w:val="19"/>
          <w:b w:val="1"/>
          <w:bCs w:val="1"/>
          <w:u w:val="single" w:color="auto"/>
          <w:color w:val="auto"/>
        </w:rPr>
        <w:t>Equity Incentive Awards</w:t>
      </w:r>
      <w:r>
        <w:rPr>
          <w:rFonts w:ascii="Arial" w:cs="Arial" w:eastAsia="Arial" w:hAnsi="Arial"/>
          <w:sz w:val="19"/>
          <w:szCs w:val="19"/>
          <w:color w:val="auto"/>
        </w:rPr>
        <w:t>.</w:t>
      </w:r>
    </w:p>
    <w:p>
      <w:pPr>
        <w:spacing w:after="0" w:line="233" w:lineRule="exact"/>
        <w:rPr>
          <w:sz w:val="20"/>
          <w:szCs w:val="20"/>
          <w:color w:val="auto"/>
        </w:rPr>
      </w:pPr>
    </w:p>
    <w:p>
      <w:pPr>
        <w:jc w:val="both"/>
        <w:ind w:firstLine="1953"/>
        <w:spacing w:after="0" w:line="249" w:lineRule="auto"/>
        <w:tabs>
          <w:tab w:leader="none" w:pos="2431" w:val="left"/>
        </w:tabs>
        <w:numPr>
          <w:ilvl w:val="0"/>
          <w:numId w:val="32"/>
        </w:numPr>
        <w:rPr>
          <w:rFonts w:ascii="Arial" w:cs="Arial" w:eastAsia="Arial" w:hAnsi="Arial"/>
          <w:sz w:val="22"/>
          <w:szCs w:val="22"/>
          <w:b w:val="1"/>
          <w:bCs w:val="1"/>
          <w:color w:val="auto"/>
        </w:rPr>
      </w:pPr>
      <w:r>
        <w:rPr>
          <w:rFonts w:ascii="Arial" w:cs="Arial" w:eastAsia="Arial" w:hAnsi="Arial"/>
          <w:sz w:val="22"/>
          <w:szCs w:val="22"/>
          <w:b w:val="1"/>
          <w:bCs w:val="1"/>
          <w:u w:val="single" w:color="auto"/>
          <w:color w:val="auto"/>
        </w:rPr>
        <w:t>Prior Equity Incentive Awards</w:t>
      </w:r>
      <w:r>
        <w:rPr>
          <w:rFonts w:ascii="Arial" w:cs="Arial" w:eastAsia="Arial" w:hAnsi="Arial"/>
          <w:sz w:val="22"/>
          <w:szCs w:val="22"/>
          <w:color w:val="auto"/>
        </w:rPr>
        <w:t>. The parties acknowledge that</w:t>
      </w:r>
      <w:r>
        <w:rPr>
          <w:rFonts w:ascii="Arial" w:cs="Arial" w:eastAsia="Arial" w:hAnsi="Arial"/>
          <w:sz w:val="22"/>
          <w:szCs w:val="22"/>
          <w:b w:val="1"/>
          <w:bCs w:val="1"/>
          <w:color w:val="auto"/>
        </w:rPr>
        <w:t xml:space="preserve"> Exhibit A </w:t>
      </w:r>
      <w:r>
        <w:rPr>
          <w:rFonts w:ascii="Arial" w:cs="Arial" w:eastAsia="Arial" w:hAnsi="Arial"/>
          <w:sz w:val="22"/>
          <w:szCs w:val="22"/>
          <w:color w:val="auto"/>
        </w:rPr>
        <w:t>is a complete and accurate</w:t>
      </w:r>
      <w:r>
        <w:rPr>
          <w:rFonts w:ascii="Arial" w:cs="Arial" w:eastAsia="Arial" w:hAnsi="Arial"/>
          <w:sz w:val="22"/>
          <w:szCs w:val="22"/>
          <w:b w:val="1"/>
          <w:bCs w:val="1"/>
          <w:color w:val="auto"/>
        </w:rPr>
        <w:t xml:space="preserve"> </w:t>
      </w:r>
      <w:r>
        <w:rPr>
          <w:rFonts w:ascii="Arial" w:cs="Arial" w:eastAsia="Arial" w:hAnsi="Arial"/>
          <w:sz w:val="22"/>
          <w:szCs w:val="22"/>
          <w:color w:val="auto"/>
        </w:rPr>
        <w:t>list of Employee’s options to purchase shares of the Company’s common stock (the “</w:t>
      </w:r>
      <w:r>
        <w:rPr>
          <w:rFonts w:ascii="Arial" w:cs="Arial" w:eastAsia="Arial" w:hAnsi="Arial"/>
          <w:sz w:val="22"/>
          <w:szCs w:val="22"/>
          <w:b w:val="1"/>
          <w:bCs w:val="1"/>
          <w:i w:val="1"/>
          <w:iCs w:val="1"/>
          <w:color w:val="auto"/>
        </w:rPr>
        <w:t>Prior Options</w:t>
      </w:r>
      <w:r>
        <w:rPr>
          <w:rFonts w:ascii="Arial" w:cs="Arial" w:eastAsia="Arial" w:hAnsi="Arial"/>
          <w:sz w:val="22"/>
          <w:szCs w:val="22"/>
          <w:color w:val="auto"/>
        </w:rPr>
        <w:t>”) and restricted shares of the Company’s common stock (“</w:t>
      </w:r>
      <w:r>
        <w:rPr>
          <w:rFonts w:ascii="Arial" w:cs="Arial" w:eastAsia="Arial" w:hAnsi="Arial"/>
          <w:sz w:val="22"/>
          <w:szCs w:val="22"/>
          <w:b w:val="1"/>
          <w:bCs w:val="1"/>
          <w:i w:val="1"/>
          <w:iCs w:val="1"/>
          <w:color w:val="auto"/>
        </w:rPr>
        <w:t>Prior Restricted Stock Awards</w:t>
      </w:r>
      <w:r>
        <w:rPr>
          <w:rFonts w:ascii="Arial" w:cs="Arial" w:eastAsia="Arial" w:hAnsi="Arial"/>
          <w:sz w:val="22"/>
          <w:szCs w:val="22"/>
          <w:color w:val="auto"/>
        </w:rPr>
        <w:t>”) granted by the Company to Employee prior to the Effective Date of this Agreement. The Prior Options and Prior Restricted Stock Awards are subject to the Company’s 2006 Equity Incentive Plan (the “</w:t>
      </w:r>
      <w:r>
        <w:rPr>
          <w:rFonts w:ascii="Arial" w:cs="Arial" w:eastAsia="Arial" w:hAnsi="Arial"/>
          <w:sz w:val="22"/>
          <w:szCs w:val="22"/>
          <w:b w:val="1"/>
          <w:bCs w:val="1"/>
          <w:i w:val="1"/>
          <w:iCs w:val="1"/>
          <w:color w:val="auto"/>
        </w:rPr>
        <w:t>2006 Plan</w:t>
      </w:r>
      <w:r>
        <w:rPr>
          <w:rFonts w:ascii="Arial" w:cs="Arial" w:eastAsia="Arial" w:hAnsi="Arial"/>
          <w:sz w:val="22"/>
          <w:szCs w:val="22"/>
          <w:color w:val="auto"/>
        </w:rPr>
        <w:t>”) or the Company’s 2016 Equity Incentive Plan (the “</w:t>
      </w:r>
      <w:r>
        <w:rPr>
          <w:rFonts w:ascii="Arial" w:cs="Arial" w:eastAsia="Arial" w:hAnsi="Arial"/>
          <w:sz w:val="22"/>
          <w:szCs w:val="22"/>
          <w:b w:val="1"/>
          <w:bCs w:val="1"/>
          <w:i w:val="1"/>
          <w:iCs w:val="1"/>
          <w:color w:val="auto"/>
        </w:rPr>
        <w:t>2016 Plan</w:t>
      </w:r>
      <w:r>
        <w:rPr>
          <w:rFonts w:ascii="Arial" w:cs="Arial" w:eastAsia="Arial" w:hAnsi="Arial"/>
          <w:sz w:val="22"/>
          <w:szCs w:val="22"/>
          <w:color w:val="auto"/>
        </w:rPr>
        <w:t>”) and individual stock option and restricted stock grant notices and agreements (“</w:t>
      </w:r>
      <w:r>
        <w:rPr>
          <w:rFonts w:ascii="Arial" w:cs="Arial" w:eastAsia="Arial" w:hAnsi="Arial"/>
          <w:sz w:val="22"/>
          <w:szCs w:val="22"/>
          <w:b w:val="1"/>
          <w:bCs w:val="1"/>
          <w:i w:val="1"/>
          <w:iCs w:val="1"/>
          <w:color w:val="auto"/>
        </w:rPr>
        <w:t>Award Agreements</w:t>
      </w:r>
      <w:r>
        <w:rPr>
          <w:rFonts w:ascii="Arial" w:cs="Arial" w:eastAsia="Arial" w:hAnsi="Arial"/>
          <w:sz w:val="22"/>
          <w:szCs w:val="22"/>
          <w:color w:val="auto"/>
        </w:rPr>
        <w:t>”), as applicable, including but not limited to the vesting schedules set forth therein.</w:t>
      </w:r>
    </w:p>
    <w:p>
      <w:pPr>
        <w:spacing w:after="0" w:line="188" w:lineRule="exact"/>
        <w:rPr>
          <w:rFonts w:ascii="Arial" w:cs="Arial" w:eastAsia="Arial" w:hAnsi="Arial"/>
          <w:sz w:val="22"/>
          <w:szCs w:val="22"/>
          <w:b w:val="1"/>
          <w:bCs w:val="1"/>
          <w:color w:val="auto"/>
        </w:rPr>
      </w:pPr>
    </w:p>
    <w:p>
      <w:pPr>
        <w:ind w:firstLine="1953"/>
        <w:spacing w:after="0" w:line="282" w:lineRule="auto"/>
        <w:tabs>
          <w:tab w:leader="none" w:pos="2510" w:val="left"/>
        </w:tabs>
        <w:numPr>
          <w:ilvl w:val="0"/>
          <w:numId w:val="32"/>
        </w:numPr>
        <w:rPr>
          <w:rFonts w:ascii="Arial" w:cs="Arial" w:eastAsia="Arial" w:hAnsi="Arial"/>
          <w:sz w:val="22"/>
          <w:szCs w:val="22"/>
          <w:b w:val="1"/>
          <w:bCs w:val="1"/>
          <w:color w:val="auto"/>
        </w:rPr>
      </w:pPr>
      <w:r>
        <w:rPr>
          <w:rFonts w:ascii="Arial" w:cs="Arial" w:eastAsia="Arial" w:hAnsi="Arial"/>
          <w:sz w:val="22"/>
          <w:szCs w:val="22"/>
          <w:b w:val="1"/>
          <w:bCs w:val="1"/>
          <w:u w:val="single" w:color="auto"/>
          <w:color w:val="auto"/>
        </w:rPr>
        <w:t>Acceleration</w:t>
      </w:r>
      <w:r>
        <w:rPr>
          <w:rFonts w:ascii="Arial" w:cs="Arial" w:eastAsia="Arial" w:hAnsi="Arial"/>
          <w:sz w:val="22"/>
          <w:szCs w:val="22"/>
          <w:b w:val="1"/>
          <w:bCs w:val="1"/>
          <w:color w:val="auto"/>
        </w:rPr>
        <w:t xml:space="preserve">. </w:t>
      </w:r>
      <w:r>
        <w:rPr>
          <w:rFonts w:ascii="Arial" w:cs="Arial" w:eastAsia="Arial" w:hAnsi="Arial"/>
          <w:sz w:val="22"/>
          <w:szCs w:val="22"/>
          <w:color w:val="auto"/>
        </w:rPr>
        <w:t>The Prior Options and Prior Restricted Stock Awards may be subject to accelerated</w:t>
      </w:r>
      <w:r>
        <w:rPr>
          <w:rFonts w:ascii="Arial" w:cs="Arial" w:eastAsia="Arial" w:hAnsi="Arial"/>
          <w:sz w:val="22"/>
          <w:szCs w:val="22"/>
          <w:b w:val="1"/>
          <w:bCs w:val="1"/>
          <w:color w:val="auto"/>
        </w:rPr>
        <w:t xml:space="preserve"> </w:t>
      </w:r>
      <w:r>
        <w:rPr>
          <w:rFonts w:ascii="Arial" w:cs="Arial" w:eastAsia="Arial" w:hAnsi="Arial"/>
          <w:sz w:val="22"/>
          <w:szCs w:val="22"/>
          <w:color w:val="auto"/>
        </w:rPr>
        <w:t>vesting in accordance with Section 6 of this Agreement.</w:t>
      </w:r>
    </w:p>
    <w:p>
      <w:pPr>
        <w:spacing w:after="0" w:line="148" w:lineRule="exact"/>
        <w:rPr>
          <w:sz w:val="20"/>
          <w:szCs w:val="20"/>
          <w:color w:val="auto"/>
        </w:rPr>
      </w:pPr>
    </w:p>
    <w:p>
      <w:pPr>
        <w:jc w:val="both"/>
        <w:ind w:firstLine="1297"/>
        <w:spacing w:after="0" w:line="249" w:lineRule="auto"/>
        <w:rPr>
          <w:sz w:val="20"/>
          <w:szCs w:val="20"/>
          <w:color w:val="auto"/>
        </w:rPr>
      </w:pPr>
      <w:r>
        <w:rPr>
          <w:rFonts w:ascii="Arial" w:cs="Arial" w:eastAsia="Arial" w:hAnsi="Arial"/>
          <w:sz w:val="22"/>
          <w:szCs w:val="22"/>
          <w:b w:val="1"/>
          <w:bCs w:val="1"/>
          <w:color w:val="auto"/>
        </w:rPr>
        <w:t xml:space="preserve">2.4 </w:t>
      </w:r>
      <w:r>
        <w:rPr>
          <w:rFonts w:ascii="Arial" w:cs="Arial" w:eastAsia="Arial" w:hAnsi="Arial"/>
          <w:sz w:val="22"/>
          <w:szCs w:val="22"/>
          <w:b w:val="1"/>
          <w:bCs w:val="1"/>
          <w:u w:val="single" w:color="auto"/>
          <w:color w:val="auto"/>
        </w:rPr>
        <w:t>Expense Reimbursement</w:t>
      </w:r>
      <w:r>
        <w:rPr>
          <w:rFonts w:ascii="Arial" w:cs="Arial" w:eastAsia="Arial" w:hAnsi="Arial"/>
          <w:sz w:val="22"/>
          <w:szCs w:val="22"/>
          <w:color w:val="auto"/>
        </w:rPr>
        <w:t>. The Company will reimburse Employee for reasonable business expenses in</w:t>
      </w:r>
      <w:r>
        <w:rPr>
          <w:rFonts w:ascii="Arial" w:cs="Arial" w:eastAsia="Arial" w:hAnsi="Arial"/>
          <w:sz w:val="22"/>
          <w:szCs w:val="22"/>
          <w:b w:val="1"/>
          <w:bCs w:val="1"/>
          <w:color w:val="auto"/>
        </w:rPr>
        <w:t xml:space="preserve"> </w:t>
      </w:r>
      <w:r>
        <w:rPr>
          <w:rFonts w:ascii="Arial" w:cs="Arial" w:eastAsia="Arial" w:hAnsi="Arial"/>
          <w:sz w:val="22"/>
          <w:szCs w:val="22"/>
          <w:color w:val="auto"/>
        </w:rPr>
        <w:t>accordance with the Company’s standard expense reimbursement policy. For the avoidance of doubt, to the extent that any reimbursements payable to Employee are subject to the provisions of Section 409A of the Internal Revenue Code of 1986, as amended (the “</w:t>
      </w:r>
      <w:r>
        <w:rPr>
          <w:rFonts w:ascii="Arial" w:cs="Arial" w:eastAsia="Arial" w:hAnsi="Arial"/>
          <w:sz w:val="22"/>
          <w:szCs w:val="22"/>
          <w:b w:val="1"/>
          <w:bCs w:val="1"/>
          <w:i w:val="1"/>
          <w:iCs w:val="1"/>
          <w:color w:val="auto"/>
        </w:rPr>
        <w:t>Code</w:t>
      </w:r>
      <w:r>
        <w:rPr>
          <w:rFonts w:ascii="Arial" w:cs="Arial" w:eastAsia="Arial" w:hAnsi="Arial"/>
          <w:sz w:val="22"/>
          <w:szCs w:val="22"/>
          <w:color w:val="auto"/>
        </w:rPr>
        <w:t>”): (a) any such reimbursements will be paid no later than December 31 of the year following the year in which the expense was incurred, (b) the amount of expenses reimbursed in one year will not affect the amount eligible for reimbursement in any subsequent year, and (c) the right to reimbursement under this Agreement will not be subject to liquidation or exchange for another benefit.</w:t>
      </w:r>
    </w:p>
    <w:p>
      <w:pPr>
        <w:spacing w:after="0" w:line="189" w:lineRule="exact"/>
        <w:rPr>
          <w:sz w:val="20"/>
          <w:szCs w:val="20"/>
          <w:color w:val="auto"/>
        </w:rPr>
      </w:pPr>
    </w:p>
    <w:p>
      <w:pPr>
        <w:ind w:left="1540" w:hanging="884"/>
        <w:spacing w:after="0"/>
        <w:tabs>
          <w:tab w:leader="none" w:pos="1540" w:val="left"/>
        </w:tabs>
        <w:numPr>
          <w:ilvl w:val="0"/>
          <w:numId w:val="33"/>
        </w:numPr>
        <w:rPr>
          <w:rFonts w:ascii="Arial" w:cs="Arial" w:eastAsia="Arial" w:hAnsi="Arial"/>
          <w:sz w:val="22"/>
          <w:szCs w:val="22"/>
          <w:b w:val="1"/>
          <w:bCs w:val="1"/>
          <w:color w:val="auto"/>
        </w:rPr>
      </w:pPr>
      <w:r>
        <w:rPr>
          <w:rFonts w:ascii="Arial" w:cs="Arial" w:eastAsia="Arial" w:hAnsi="Arial"/>
          <w:sz w:val="22"/>
          <w:szCs w:val="22"/>
          <w:b w:val="1"/>
          <w:bCs w:val="1"/>
          <w:color w:val="auto"/>
        </w:rPr>
        <w:t>[INTENTIONALLY DELETED]</w:t>
      </w:r>
      <w:r>
        <w:rPr>
          <w:rFonts w:ascii="Arial" w:cs="Arial" w:eastAsia="Arial" w:hAnsi="Arial"/>
          <w:sz w:val="22"/>
          <w:szCs w:val="22"/>
          <w:color w:val="auto"/>
        </w:rPr>
        <w:t>.</w:t>
      </w:r>
    </w:p>
    <w:p>
      <w:pPr>
        <w:spacing w:after="0" w:line="200" w:lineRule="exact"/>
        <w:rPr>
          <w:rFonts w:ascii="Arial" w:cs="Arial" w:eastAsia="Arial" w:hAnsi="Arial"/>
          <w:sz w:val="22"/>
          <w:szCs w:val="22"/>
          <w:b w:val="1"/>
          <w:bCs w:val="1"/>
          <w:color w:val="auto"/>
        </w:rPr>
      </w:pPr>
    </w:p>
    <w:p>
      <w:pPr>
        <w:spacing w:after="0" w:line="276" w:lineRule="exact"/>
        <w:rPr>
          <w:rFonts w:ascii="Arial" w:cs="Arial" w:eastAsia="Arial" w:hAnsi="Arial"/>
          <w:sz w:val="22"/>
          <w:szCs w:val="22"/>
          <w:b w:val="1"/>
          <w:bCs w:val="1"/>
          <w:color w:val="auto"/>
        </w:rPr>
      </w:pPr>
    </w:p>
    <w:p>
      <w:pPr>
        <w:jc w:val="both"/>
        <w:ind w:firstLine="656"/>
        <w:spacing w:after="0" w:line="259" w:lineRule="auto"/>
        <w:tabs>
          <w:tab w:leader="none" w:pos="1459" w:val="left"/>
        </w:tabs>
        <w:numPr>
          <w:ilvl w:val="0"/>
          <w:numId w:val="33"/>
        </w:numPr>
        <w:rPr>
          <w:rFonts w:ascii="Arial" w:cs="Arial" w:eastAsia="Arial" w:hAnsi="Arial"/>
          <w:sz w:val="21"/>
          <w:szCs w:val="21"/>
          <w:b w:val="1"/>
          <w:bCs w:val="1"/>
          <w:color w:val="auto"/>
        </w:rPr>
      </w:pPr>
      <w:r>
        <w:rPr>
          <w:rFonts w:ascii="Arial" w:cs="Arial" w:eastAsia="Arial" w:hAnsi="Arial"/>
          <w:sz w:val="21"/>
          <w:szCs w:val="21"/>
          <w:b w:val="1"/>
          <w:bCs w:val="1"/>
          <w:u w:val="single" w:color="auto"/>
          <w:color w:val="auto"/>
        </w:rPr>
        <w:t>OUTSIDE ACTIVITIES</w:t>
      </w:r>
      <w:r>
        <w:rPr>
          <w:rFonts w:ascii="Arial" w:cs="Arial" w:eastAsia="Arial" w:hAnsi="Arial"/>
          <w:sz w:val="21"/>
          <w:szCs w:val="21"/>
          <w:b w:val="1"/>
          <w:bCs w:val="1"/>
          <w:color w:val="auto"/>
        </w:rPr>
        <w:t xml:space="preserve">. </w:t>
      </w:r>
      <w:r>
        <w:rPr>
          <w:rFonts w:ascii="Arial" w:cs="Arial" w:eastAsia="Arial" w:hAnsi="Arial"/>
          <w:sz w:val="21"/>
          <w:szCs w:val="21"/>
          <w:color w:val="auto"/>
        </w:rPr>
        <w:t>Except with the prior written consent of the CEO, Employee will not, while employed</w:t>
      </w:r>
      <w:r>
        <w:rPr>
          <w:rFonts w:ascii="Arial" w:cs="Arial" w:eastAsia="Arial" w:hAnsi="Arial"/>
          <w:sz w:val="21"/>
          <w:szCs w:val="21"/>
          <w:b w:val="1"/>
          <w:bCs w:val="1"/>
          <w:color w:val="auto"/>
        </w:rPr>
        <w:t xml:space="preserve"> </w:t>
      </w:r>
      <w:r>
        <w:rPr>
          <w:rFonts w:ascii="Arial" w:cs="Arial" w:eastAsia="Arial" w:hAnsi="Arial"/>
          <w:sz w:val="21"/>
          <w:szCs w:val="21"/>
          <w:color w:val="auto"/>
        </w:rPr>
        <w:t>by the Company, undertake or engage in any other employment, occupation or business enterprise that would interfere with Employee’s responsibilities and the performance of Employee’s duties hereunder except for (i) reasonable time devoted to volunteer services for or on behalf of such religious, educational, non-profit and/or other charitable organization as Employee may wish to serve, (ii) reasonable time devoted to activities in the non-profit and business communities consistent with Employee position with the Company; or (iii) reasonable time serving as trustee, director or advisor to any family companies or trusts. This restriction shall not, however, preclude the Employee (x) from owning (A) less than one percent (1%) of the total outstanding shares of a publicly traded company or (B) equity in real estate holding or management companies, or (y) from employment or service in any capacity with Affiliates of the Company. As used in this Agreement, “</w:t>
      </w:r>
      <w:r>
        <w:rPr>
          <w:rFonts w:ascii="Arial" w:cs="Arial" w:eastAsia="Arial" w:hAnsi="Arial"/>
          <w:sz w:val="21"/>
          <w:szCs w:val="21"/>
          <w:b w:val="1"/>
          <w:bCs w:val="1"/>
          <w:i w:val="1"/>
          <w:iCs w:val="1"/>
          <w:color w:val="auto"/>
        </w:rPr>
        <w:t>Affiliates</w:t>
      </w:r>
      <w:r>
        <w:rPr>
          <w:rFonts w:ascii="Arial" w:cs="Arial" w:eastAsia="Arial" w:hAnsi="Arial"/>
          <w:sz w:val="21"/>
          <w:szCs w:val="21"/>
          <w:color w:val="auto"/>
        </w:rPr>
        <w:t>” means an entity under common management or control with the Company.</w:t>
      </w:r>
    </w:p>
    <w:p>
      <w:pPr>
        <w:spacing w:after="0" w:line="176" w:lineRule="exact"/>
        <w:rPr>
          <w:rFonts w:ascii="Arial" w:cs="Arial" w:eastAsia="Arial" w:hAnsi="Arial"/>
          <w:sz w:val="21"/>
          <w:szCs w:val="21"/>
          <w:b w:val="1"/>
          <w:bCs w:val="1"/>
          <w:color w:val="auto"/>
        </w:rPr>
      </w:pPr>
    </w:p>
    <w:p>
      <w:pPr>
        <w:jc w:val="both"/>
        <w:ind w:firstLine="656"/>
        <w:spacing w:after="0" w:line="298" w:lineRule="auto"/>
        <w:tabs>
          <w:tab w:leader="none" w:pos="1459" w:val="left"/>
        </w:tabs>
        <w:numPr>
          <w:ilvl w:val="0"/>
          <w:numId w:val="33"/>
        </w:numPr>
        <w:rPr>
          <w:rFonts w:ascii="Arial" w:cs="Arial" w:eastAsia="Arial" w:hAnsi="Arial"/>
          <w:sz w:val="19"/>
          <w:szCs w:val="19"/>
          <w:b w:val="1"/>
          <w:bCs w:val="1"/>
          <w:color w:val="auto"/>
        </w:rPr>
      </w:pPr>
      <w:r>
        <w:rPr>
          <w:rFonts w:ascii="Arial" w:cs="Arial" w:eastAsia="Arial" w:hAnsi="Arial"/>
          <w:sz w:val="19"/>
          <w:szCs w:val="19"/>
          <w:b w:val="1"/>
          <w:bCs w:val="1"/>
          <w:u w:val="single" w:color="auto"/>
          <w:color w:val="auto"/>
        </w:rPr>
        <w:t>NO CONFLICT WITH EXISTING OBLIGATIONS</w:t>
      </w:r>
      <w:r>
        <w:rPr>
          <w:rFonts w:ascii="Arial" w:cs="Arial" w:eastAsia="Arial" w:hAnsi="Arial"/>
          <w:sz w:val="19"/>
          <w:szCs w:val="19"/>
          <w:color w:val="auto"/>
        </w:rPr>
        <w:t>. Employee represents that Employee’s performance of all</w:t>
      </w:r>
      <w:r>
        <w:rPr>
          <w:rFonts w:ascii="Arial" w:cs="Arial" w:eastAsia="Arial" w:hAnsi="Arial"/>
          <w:sz w:val="19"/>
          <w:szCs w:val="19"/>
          <w:b w:val="1"/>
          <w:bCs w:val="1"/>
          <w:color w:val="auto"/>
        </w:rPr>
        <w:t xml:space="preserve"> </w:t>
      </w:r>
      <w:r>
        <w:rPr>
          <w:rFonts w:ascii="Arial" w:cs="Arial" w:eastAsia="Arial" w:hAnsi="Arial"/>
          <w:sz w:val="19"/>
          <w:szCs w:val="19"/>
          <w:color w:val="auto"/>
        </w:rPr>
        <w:t>the terms of this Agreement and as an employee of the Company do not and will not breach any agreement or obligation of any kind made prior to Employee’s employment by the Company, including agreements or obligations Employee may have with prior employers or entities for which Employee has provided services. Employee has not entered into, and Employee agrees that Employee will not enter into, any agreement or obligation, either written or oral, in conflict herewith.</w:t>
      </w:r>
    </w:p>
    <w:p>
      <w:pPr>
        <w:spacing w:after="0" w:line="200" w:lineRule="exact"/>
        <w:rPr>
          <w:sz w:val="20"/>
          <w:szCs w:val="20"/>
          <w:color w:val="auto"/>
        </w:rPr>
      </w:pPr>
    </w:p>
    <w:p>
      <w:pPr>
        <w:spacing w:after="0" w:line="343" w:lineRule="exact"/>
        <w:rPr>
          <w:sz w:val="20"/>
          <w:szCs w:val="20"/>
          <w:color w:val="auto"/>
        </w:rPr>
      </w:pPr>
    </w:p>
    <w:p>
      <w:pPr>
        <w:spacing w:after="0"/>
        <w:rPr>
          <w:sz w:val="20"/>
          <w:szCs w:val="20"/>
          <w:color w:val="auto"/>
        </w:rPr>
      </w:pPr>
      <w:r>
        <w:rPr>
          <w:rFonts w:ascii="Arial" w:cs="Arial" w:eastAsia="Arial" w:hAnsi="Arial"/>
          <w:sz w:val="14"/>
          <w:szCs w:val="14"/>
          <w:color w:val="auto"/>
        </w:rPr>
        <w:t>{2312556-2, 110610-00000-01}</w:t>
      </w:r>
    </w:p>
    <w:p>
      <w:pPr>
        <w:spacing w:after="0" w:line="21"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3</w:t>
      </w:r>
    </w:p>
    <w:p>
      <w:pPr>
        <w:sectPr>
          <w:pgSz w:w="11900" w:h="16838" w:orient="portrait"/>
          <w:cols w:equalWidth="0" w:num="1">
            <w:col w:w="11420"/>
          </w:cols>
          <w:pgMar w:left="240" w:top="625" w:right="239" w:bottom="1440" w:gutter="0" w:footer="0" w:header="0"/>
        </w:sectPr>
      </w:pPr>
    </w:p>
    <w:bookmarkStart w:id="57" w:name="page58"/>
    <w:bookmarkEnd w:id="57"/>
    <w:p>
      <w:pPr>
        <w:jc w:val="both"/>
        <w:ind w:firstLine="656"/>
        <w:spacing w:after="0" w:line="252" w:lineRule="auto"/>
        <w:tabs>
          <w:tab w:leader="none" w:pos="1459" w:val="left"/>
        </w:tabs>
        <w:numPr>
          <w:ilvl w:val="0"/>
          <w:numId w:val="34"/>
        </w:numPr>
        <w:rPr>
          <w:rFonts w:ascii="Arial" w:cs="Arial" w:eastAsia="Arial" w:hAnsi="Arial"/>
          <w:sz w:val="22"/>
          <w:szCs w:val="22"/>
          <w:b w:val="1"/>
          <w:bCs w:val="1"/>
          <w:color w:val="auto"/>
        </w:rPr>
      </w:pPr>
      <w:r>
        <w:rPr>
          <w:rFonts w:ascii="Arial" w:cs="Arial" w:eastAsia="Arial" w:hAnsi="Arial"/>
          <w:sz w:val="22"/>
          <w:szCs w:val="22"/>
          <w:b w:val="1"/>
          <w:bCs w:val="1"/>
          <w:u w:val="single" w:color="auto"/>
          <w:color w:val="auto"/>
        </w:rPr>
        <w:t>TERMINATION OF EMPLOYMENT</w:t>
      </w:r>
      <w:r>
        <w:rPr>
          <w:rFonts w:ascii="Arial" w:cs="Arial" w:eastAsia="Arial" w:hAnsi="Arial"/>
          <w:sz w:val="22"/>
          <w:szCs w:val="22"/>
          <w:b w:val="1"/>
          <w:bCs w:val="1"/>
          <w:color w:val="auto"/>
        </w:rPr>
        <w:t xml:space="preserve">. </w:t>
      </w:r>
      <w:r>
        <w:rPr>
          <w:rFonts w:ascii="Arial" w:cs="Arial" w:eastAsia="Arial" w:hAnsi="Arial"/>
          <w:sz w:val="22"/>
          <w:szCs w:val="22"/>
          <w:color w:val="auto"/>
        </w:rPr>
        <w:t>The parties acknowledge that Employee’s employment relationship with</w:t>
      </w:r>
      <w:r>
        <w:rPr>
          <w:rFonts w:ascii="Arial" w:cs="Arial" w:eastAsia="Arial" w:hAnsi="Arial"/>
          <w:sz w:val="22"/>
          <w:szCs w:val="22"/>
          <w:b w:val="1"/>
          <w:bCs w:val="1"/>
          <w:color w:val="auto"/>
        </w:rPr>
        <w:t xml:space="preserve"> </w:t>
      </w:r>
      <w:r>
        <w:rPr>
          <w:rFonts w:ascii="Arial" w:cs="Arial" w:eastAsia="Arial" w:hAnsi="Arial"/>
          <w:sz w:val="22"/>
          <w:szCs w:val="22"/>
          <w:color w:val="auto"/>
        </w:rPr>
        <w:t>the Company is at-will. Either Employee or the Company may terminate the employment relationship at any time, with or without cause. The provisions in this Section govern the amount of compensation, if any, to be provided to Employee upon termination of employment and do not alter this at-will status.</w:t>
      </w:r>
    </w:p>
    <w:p>
      <w:pPr>
        <w:spacing w:after="0" w:line="200" w:lineRule="exact"/>
        <w:rPr>
          <w:sz w:val="20"/>
          <w:szCs w:val="20"/>
          <w:color w:val="auto"/>
        </w:rPr>
      </w:pPr>
    </w:p>
    <w:p>
      <w:pPr>
        <w:spacing w:after="0" w:line="237" w:lineRule="exact"/>
        <w:rPr>
          <w:sz w:val="20"/>
          <w:szCs w:val="20"/>
          <w:color w:val="auto"/>
        </w:rPr>
      </w:pPr>
    </w:p>
    <w:p>
      <w:pPr>
        <w:ind w:left="1300"/>
        <w:spacing w:after="0"/>
        <w:tabs>
          <w:tab w:leader="none" w:pos="1740" w:val="left"/>
        </w:tabs>
        <w:rPr>
          <w:sz w:val="20"/>
          <w:szCs w:val="20"/>
          <w:color w:val="auto"/>
        </w:rPr>
      </w:pPr>
      <w:r>
        <w:rPr>
          <w:rFonts w:ascii="Arial" w:cs="Arial" w:eastAsia="Arial" w:hAnsi="Arial"/>
          <w:sz w:val="22"/>
          <w:szCs w:val="22"/>
          <w:b w:val="1"/>
          <w:bCs w:val="1"/>
          <w:color w:val="auto"/>
        </w:rPr>
        <w:t>6.1</w:t>
      </w:r>
      <w:r>
        <w:rPr>
          <w:sz w:val="20"/>
          <w:szCs w:val="20"/>
          <w:color w:val="auto"/>
        </w:rPr>
        <w:tab/>
      </w:r>
      <w:r>
        <w:rPr>
          <w:rFonts w:ascii="Arial" w:cs="Arial" w:eastAsia="Arial" w:hAnsi="Arial"/>
          <w:sz w:val="19"/>
          <w:szCs w:val="19"/>
          <w:b w:val="1"/>
          <w:bCs w:val="1"/>
          <w:u w:val="single" w:color="auto"/>
          <w:color w:val="auto"/>
        </w:rPr>
        <w:t>Termination by the Company or Resignation by Employee</w:t>
      </w:r>
      <w:r>
        <w:rPr>
          <w:rFonts w:ascii="Arial" w:cs="Arial" w:eastAsia="Arial" w:hAnsi="Arial"/>
          <w:sz w:val="19"/>
          <w:szCs w:val="19"/>
          <w:color w:val="auto"/>
        </w:rPr>
        <w:t>.</w:t>
      </w:r>
    </w:p>
    <w:p>
      <w:pPr>
        <w:spacing w:after="0" w:line="239" w:lineRule="exact"/>
        <w:rPr>
          <w:sz w:val="20"/>
          <w:szCs w:val="20"/>
          <w:color w:val="auto"/>
        </w:rPr>
      </w:pPr>
    </w:p>
    <w:p>
      <w:pPr>
        <w:jc w:val="both"/>
        <w:ind w:firstLine="1953"/>
        <w:spacing w:after="0" w:line="258" w:lineRule="auto"/>
        <w:tabs>
          <w:tab w:leader="none" w:pos="2404" w:val="left"/>
        </w:tabs>
        <w:numPr>
          <w:ilvl w:val="1"/>
          <w:numId w:val="35"/>
        </w:numPr>
        <w:rPr>
          <w:rFonts w:ascii="Arial" w:cs="Arial" w:eastAsia="Arial" w:hAnsi="Arial"/>
          <w:sz w:val="21"/>
          <w:szCs w:val="21"/>
          <w:b w:val="1"/>
          <w:bCs w:val="1"/>
          <w:color w:val="auto"/>
        </w:rPr>
      </w:pPr>
      <w:r>
        <w:rPr>
          <w:rFonts w:ascii="Arial" w:cs="Arial" w:eastAsia="Arial" w:hAnsi="Arial"/>
          <w:sz w:val="21"/>
          <w:szCs w:val="21"/>
          <w:color w:val="auto"/>
        </w:rPr>
        <w:t>The Company shall have the right to terminate Employee’s employment with the Company pursuant to this Section 6.1 at any time with or without Cause (as defined below), by giving notice as described in Section 7.1 of this Agreement. Likewise, Employee can resign from employment with the Company with or without Good Reason (as defined below), by giving notice as described in Section 7.1 of this Agreement. If Employee is terminated by the Company (with or without Cause) or resigns from employment with the Company (with or without Good Reason), then Employee shall be entitled to the Accrued Obligations (as defined below), and in addition, if Employee is terminated without Cause or resigns for Good Reason, and provided that such termination constitutes a “separation from service” (as defined under Treasury Regulation Section 1.409A-1(h), without regard to any alternative definition thereunder, a “</w:t>
      </w:r>
      <w:r>
        <w:rPr>
          <w:rFonts w:ascii="Arial" w:cs="Arial" w:eastAsia="Arial" w:hAnsi="Arial"/>
          <w:sz w:val="21"/>
          <w:szCs w:val="21"/>
          <w:b w:val="1"/>
          <w:bCs w:val="1"/>
          <w:i w:val="1"/>
          <w:iCs w:val="1"/>
          <w:color w:val="auto"/>
        </w:rPr>
        <w:t>Separation from Service</w:t>
      </w:r>
      <w:r>
        <w:rPr>
          <w:rFonts w:ascii="Arial" w:cs="Arial" w:eastAsia="Arial" w:hAnsi="Arial"/>
          <w:sz w:val="21"/>
          <w:szCs w:val="21"/>
          <w:color w:val="auto"/>
        </w:rPr>
        <w:t>”), and further provided that the Employee executes and allows to become effective a separation agreement that includes, among other terms, a general release of claims in favor of the Company and its affiliates and representatives, in a reasonable form presented by the Company (the “</w:t>
      </w:r>
      <w:r>
        <w:rPr>
          <w:rFonts w:ascii="Arial" w:cs="Arial" w:eastAsia="Arial" w:hAnsi="Arial"/>
          <w:sz w:val="21"/>
          <w:szCs w:val="21"/>
          <w:b w:val="1"/>
          <w:bCs w:val="1"/>
          <w:i w:val="1"/>
          <w:iCs w:val="1"/>
          <w:color w:val="auto"/>
        </w:rPr>
        <w:t>Release</w:t>
      </w:r>
      <w:r>
        <w:rPr>
          <w:rFonts w:ascii="Arial" w:cs="Arial" w:eastAsia="Arial" w:hAnsi="Arial"/>
          <w:sz w:val="21"/>
          <w:szCs w:val="21"/>
          <w:color w:val="auto"/>
        </w:rPr>
        <w:t>”), and subject to Section 6.1(b) (the date that the Release becomes effective and may no longer be revoked by the Employee is referred to as the “</w:t>
      </w:r>
      <w:r>
        <w:rPr>
          <w:rFonts w:ascii="Arial" w:cs="Arial" w:eastAsia="Arial" w:hAnsi="Arial"/>
          <w:sz w:val="21"/>
          <w:szCs w:val="21"/>
          <w:b w:val="1"/>
          <w:bCs w:val="1"/>
          <w:i w:val="1"/>
          <w:iCs w:val="1"/>
          <w:color w:val="auto"/>
        </w:rPr>
        <w:t>Release Date</w:t>
      </w:r>
      <w:r>
        <w:rPr>
          <w:rFonts w:ascii="Arial" w:cs="Arial" w:eastAsia="Arial" w:hAnsi="Arial"/>
          <w:sz w:val="21"/>
          <w:szCs w:val="21"/>
          <w:color w:val="auto"/>
        </w:rPr>
        <w:t>”), then the Employee shall be eligible to receive the following severance benefits (collectively the “</w:t>
      </w:r>
      <w:r>
        <w:rPr>
          <w:rFonts w:ascii="Arial" w:cs="Arial" w:eastAsia="Arial" w:hAnsi="Arial"/>
          <w:sz w:val="21"/>
          <w:szCs w:val="21"/>
          <w:b w:val="1"/>
          <w:bCs w:val="1"/>
          <w:i w:val="1"/>
          <w:iCs w:val="1"/>
          <w:color w:val="auto"/>
        </w:rPr>
        <w:t>Severance</w:t>
      </w:r>
      <w:r>
        <w:rPr>
          <w:rFonts w:ascii="Arial" w:cs="Arial" w:eastAsia="Arial" w:hAnsi="Arial"/>
          <w:sz w:val="21"/>
          <w:szCs w:val="21"/>
          <w:color w:val="auto"/>
        </w:rPr>
        <w:t xml:space="preserve"> </w:t>
      </w:r>
      <w:r>
        <w:rPr>
          <w:rFonts w:ascii="Arial" w:cs="Arial" w:eastAsia="Arial" w:hAnsi="Arial"/>
          <w:sz w:val="21"/>
          <w:szCs w:val="21"/>
          <w:b w:val="1"/>
          <w:bCs w:val="1"/>
          <w:i w:val="1"/>
          <w:iCs w:val="1"/>
          <w:color w:val="auto"/>
        </w:rPr>
        <w:t>Benefits</w:t>
      </w:r>
      <w:r>
        <w:rPr>
          <w:rFonts w:ascii="Arial" w:cs="Arial" w:eastAsia="Arial" w:hAnsi="Arial"/>
          <w:sz w:val="21"/>
          <w:szCs w:val="21"/>
          <w:color w:val="auto"/>
        </w:rPr>
        <w:t>”):</w:t>
      </w:r>
    </w:p>
    <w:p>
      <w:pPr>
        <w:spacing w:after="0" w:line="190" w:lineRule="exact"/>
        <w:rPr>
          <w:rFonts w:ascii="Arial" w:cs="Arial" w:eastAsia="Arial" w:hAnsi="Arial"/>
          <w:sz w:val="21"/>
          <w:szCs w:val="21"/>
          <w:b w:val="1"/>
          <w:bCs w:val="1"/>
          <w:color w:val="auto"/>
        </w:rPr>
      </w:pPr>
    </w:p>
    <w:p>
      <w:pPr>
        <w:ind w:left="3560" w:hanging="392"/>
        <w:spacing w:after="0"/>
        <w:tabs>
          <w:tab w:leader="none" w:pos="3560" w:val="left"/>
        </w:tabs>
        <w:numPr>
          <w:ilvl w:val="2"/>
          <w:numId w:val="35"/>
        </w:numPr>
        <w:rPr>
          <w:rFonts w:ascii="Arial" w:cs="Arial" w:eastAsia="Arial" w:hAnsi="Arial"/>
          <w:sz w:val="19"/>
          <w:szCs w:val="19"/>
          <w:b w:val="1"/>
          <w:bCs w:val="1"/>
          <w:color w:val="auto"/>
        </w:rPr>
      </w:pPr>
      <w:r>
        <w:rPr>
          <w:rFonts w:ascii="Arial" w:cs="Arial" w:eastAsia="Arial" w:hAnsi="Arial"/>
          <w:sz w:val="19"/>
          <w:szCs w:val="19"/>
          <w:color w:val="auto"/>
        </w:rPr>
        <w:t>An amount equal to nine (9) months of Employee’s then current Base Salary, less standard</w:t>
      </w:r>
    </w:p>
    <w:p>
      <w:pPr>
        <w:spacing w:after="0" w:line="56" w:lineRule="exact"/>
        <w:rPr>
          <w:rFonts w:ascii="Arial" w:cs="Arial" w:eastAsia="Arial" w:hAnsi="Arial"/>
          <w:sz w:val="19"/>
          <w:szCs w:val="19"/>
          <w:b w:val="1"/>
          <w:bCs w:val="1"/>
          <w:color w:val="auto"/>
        </w:rPr>
      </w:pPr>
    </w:p>
    <w:p>
      <w:pPr>
        <w:ind w:left="580"/>
        <w:spacing w:after="0"/>
        <w:rPr>
          <w:rFonts w:ascii="Arial" w:cs="Arial" w:eastAsia="Arial" w:hAnsi="Arial"/>
          <w:sz w:val="19"/>
          <w:szCs w:val="19"/>
          <w:b w:val="1"/>
          <w:bCs w:val="1"/>
          <w:color w:val="auto"/>
        </w:rPr>
      </w:pPr>
      <w:r>
        <w:rPr>
          <w:rFonts w:ascii="Arial" w:cs="Arial" w:eastAsia="Arial" w:hAnsi="Arial"/>
          <w:sz w:val="22"/>
          <w:szCs w:val="22"/>
          <w:color w:val="auto"/>
        </w:rPr>
        <w:t>payroll deductions and withholdings, paid in installments on the Company’s regular payroll dates;</w:t>
      </w:r>
    </w:p>
    <w:p>
      <w:pPr>
        <w:spacing w:after="0" w:line="215" w:lineRule="exact"/>
        <w:rPr>
          <w:rFonts w:ascii="Arial" w:cs="Arial" w:eastAsia="Arial" w:hAnsi="Arial"/>
          <w:sz w:val="19"/>
          <w:szCs w:val="19"/>
          <w:b w:val="1"/>
          <w:bCs w:val="1"/>
          <w:color w:val="auto"/>
        </w:rPr>
      </w:pPr>
    </w:p>
    <w:p>
      <w:pPr>
        <w:jc w:val="both"/>
        <w:ind w:left="580" w:firstLine="2588"/>
        <w:spacing w:after="0" w:line="293" w:lineRule="auto"/>
        <w:tabs>
          <w:tab w:leader="none" w:pos="3914" w:val="left"/>
        </w:tabs>
        <w:numPr>
          <w:ilvl w:val="2"/>
          <w:numId w:val="35"/>
        </w:numPr>
        <w:rPr>
          <w:rFonts w:ascii="Arial" w:cs="Arial" w:eastAsia="Arial" w:hAnsi="Arial"/>
          <w:sz w:val="19"/>
          <w:szCs w:val="19"/>
          <w:b w:val="1"/>
          <w:bCs w:val="1"/>
          <w:color w:val="auto"/>
        </w:rPr>
      </w:pPr>
      <w:r>
        <w:rPr>
          <w:rFonts w:ascii="Arial" w:cs="Arial" w:eastAsia="Arial" w:hAnsi="Arial"/>
          <w:sz w:val="19"/>
          <w:szCs w:val="19"/>
          <w:color w:val="auto"/>
        </w:rPr>
        <w:t>provided Employee timely elects continued coverage under COBRA under the Company’s group health plans following such termination, the portion of the COBRA premiums that the Company was previously paying, to continue Employee’s health insurance coverage in effect on the termination date until the earliest of:</w:t>
      </w:r>
    </w:p>
    <w:p>
      <w:pPr>
        <w:spacing w:after="0" w:line="1" w:lineRule="exact"/>
        <w:rPr>
          <w:rFonts w:ascii="Arial" w:cs="Arial" w:eastAsia="Arial" w:hAnsi="Arial"/>
          <w:sz w:val="19"/>
          <w:szCs w:val="19"/>
          <w:b w:val="1"/>
          <w:bCs w:val="1"/>
          <w:color w:val="auto"/>
        </w:rPr>
      </w:pPr>
    </w:p>
    <w:p>
      <w:pPr>
        <w:jc w:val="both"/>
        <w:ind w:left="580" w:hanging="5"/>
        <w:spacing w:after="0" w:line="287" w:lineRule="auto"/>
        <w:tabs>
          <w:tab w:leader="none" w:pos="922" w:val="left"/>
        </w:tabs>
        <w:numPr>
          <w:ilvl w:val="0"/>
          <w:numId w:val="36"/>
        </w:numPr>
        <w:rPr>
          <w:rFonts w:ascii="Arial" w:cs="Arial" w:eastAsia="Arial" w:hAnsi="Arial"/>
          <w:sz w:val="19"/>
          <w:szCs w:val="19"/>
          <w:color w:val="auto"/>
        </w:rPr>
      </w:pPr>
      <w:r>
        <w:rPr>
          <w:rFonts w:ascii="Arial" w:cs="Arial" w:eastAsia="Arial" w:hAnsi="Arial"/>
          <w:sz w:val="19"/>
          <w:szCs w:val="19"/>
          <w:color w:val="auto"/>
        </w:rPr>
        <w:t>twelve (12) months following the termination date (the “</w:t>
      </w:r>
      <w:r>
        <w:rPr>
          <w:rFonts w:ascii="Arial" w:cs="Arial" w:eastAsia="Arial" w:hAnsi="Arial"/>
          <w:sz w:val="19"/>
          <w:szCs w:val="19"/>
          <w:b w:val="1"/>
          <w:bCs w:val="1"/>
          <w:i w:val="1"/>
          <w:iCs w:val="1"/>
          <w:color w:val="auto"/>
        </w:rPr>
        <w:t>COBRA Severance Period</w:t>
      </w:r>
      <w:r>
        <w:rPr>
          <w:rFonts w:ascii="Arial" w:cs="Arial" w:eastAsia="Arial" w:hAnsi="Arial"/>
          <w:sz w:val="19"/>
          <w:szCs w:val="19"/>
          <w:color w:val="auto"/>
        </w:rPr>
        <w:t>”); (2) the date when Employee becomes eligible for substantially equivalent health insurance coverage in connection with new employment or self-employment; or (3) the date Employee ceases to be eligible for COBRA continuation coverage for any reason, including plan termination (such period from the termination date through the earlier of (1)-(3), (the “</w:t>
      </w:r>
      <w:r>
        <w:rPr>
          <w:rFonts w:ascii="Arial" w:cs="Arial" w:eastAsia="Arial" w:hAnsi="Arial"/>
          <w:sz w:val="19"/>
          <w:szCs w:val="19"/>
          <w:b w:val="1"/>
          <w:bCs w:val="1"/>
          <w:i w:val="1"/>
          <w:iCs w:val="1"/>
          <w:color w:val="auto"/>
        </w:rPr>
        <w:t>COBRA Payment Period</w:t>
      </w:r>
      <w:r>
        <w:rPr>
          <w:rFonts w:ascii="Arial" w:cs="Arial" w:eastAsia="Arial" w:hAnsi="Arial"/>
          <w:sz w:val="19"/>
          <w:szCs w:val="19"/>
          <w:color w:val="auto"/>
        </w:rPr>
        <w:t>”). Notwithstanding the foregoing, if at any time the Company determines that its payment of COBRA premiums on Employee’s behalf would result in a violation of applicable law (including, but not limited to, the 2010 Patient Protection and Affordable Care Act, as amended by the 2010 Health Care and Education Reconciliation Act), then in lieu of paying COBRA premiums pursuant to this Section, the Company shall pay Employee on the last day of each remaining month of the COBRA Payment Period, a fully taxable cash payment equal to the COBRA</w:t>
      </w:r>
    </w:p>
    <w:p>
      <w:pPr>
        <w:spacing w:after="0" w:line="200" w:lineRule="exact"/>
        <w:rPr>
          <w:sz w:val="20"/>
          <w:szCs w:val="20"/>
          <w:color w:val="auto"/>
        </w:rPr>
      </w:pPr>
    </w:p>
    <w:p>
      <w:pPr>
        <w:spacing w:after="0" w:line="350" w:lineRule="exact"/>
        <w:rPr>
          <w:sz w:val="20"/>
          <w:szCs w:val="20"/>
          <w:color w:val="auto"/>
        </w:rPr>
      </w:pPr>
    </w:p>
    <w:p>
      <w:pPr>
        <w:spacing w:after="0"/>
        <w:rPr>
          <w:sz w:val="20"/>
          <w:szCs w:val="20"/>
          <w:color w:val="auto"/>
        </w:rPr>
      </w:pPr>
      <w:r>
        <w:rPr>
          <w:rFonts w:ascii="Arial" w:cs="Arial" w:eastAsia="Arial" w:hAnsi="Arial"/>
          <w:sz w:val="14"/>
          <w:szCs w:val="14"/>
          <w:color w:val="auto"/>
        </w:rPr>
        <w:t>{2312556-2, 110610-00000-01}</w:t>
      </w:r>
    </w:p>
    <w:p>
      <w:pPr>
        <w:spacing w:after="0" w:line="21"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4</w:t>
      </w:r>
    </w:p>
    <w:p>
      <w:pPr>
        <w:sectPr>
          <w:pgSz w:w="11900" w:h="16838" w:orient="portrait"/>
          <w:cols w:equalWidth="0" w:num="1">
            <w:col w:w="11420"/>
          </w:cols>
          <w:pgMar w:left="240" w:top="882" w:right="239" w:bottom="1440" w:gutter="0" w:footer="0" w:header="0"/>
        </w:sectPr>
      </w:pPr>
    </w:p>
    <w:bookmarkStart w:id="58" w:name="page59"/>
    <w:bookmarkEnd w:id="58"/>
    <w:p>
      <w:pPr>
        <w:jc w:val="both"/>
        <w:ind w:left="580" w:right="20"/>
        <w:spacing w:after="0" w:line="271" w:lineRule="auto"/>
        <w:rPr>
          <w:sz w:val="20"/>
          <w:szCs w:val="20"/>
          <w:color w:val="auto"/>
        </w:rPr>
      </w:pPr>
      <w:r>
        <w:rPr>
          <w:rFonts w:ascii="Arial" w:cs="Arial" w:eastAsia="Arial" w:hAnsi="Arial"/>
          <w:sz w:val="21"/>
          <w:szCs w:val="21"/>
          <w:color w:val="auto"/>
        </w:rPr>
        <w:t>premium for such month, subject to applicable tax withholding (such amount, the “</w:t>
      </w:r>
      <w:r>
        <w:rPr>
          <w:rFonts w:ascii="Arial" w:cs="Arial" w:eastAsia="Arial" w:hAnsi="Arial"/>
          <w:sz w:val="21"/>
          <w:szCs w:val="21"/>
          <w:b w:val="1"/>
          <w:bCs w:val="1"/>
          <w:i w:val="1"/>
          <w:iCs w:val="1"/>
          <w:color w:val="auto"/>
        </w:rPr>
        <w:t>Special Severance Payment</w:t>
      </w:r>
      <w:r>
        <w:rPr>
          <w:rFonts w:ascii="Arial" w:cs="Arial" w:eastAsia="Arial" w:hAnsi="Arial"/>
          <w:sz w:val="21"/>
          <w:szCs w:val="21"/>
          <w:color w:val="auto"/>
        </w:rPr>
        <w:t>”), for the remainder of the COBRA Payment Period. Nothing in this Agreement shall deprive Employee of his rights under COBRA or ERISA for benefits under plans and policies arising under his employment by the Company;</w:t>
      </w:r>
    </w:p>
    <w:p>
      <w:pPr>
        <w:spacing w:after="0" w:line="168" w:lineRule="exact"/>
        <w:rPr>
          <w:sz w:val="20"/>
          <w:szCs w:val="20"/>
          <w:color w:val="auto"/>
        </w:rPr>
      </w:pPr>
    </w:p>
    <w:p>
      <w:pPr>
        <w:jc w:val="both"/>
        <w:ind w:firstLine="3249"/>
        <w:spacing w:after="0" w:line="258" w:lineRule="auto"/>
        <w:tabs>
          <w:tab w:leader="none" w:pos="3775" w:val="left"/>
        </w:tabs>
        <w:numPr>
          <w:ilvl w:val="1"/>
          <w:numId w:val="37"/>
        </w:numPr>
        <w:rPr>
          <w:rFonts w:ascii="Arial" w:cs="Arial" w:eastAsia="Arial" w:hAnsi="Arial"/>
          <w:sz w:val="22"/>
          <w:szCs w:val="22"/>
          <w:b w:val="1"/>
          <w:bCs w:val="1"/>
          <w:color w:val="auto"/>
        </w:rPr>
      </w:pPr>
      <w:r>
        <w:rPr>
          <w:rFonts w:ascii="Arial" w:cs="Arial" w:eastAsia="Arial" w:hAnsi="Arial"/>
          <w:sz w:val="22"/>
          <w:szCs w:val="22"/>
          <w:color w:val="auto"/>
        </w:rPr>
        <w:t>A lump sum cash payment in an amount equal to the Target Bonus for the year in which the termination occurs (the “</w:t>
      </w:r>
      <w:r>
        <w:rPr>
          <w:rFonts w:ascii="Arial" w:cs="Arial" w:eastAsia="Arial" w:hAnsi="Arial"/>
          <w:sz w:val="22"/>
          <w:szCs w:val="22"/>
          <w:b w:val="1"/>
          <w:bCs w:val="1"/>
          <w:i w:val="1"/>
          <w:iCs w:val="1"/>
          <w:color w:val="auto"/>
        </w:rPr>
        <w:t>Bonus Severance Payment</w:t>
      </w:r>
      <w:r>
        <w:rPr>
          <w:rFonts w:ascii="Arial" w:cs="Arial" w:eastAsia="Arial" w:hAnsi="Arial"/>
          <w:sz w:val="22"/>
          <w:szCs w:val="22"/>
          <w:color w:val="auto"/>
        </w:rPr>
        <w:t>”), subject to standard payroll deductions and withholdings, which will be paid when annual bonuses are otherwise paid, which in no event will be later than March 15 of the year following the year in which the termination date occurs; and</w:t>
      </w:r>
    </w:p>
    <w:p>
      <w:pPr>
        <w:spacing w:after="0" w:line="181" w:lineRule="exact"/>
        <w:rPr>
          <w:rFonts w:ascii="Arial" w:cs="Arial" w:eastAsia="Arial" w:hAnsi="Arial"/>
          <w:sz w:val="22"/>
          <w:szCs w:val="22"/>
          <w:b w:val="1"/>
          <w:bCs w:val="1"/>
          <w:color w:val="auto"/>
        </w:rPr>
      </w:pPr>
    </w:p>
    <w:p>
      <w:pPr>
        <w:ind w:left="3920" w:hanging="671"/>
        <w:spacing w:after="0"/>
        <w:tabs>
          <w:tab w:leader="none" w:pos="3920" w:val="left"/>
        </w:tabs>
        <w:numPr>
          <w:ilvl w:val="1"/>
          <w:numId w:val="37"/>
        </w:numPr>
        <w:rPr>
          <w:rFonts w:ascii="Arial" w:cs="Arial" w:eastAsia="Arial" w:hAnsi="Arial"/>
          <w:sz w:val="19"/>
          <w:szCs w:val="19"/>
          <w:b w:val="1"/>
          <w:bCs w:val="1"/>
          <w:color w:val="auto"/>
        </w:rPr>
      </w:pPr>
      <w:r>
        <w:rPr>
          <w:rFonts w:ascii="Arial" w:cs="Arial" w:eastAsia="Arial" w:hAnsi="Arial"/>
          <w:sz w:val="19"/>
          <w:szCs w:val="19"/>
          <w:color w:val="auto"/>
        </w:rPr>
        <w:t>A lump cash payment equal to the value of any unvested 401(k) Company match</w:t>
      </w:r>
    </w:p>
    <w:p>
      <w:pPr>
        <w:spacing w:after="0" w:line="56" w:lineRule="exact"/>
        <w:rPr>
          <w:rFonts w:ascii="Arial" w:cs="Arial" w:eastAsia="Arial" w:hAnsi="Arial"/>
          <w:sz w:val="19"/>
          <w:szCs w:val="19"/>
          <w:b w:val="1"/>
          <w:bCs w:val="1"/>
          <w:color w:val="auto"/>
        </w:rPr>
      </w:pPr>
    </w:p>
    <w:p>
      <w:pPr>
        <w:spacing w:after="0"/>
        <w:rPr>
          <w:rFonts w:ascii="Arial" w:cs="Arial" w:eastAsia="Arial" w:hAnsi="Arial"/>
          <w:sz w:val="19"/>
          <w:szCs w:val="19"/>
          <w:b w:val="1"/>
          <w:bCs w:val="1"/>
          <w:color w:val="auto"/>
        </w:rPr>
      </w:pPr>
      <w:r>
        <w:rPr>
          <w:rFonts w:ascii="Arial" w:cs="Arial" w:eastAsia="Arial" w:hAnsi="Arial"/>
          <w:sz w:val="22"/>
          <w:szCs w:val="22"/>
          <w:color w:val="auto"/>
        </w:rPr>
        <w:t>amount.</w:t>
      </w:r>
    </w:p>
    <w:p>
      <w:pPr>
        <w:spacing w:after="0" w:line="201" w:lineRule="exact"/>
        <w:rPr>
          <w:rFonts w:ascii="Arial" w:cs="Arial" w:eastAsia="Arial" w:hAnsi="Arial"/>
          <w:sz w:val="19"/>
          <w:szCs w:val="19"/>
          <w:b w:val="1"/>
          <w:bCs w:val="1"/>
          <w:color w:val="auto"/>
        </w:rPr>
      </w:pPr>
    </w:p>
    <w:p>
      <w:pPr>
        <w:jc w:val="both"/>
        <w:ind w:firstLine="1953"/>
        <w:spacing w:after="0" w:line="260" w:lineRule="auto"/>
        <w:tabs>
          <w:tab w:leader="none" w:pos="2470" w:val="left"/>
        </w:tabs>
        <w:numPr>
          <w:ilvl w:val="0"/>
          <w:numId w:val="38"/>
        </w:numPr>
        <w:rPr>
          <w:rFonts w:ascii="Arial" w:cs="Arial" w:eastAsia="Arial" w:hAnsi="Arial"/>
          <w:sz w:val="21"/>
          <w:szCs w:val="21"/>
          <w:b w:val="1"/>
          <w:bCs w:val="1"/>
          <w:color w:val="auto"/>
        </w:rPr>
      </w:pPr>
      <w:r>
        <w:rPr>
          <w:rFonts w:ascii="Arial" w:cs="Arial" w:eastAsia="Arial" w:hAnsi="Arial"/>
          <w:sz w:val="21"/>
          <w:szCs w:val="21"/>
          <w:color w:val="auto"/>
        </w:rPr>
        <w:t xml:space="preserve">Employee shall not receive the Severance Benefits pursuant to Section 6.1(a) unless he executes the Release within the consideration period specified therein, which shall in no event be more than 45 days, and until the Release becomes effective and can no longer be revoked by Employee under its terms. Employee’s ability to receive benefits pursuant to Section 6.1(a) is further conditioned upon his: returning all Company property; complying with his post-termination obligations under this Agreement and any applicable Confidentiality Agreement (for purpose of this Agreement, also meaning any similar agreement covering noncompetition, non-solicitation, ownership of inventions and/or confidentiality provisions, </w:t>
      </w:r>
      <w:r>
        <w:rPr>
          <w:rFonts w:ascii="Arial" w:cs="Arial" w:eastAsia="Arial" w:hAnsi="Arial"/>
          <w:sz w:val="21"/>
          <w:szCs w:val="21"/>
          <w:i w:val="1"/>
          <w:iCs w:val="1"/>
          <w:color w:val="auto"/>
        </w:rPr>
        <w:t>etc</w:t>
      </w:r>
      <w:r>
        <w:rPr>
          <w:rFonts w:ascii="Arial" w:cs="Arial" w:eastAsia="Arial" w:hAnsi="Arial"/>
          <w:sz w:val="21"/>
          <w:szCs w:val="21"/>
          <w:color w:val="auto"/>
        </w:rPr>
        <w:t>.); complying with the Release including without limitation any non-disparagement and confidentiality provisions contained therein; and resignation from any other positions he holds with the Company, effective no later than his Employee’s date of termination (or such other date as requested by the CEO).</w:t>
      </w:r>
    </w:p>
    <w:p>
      <w:pPr>
        <w:spacing w:after="0" w:line="200" w:lineRule="exact"/>
        <w:rPr>
          <w:rFonts w:ascii="Arial" w:cs="Arial" w:eastAsia="Arial" w:hAnsi="Arial"/>
          <w:sz w:val="21"/>
          <w:szCs w:val="21"/>
          <w:b w:val="1"/>
          <w:bCs w:val="1"/>
          <w:color w:val="auto"/>
        </w:rPr>
      </w:pPr>
    </w:p>
    <w:p>
      <w:pPr>
        <w:spacing w:after="0" w:line="241" w:lineRule="exact"/>
        <w:rPr>
          <w:rFonts w:ascii="Arial" w:cs="Arial" w:eastAsia="Arial" w:hAnsi="Arial"/>
          <w:sz w:val="21"/>
          <w:szCs w:val="21"/>
          <w:b w:val="1"/>
          <w:bCs w:val="1"/>
          <w:color w:val="auto"/>
        </w:rPr>
      </w:pPr>
    </w:p>
    <w:p>
      <w:pPr>
        <w:jc w:val="both"/>
        <w:ind w:firstLine="1953"/>
        <w:spacing w:after="0" w:line="297" w:lineRule="auto"/>
        <w:tabs>
          <w:tab w:leader="none" w:pos="2392" w:val="left"/>
        </w:tabs>
        <w:numPr>
          <w:ilvl w:val="0"/>
          <w:numId w:val="38"/>
        </w:numPr>
        <w:rPr>
          <w:rFonts w:ascii="Arial" w:cs="Arial" w:eastAsia="Arial" w:hAnsi="Arial"/>
          <w:sz w:val="19"/>
          <w:szCs w:val="19"/>
          <w:b w:val="1"/>
          <w:bCs w:val="1"/>
          <w:color w:val="auto"/>
        </w:rPr>
      </w:pPr>
      <w:r>
        <w:rPr>
          <w:rFonts w:ascii="Arial" w:cs="Arial" w:eastAsia="Arial" w:hAnsi="Arial"/>
          <w:sz w:val="19"/>
          <w:szCs w:val="19"/>
          <w:color w:val="auto"/>
        </w:rPr>
        <w:t>The Company will not make any payments to Employee with respect to any of the benefits pursuant to Section 6.1(a) prior to the 60th day following Employee’s date of termination. On the 60th day following Employee’s date of termination, and provided that Employee has delivered an effective Release, the Company will make the first payments to Employee under Section 6.1(a)(i) in a lump sum equal to the aggregate amount of payments that the Company would have paid Employee through such date had the payments commenced on the Employee’s date of termination through such 60th day, with the balance of the payments paid thereafter on the schedule described above, subject to any delay in payment required by Section 6.7.</w:t>
      </w:r>
    </w:p>
    <w:p>
      <w:pPr>
        <w:spacing w:after="0" w:line="200" w:lineRule="exact"/>
        <w:rPr>
          <w:rFonts w:ascii="Arial" w:cs="Arial" w:eastAsia="Arial" w:hAnsi="Arial"/>
          <w:sz w:val="19"/>
          <w:szCs w:val="19"/>
          <w:b w:val="1"/>
          <w:bCs w:val="1"/>
          <w:color w:val="auto"/>
        </w:rPr>
      </w:pPr>
    </w:p>
    <w:p>
      <w:pPr>
        <w:spacing w:after="0" w:line="203" w:lineRule="exact"/>
        <w:rPr>
          <w:rFonts w:ascii="Arial" w:cs="Arial" w:eastAsia="Arial" w:hAnsi="Arial"/>
          <w:sz w:val="19"/>
          <w:szCs w:val="19"/>
          <w:b w:val="1"/>
          <w:bCs w:val="1"/>
          <w:color w:val="auto"/>
        </w:rPr>
      </w:pPr>
    </w:p>
    <w:p>
      <w:pPr>
        <w:jc w:val="both"/>
        <w:ind w:firstLine="1953"/>
        <w:spacing w:after="0" w:line="250" w:lineRule="auto"/>
        <w:tabs>
          <w:tab w:leader="none" w:pos="2443" w:val="left"/>
        </w:tabs>
        <w:numPr>
          <w:ilvl w:val="0"/>
          <w:numId w:val="38"/>
        </w:numPr>
        <w:rPr>
          <w:rFonts w:ascii="Arial" w:cs="Arial" w:eastAsia="Arial" w:hAnsi="Arial"/>
          <w:sz w:val="22"/>
          <w:szCs w:val="22"/>
          <w:b w:val="1"/>
          <w:bCs w:val="1"/>
          <w:color w:val="auto"/>
        </w:rPr>
      </w:pPr>
      <w:r>
        <w:rPr>
          <w:rFonts w:ascii="Arial" w:cs="Arial" w:eastAsia="Arial" w:hAnsi="Arial"/>
          <w:sz w:val="22"/>
          <w:szCs w:val="22"/>
          <w:color w:val="auto"/>
        </w:rPr>
        <w:t>For purposes of this Agreement, “</w:t>
      </w:r>
      <w:r>
        <w:rPr>
          <w:rFonts w:ascii="Arial" w:cs="Arial" w:eastAsia="Arial" w:hAnsi="Arial"/>
          <w:sz w:val="22"/>
          <w:szCs w:val="22"/>
          <w:b w:val="1"/>
          <w:bCs w:val="1"/>
          <w:i w:val="1"/>
          <w:iCs w:val="1"/>
          <w:color w:val="auto"/>
        </w:rPr>
        <w:t>Accrued Obligations</w:t>
      </w:r>
      <w:r>
        <w:rPr>
          <w:rFonts w:ascii="Arial" w:cs="Arial" w:eastAsia="Arial" w:hAnsi="Arial"/>
          <w:sz w:val="22"/>
          <w:szCs w:val="22"/>
          <w:color w:val="auto"/>
        </w:rPr>
        <w:t>” are (i) Employee’s accrued but unpaid salary and accrued but unused vacation through the date of termination (which, for purpose of clarity, shall be paid in cash), (ii) any unreimbursed business expenses incurred by Employee payable in accordance with the Company’s standard expense reimbursement policies, (iii) benefits owed to Employee under any qualified retirement plan or health and welfare benefit plan in which Employee was a participant in accordance with applicable law and the provisions of such plan; and (iv) any Annual Bonus earned but unpaid for the prior fiscal year.</w:t>
      </w:r>
    </w:p>
    <w:p>
      <w:pPr>
        <w:spacing w:after="0" w:line="188" w:lineRule="exact"/>
        <w:rPr>
          <w:rFonts w:ascii="Arial" w:cs="Arial" w:eastAsia="Arial" w:hAnsi="Arial"/>
          <w:sz w:val="22"/>
          <w:szCs w:val="22"/>
          <w:b w:val="1"/>
          <w:bCs w:val="1"/>
          <w:color w:val="auto"/>
        </w:rPr>
      </w:pPr>
    </w:p>
    <w:p>
      <w:pPr>
        <w:ind w:firstLine="1953"/>
        <w:spacing w:after="0" w:line="276" w:lineRule="auto"/>
        <w:tabs>
          <w:tab w:leader="none" w:pos="2486" w:val="left"/>
        </w:tabs>
        <w:numPr>
          <w:ilvl w:val="0"/>
          <w:numId w:val="38"/>
        </w:numPr>
        <w:rPr>
          <w:rFonts w:ascii="Arial" w:cs="Arial" w:eastAsia="Arial" w:hAnsi="Arial"/>
          <w:sz w:val="22"/>
          <w:szCs w:val="22"/>
          <w:b w:val="1"/>
          <w:bCs w:val="1"/>
          <w:color w:val="auto"/>
        </w:rPr>
      </w:pPr>
      <w:r>
        <w:rPr>
          <w:rFonts w:ascii="Arial" w:cs="Arial" w:eastAsia="Arial" w:hAnsi="Arial"/>
          <w:sz w:val="22"/>
          <w:szCs w:val="22"/>
          <w:color w:val="auto"/>
        </w:rPr>
        <w:t>For purposes of this Agreement, “</w:t>
      </w:r>
      <w:r>
        <w:rPr>
          <w:rFonts w:ascii="Arial" w:cs="Arial" w:eastAsia="Arial" w:hAnsi="Arial"/>
          <w:sz w:val="22"/>
          <w:szCs w:val="22"/>
          <w:b w:val="1"/>
          <w:bCs w:val="1"/>
          <w:i w:val="1"/>
          <w:iCs w:val="1"/>
          <w:color w:val="auto"/>
        </w:rPr>
        <w:t>Good Reason</w:t>
      </w:r>
      <w:r>
        <w:rPr>
          <w:rFonts w:ascii="Arial" w:cs="Arial" w:eastAsia="Arial" w:hAnsi="Arial"/>
          <w:sz w:val="22"/>
          <w:szCs w:val="22"/>
          <w:color w:val="auto"/>
        </w:rPr>
        <w:t>” means any of the following actions taken by the Company without Employee’s consent: (i) a reduction of Employee’s</w:t>
      </w:r>
    </w:p>
    <w:p>
      <w:pPr>
        <w:spacing w:after="0" w:line="200" w:lineRule="exact"/>
        <w:rPr>
          <w:sz w:val="20"/>
          <w:szCs w:val="20"/>
          <w:color w:val="auto"/>
        </w:rPr>
      </w:pPr>
    </w:p>
    <w:p>
      <w:pPr>
        <w:spacing w:after="0" w:line="355" w:lineRule="exact"/>
        <w:rPr>
          <w:sz w:val="20"/>
          <w:szCs w:val="20"/>
          <w:color w:val="auto"/>
        </w:rPr>
      </w:pPr>
    </w:p>
    <w:p>
      <w:pPr>
        <w:spacing w:after="0"/>
        <w:rPr>
          <w:sz w:val="20"/>
          <w:szCs w:val="20"/>
          <w:color w:val="auto"/>
        </w:rPr>
      </w:pPr>
      <w:r>
        <w:rPr>
          <w:rFonts w:ascii="Arial" w:cs="Arial" w:eastAsia="Arial" w:hAnsi="Arial"/>
          <w:sz w:val="14"/>
          <w:szCs w:val="14"/>
          <w:color w:val="auto"/>
        </w:rPr>
        <w:t>{2312556-2, 110610-00000-01}</w:t>
      </w:r>
    </w:p>
    <w:p>
      <w:pPr>
        <w:spacing w:after="0" w:line="21"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5</w:t>
      </w:r>
    </w:p>
    <w:p>
      <w:pPr>
        <w:sectPr>
          <w:pgSz w:w="11900" w:h="16838" w:orient="portrait"/>
          <w:cols w:equalWidth="0" w:num="1">
            <w:col w:w="11420"/>
          </w:cols>
          <w:pgMar w:left="240" w:top="631" w:right="239" w:bottom="1440" w:gutter="0" w:footer="0" w:header="0"/>
        </w:sectPr>
      </w:pPr>
    </w:p>
    <w:bookmarkStart w:id="59" w:name="page60"/>
    <w:bookmarkEnd w:id="59"/>
    <w:p>
      <w:pPr>
        <w:jc w:val="both"/>
        <w:spacing w:after="0" w:line="288" w:lineRule="auto"/>
        <w:rPr>
          <w:sz w:val="20"/>
          <w:szCs w:val="20"/>
          <w:color w:val="auto"/>
        </w:rPr>
      </w:pPr>
      <w:r>
        <w:rPr>
          <w:rFonts w:ascii="Arial" w:cs="Arial" w:eastAsia="Arial" w:hAnsi="Arial"/>
          <w:sz w:val="19"/>
          <w:szCs w:val="19"/>
          <w:color w:val="auto"/>
        </w:rPr>
        <w:t xml:space="preserve">Base Salary (unless such reduction is made in connection with an across-the-board reduction in base salaries of the Company’s senior executives); (ii) material reduction in Employee’s authority, duties or responsibilities in the position stated above, </w:t>
      </w:r>
      <w:r>
        <w:rPr>
          <w:rFonts w:ascii="Arial" w:cs="Arial" w:eastAsia="Arial" w:hAnsi="Arial"/>
          <w:sz w:val="19"/>
          <w:szCs w:val="19"/>
          <w:i w:val="1"/>
          <w:iCs w:val="1"/>
          <w:color w:val="auto"/>
        </w:rPr>
        <w:t>provided,</w:t>
      </w:r>
      <w:r>
        <w:rPr>
          <w:rFonts w:ascii="Arial" w:cs="Arial" w:eastAsia="Arial" w:hAnsi="Arial"/>
          <w:sz w:val="19"/>
          <w:szCs w:val="19"/>
          <w:color w:val="auto"/>
        </w:rPr>
        <w:t xml:space="preserve"> </w:t>
      </w:r>
      <w:r>
        <w:rPr>
          <w:rFonts w:ascii="Arial" w:cs="Arial" w:eastAsia="Arial" w:hAnsi="Arial"/>
          <w:sz w:val="19"/>
          <w:szCs w:val="19"/>
          <w:i w:val="1"/>
          <w:iCs w:val="1"/>
          <w:color w:val="auto"/>
        </w:rPr>
        <w:t>however</w:t>
      </w:r>
      <w:r>
        <w:rPr>
          <w:rFonts w:ascii="Arial" w:cs="Arial" w:eastAsia="Arial" w:hAnsi="Arial"/>
          <w:sz w:val="19"/>
          <w:szCs w:val="19"/>
          <w:color w:val="auto"/>
        </w:rPr>
        <w:t>, that the acquisition of the Company and subsequent conversion of the Company to a division or unit of the acquiring</w:t>
      </w:r>
      <w:r>
        <w:rPr>
          <w:rFonts w:ascii="Arial" w:cs="Arial" w:eastAsia="Arial" w:hAnsi="Arial"/>
          <w:sz w:val="19"/>
          <w:szCs w:val="19"/>
          <w:i w:val="1"/>
          <w:iCs w:val="1"/>
          <w:color w:val="auto"/>
        </w:rPr>
        <w:t xml:space="preserve"> </w:t>
      </w:r>
      <w:r>
        <w:rPr>
          <w:rFonts w:ascii="Arial" w:cs="Arial" w:eastAsia="Arial" w:hAnsi="Arial"/>
          <w:sz w:val="19"/>
          <w:szCs w:val="19"/>
          <w:color w:val="auto"/>
        </w:rPr>
        <w:t>company will not by itself result in a diminution of Employee’s position; (iii) a material change in the geographic location of Employee’s primary work facility or location; provided, that a relocation of fifty (50) or more miles from downtown Roanoke, Virginia, will be considered a material change in geographic location; (iv) any material breach by the Company of any of its obligations hereunder; or (v) a change so that Employee is no longer eligible to receive an Annual Bonus as described in the first two sentences of Section 2.2(a). In order to resign for Good Reason, Employee must provide written notice of the event giving rise to Good Reason to the CEO within thirty (30) days after the condition first arises, allow the Company thirty (30) days to cure such condition, and if the Company fails to cure the condition within such period, Employee’s resignation from all positions Employee then holds with the Company must be effective not later than sixty (60) days after the end of the Company’s cure period.</w:t>
      </w:r>
    </w:p>
    <w:p>
      <w:pPr>
        <w:spacing w:after="0" w:line="200" w:lineRule="exact"/>
        <w:rPr>
          <w:sz w:val="20"/>
          <w:szCs w:val="20"/>
          <w:color w:val="auto"/>
        </w:rPr>
      </w:pPr>
    </w:p>
    <w:p>
      <w:pPr>
        <w:spacing w:after="0" w:line="211" w:lineRule="exact"/>
        <w:rPr>
          <w:sz w:val="20"/>
          <w:szCs w:val="20"/>
          <w:color w:val="auto"/>
        </w:rPr>
      </w:pPr>
    </w:p>
    <w:p>
      <w:pPr>
        <w:jc w:val="both"/>
        <w:ind w:firstLine="1953"/>
        <w:spacing w:after="0" w:line="258" w:lineRule="auto"/>
        <w:tabs>
          <w:tab w:leader="none" w:pos="2381" w:val="left"/>
        </w:tabs>
        <w:numPr>
          <w:ilvl w:val="0"/>
          <w:numId w:val="39"/>
        </w:numPr>
        <w:rPr>
          <w:rFonts w:ascii="Arial" w:cs="Arial" w:eastAsia="Arial" w:hAnsi="Arial"/>
          <w:sz w:val="21"/>
          <w:szCs w:val="21"/>
          <w:b w:val="1"/>
          <w:bCs w:val="1"/>
          <w:color w:val="auto"/>
        </w:rPr>
      </w:pPr>
      <w:r>
        <w:rPr>
          <w:rFonts w:ascii="Arial" w:cs="Arial" w:eastAsia="Arial" w:hAnsi="Arial"/>
          <w:sz w:val="21"/>
          <w:szCs w:val="21"/>
          <w:color w:val="auto"/>
        </w:rPr>
        <w:t>For purposes of this Agreement, “</w:t>
      </w:r>
      <w:r>
        <w:rPr>
          <w:rFonts w:ascii="Arial" w:cs="Arial" w:eastAsia="Arial" w:hAnsi="Arial"/>
          <w:sz w:val="21"/>
          <w:szCs w:val="21"/>
          <w:b w:val="1"/>
          <w:bCs w:val="1"/>
          <w:i w:val="1"/>
          <w:iCs w:val="1"/>
          <w:color w:val="auto"/>
        </w:rPr>
        <w:t>Cause</w:t>
      </w:r>
      <w:r>
        <w:rPr>
          <w:rFonts w:ascii="Arial" w:cs="Arial" w:eastAsia="Arial" w:hAnsi="Arial"/>
          <w:sz w:val="21"/>
          <w:szCs w:val="21"/>
          <w:color w:val="auto"/>
        </w:rPr>
        <w:t>” means first, the Employee’s conviction of any felony or any crime involving fraud, dishonesty or moral turpitude under the laws of the United States or any state thereof (which, for purpose of clarity, would exclude traffic offenses). Second, “</w:t>
      </w:r>
      <w:r>
        <w:rPr>
          <w:rFonts w:ascii="Arial" w:cs="Arial" w:eastAsia="Arial" w:hAnsi="Arial"/>
          <w:sz w:val="21"/>
          <w:szCs w:val="21"/>
          <w:i w:val="1"/>
          <w:iCs w:val="1"/>
          <w:color w:val="auto"/>
        </w:rPr>
        <w:t>Cause”</w:t>
      </w:r>
      <w:r>
        <w:rPr>
          <w:rFonts w:ascii="Arial" w:cs="Arial" w:eastAsia="Arial" w:hAnsi="Arial"/>
          <w:sz w:val="21"/>
          <w:szCs w:val="21"/>
          <w:color w:val="auto"/>
        </w:rPr>
        <w:t xml:space="preserve"> means, as reasonably determined in good faith by the CEO, Employee’s willful and material acts or omissions that constitute the following conduct: (i) commission or attempted commission of, or participation in, a fraud or act of dishonesty against the Company; (ii) material violation of any contract or agreement between the Employee and the Company or of any statutory duty owed to the Company after Employee is provided with a reasonable opportunity of not less than thirty (30) days to cure from the date written notice (in reasonable detail) thereof is given to Employee by the Company; (iii) unauthorized use or disclosure of the Company’s confidential information or trade secrets; (iv) gross misconduct or gross negligence causing material injury to the Company; (v) breach of fiduciary duty, including without limitation concealing information relevant to the Company from the CEO or the Board of a nature that senior executives should disclose to a chief executive officer or boards of directors in fulfilling such duty; or (vii) refusal to comply with a lawful directive of the CEO or the Board after Employee is provided with a reasonable opportunity of not less than ten (10) days to cure from the date notice thereof is given to Employee by the Company.</w:t>
      </w:r>
    </w:p>
    <w:p>
      <w:pPr>
        <w:spacing w:after="0" w:line="190" w:lineRule="exact"/>
        <w:rPr>
          <w:rFonts w:ascii="Arial" w:cs="Arial" w:eastAsia="Arial" w:hAnsi="Arial"/>
          <w:sz w:val="21"/>
          <w:szCs w:val="21"/>
          <w:b w:val="1"/>
          <w:bCs w:val="1"/>
          <w:color w:val="auto"/>
        </w:rPr>
      </w:pPr>
    </w:p>
    <w:p>
      <w:pPr>
        <w:ind w:firstLine="1953"/>
        <w:spacing w:after="0" w:line="301" w:lineRule="auto"/>
        <w:tabs>
          <w:tab w:leader="none" w:pos="2377" w:val="left"/>
        </w:tabs>
        <w:numPr>
          <w:ilvl w:val="0"/>
          <w:numId w:val="39"/>
        </w:numPr>
        <w:rPr>
          <w:rFonts w:ascii="Arial" w:cs="Arial" w:eastAsia="Arial" w:hAnsi="Arial"/>
          <w:sz w:val="21"/>
          <w:szCs w:val="21"/>
          <w:b w:val="1"/>
          <w:bCs w:val="1"/>
          <w:color w:val="auto"/>
        </w:rPr>
      </w:pPr>
      <w:r>
        <w:rPr>
          <w:rFonts w:ascii="Arial" w:cs="Arial" w:eastAsia="Arial" w:hAnsi="Arial"/>
          <w:sz w:val="21"/>
          <w:szCs w:val="21"/>
          <w:color w:val="auto"/>
        </w:rPr>
        <w:t>The benefits provided to Employee pursuant to this Section 6.1 are in lieu of, and not in addition to, any benefits to which Employee may otherwise be entitled under any Company severance plan, policy or program.</w:t>
      </w:r>
    </w:p>
    <w:p>
      <w:pPr>
        <w:spacing w:after="0" w:line="393" w:lineRule="exact"/>
        <w:rPr>
          <w:rFonts w:ascii="Arial" w:cs="Arial" w:eastAsia="Arial" w:hAnsi="Arial"/>
          <w:sz w:val="21"/>
          <w:szCs w:val="21"/>
          <w:b w:val="1"/>
          <w:bCs w:val="1"/>
          <w:color w:val="auto"/>
        </w:rPr>
      </w:pPr>
    </w:p>
    <w:p>
      <w:pPr>
        <w:jc w:val="both"/>
        <w:ind w:firstLine="1953"/>
        <w:spacing w:after="0" w:line="320" w:lineRule="auto"/>
        <w:tabs>
          <w:tab w:leader="none" w:pos="2389" w:val="left"/>
        </w:tabs>
        <w:numPr>
          <w:ilvl w:val="0"/>
          <w:numId w:val="39"/>
        </w:numPr>
        <w:rPr>
          <w:rFonts w:ascii="Arial" w:cs="Arial" w:eastAsia="Arial" w:hAnsi="Arial"/>
          <w:sz w:val="19"/>
          <w:szCs w:val="19"/>
          <w:b w:val="1"/>
          <w:bCs w:val="1"/>
          <w:color w:val="auto"/>
        </w:rPr>
      </w:pPr>
      <w:r>
        <w:rPr>
          <w:rFonts w:ascii="Arial" w:cs="Arial" w:eastAsia="Arial" w:hAnsi="Arial"/>
          <w:sz w:val="19"/>
          <w:szCs w:val="19"/>
          <w:color w:val="auto"/>
        </w:rPr>
        <w:t>Any damages caused by the termination of Employee’s employment without Cause or for Good Reason would be difficult to ascertain; therefore, the Severance Benefits for which Employee is eligible pursuant to Section 6.1(a) above in exchange for the Release is agreed to by the parties as liquidated damages, to serve as full compensation, and not a penalty.</w:t>
      </w:r>
    </w:p>
    <w:p>
      <w:pPr>
        <w:spacing w:after="0" w:line="382" w:lineRule="exact"/>
        <w:rPr>
          <w:rFonts w:ascii="Arial" w:cs="Arial" w:eastAsia="Arial" w:hAnsi="Arial"/>
          <w:sz w:val="19"/>
          <w:szCs w:val="19"/>
          <w:b w:val="1"/>
          <w:bCs w:val="1"/>
          <w:color w:val="auto"/>
        </w:rPr>
      </w:pPr>
    </w:p>
    <w:p>
      <w:pPr>
        <w:ind w:firstLine="1953"/>
        <w:spacing w:after="0" w:line="276" w:lineRule="auto"/>
        <w:tabs>
          <w:tab w:leader="none" w:pos="2585" w:val="left"/>
        </w:tabs>
        <w:numPr>
          <w:ilvl w:val="0"/>
          <w:numId w:val="39"/>
        </w:numPr>
        <w:rPr>
          <w:rFonts w:ascii="Arial" w:cs="Arial" w:eastAsia="Arial" w:hAnsi="Arial"/>
          <w:sz w:val="22"/>
          <w:szCs w:val="22"/>
          <w:b w:val="1"/>
          <w:bCs w:val="1"/>
          <w:color w:val="auto"/>
        </w:rPr>
      </w:pPr>
      <w:r>
        <w:rPr>
          <w:rFonts w:ascii="Arial" w:cs="Arial" w:eastAsia="Arial" w:hAnsi="Arial"/>
          <w:sz w:val="22"/>
          <w:szCs w:val="22"/>
          <w:color w:val="auto"/>
        </w:rPr>
        <w:t>If the Company terminates the Employee’s employment for Cause or Employee resigns from employment with the Company without Good Reason, regardless of whether</w:t>
      </w:r>
    </w:p>
    <w:p>
      <w:pPr>
        <w:spacing w:after="0" w:line="200" w:lineRule="exact"/>
        <w:rPr>
          <w:sz w:val="20"/>
          <w:szCs w:val="20"/>
          <w:color w:val="auto"/>
        </w:rPr>
      </w:pPr>
    </w:p>
    <w:p>
      <w:pPr>
        <w:spacing w:after="0" w:line="355" w:lineRule="exact"/>
        <w:rPr>
          <w:sz w:val="20"/>
          <w:szCs w:val="20"/>
          <w:color w:val="auto"/>
        </w:rPr>
      </w:pPr>
    </w:p>
    <w:p>
      <w:pPr>
        <w:spacing w:after="0"/>
        <w:rPr>
          <w:sz w:val="20"/>
          <w:szCs w:val="20"/>
          <w:color w:val="auto"/>
        </w:rPr>
      </w:pPr>
      <w:r>
        <w:rPr>
          <w:rFonts w:ascii="Arial" w:cs="Arial" w:eastAsia="Arial" w:hAnsi="Arial"/>
          <w:sz w:val="14"/>
          <w:szCs w:val="14"/>
          <w:color w:val="auto"/>
        </w:rPr>
        <w:t>{2312556-2, 110610-00000-01}</w:t>
      </w:r>
    </w:p>
    <w:p>
      <w:pPr>
        <w:spacing w:after="0" w:line="21"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6</w:t>
      </w:r>
    </w:p>
    <w:p>
      <w:pPr>
        <w:sectPr>
          <w:pgSz w:w="11900" w:h="16838" w:orient="portrait"/>
          <w:cols w:equalWidth="0" w:num="1">
            <w:col w:w="11420"/>
          </w:cols>
          <w:pgMar w:left="240" w:top="631" w:right="239" w:bottom="1440" w:gutter="0" w:footer="0" w:header="0"/>
        </w:sectPr>
      </w:pPr>
    </w:p>
    <w:bookmarkStart w:id="60" w:name="page61"/>
    <w:bookmarkEnd w:id="60"/>
    <w:p>
      <w:pPr>
        <w:spacing w:after="0" w:line="343" w:lineRule="auto"/>
        <w:rPr>
          <w:sz w:val="20"/>
          <w:szCs w:val="20"/>
          <w:color w:val="auto"/>
        </w:rPr>
      </w:pPr>
      <w:r>
        <w:rPr>
          <w:rFonts w:ascii="Arial" w:cs="Arial" w:eastAsia="Arial" w:hAnsi="Arial"/>
          <w:sz w:val="19"/>
          <w:szCs w:val="19"/>
          <w:color w:val="auto"/>
        </w:rPr>
        <w:t>or not such termination is in connection with a Change in Control (as defined below), then Employee shall be entitled to the Accrued Obligations, but Employee will not receive the Severance Benefits or any other severance compensation or benefit.</w:t>
      </w:r>
    </w:p>
    <w:p>
      <w:pPr>
        <w:spacing w:after="0" w:line="355" w:lineRule="exact"/>
        <w:rPr>
          <w:sz w:val="20"/>
          <w:szCs w:val="20"/>
          <w:color w:val="auto"/>
        </w:rPr>
      </w:pPr>
    </w:p>
    <w:p>
      <w:pPr>
        <w:ind w:right="20" w:firstLine="1297"/>
        <w:spacing w:after="0" w:line="282" w:lineRule="auto"/>
        <w:rPr>
          <w:sz w:val="20"/>
          <w:szCs w:val="20"/>
          <w:color w:val="auto"/>
        </w:rPr>
      </w:pPr>
      <w:r>
        <w:rPr>
          <w:rFonts w:ascii="Arial" w:cs="Arial" w:eastAsia="Arial" w:hAnsi="Arial"/>
          <w:sz w:val="22"/>
          <w:szCs w:val="22"/>
          <w:b w:val="1"/>
          <w:bCs w:val="1"/>
          <w:color w:val="auto"/>
        </w:rPr>
        <w:t xml:space="preserve">6.2 </w:t>
      </w:r>
      <w:r>
        <w:rPr>
          <w:rFonts w:ascii="Arial" w:cs="Arial" w:eastAsia="Arial" w:hAnsi="Arial"/>
          <w:sz w:val="22"/>
          <w:szCs w:val="22"/>
          <w:b w:val="1"/>
          <w:bCs w:val="1"/>
          <w:u w:val="single" w:color="auto"/>
          <w:color w:val="auto"/>
        </w:rPr>
        <w:t>Resignation by the Employee for Good Reason or Termination by the Company without Cause (in</w:t>
      </w:r>
      <w:r>
        <w:rPr>
          <w:rFonts w:ascii="Arial" w:cs="Arial" w:eastAsia="Arial" w:hAnsi="Arial"/>
          <w:sz w:val="22"/>
          <w:szCs w:val="22"/>
          <w:b w:val="1"/>
          <w:bCs w:val="1"/>
          <w:color w:val="auto"/>
        </w:rPr>
        <w:t xml:space="preserve"> </w:t>
      </w:r>
      <w:r>
        <w:rPr>
          <w:rFonts w:ascii="Arial" w:cs="Arial" w:eastAsia="Arial" w:hAnsi="Arial"/>
          <w:sz w:val="22"/>
          <w:szCs w:val="22"/>
          <w:b w:val="1"/>
          <w:bCs w:val="1"/>
          <w:u w:val="single" w:color="auto"/>
          <w:color w:val="auto"/>
        </w:rPr>
        <w:t>connection with a Change in Control)</w:t>
      </w:r>
      <w:r>
        <w:rPr>
          <w:rFonts w:ascii="Arial" w:cs="Arial" w:eastAsia="Arial" w:hAnsi="Arial"/>
          <w:sz w:val="22"/>
          <w:szCs w:val="22"/>
          <w:color w:val="auto"/>
        </w:rPr>
        <w:t>.</w:t>
      </w:r>
    </w:p>
    <w:p>
      <w:pPr>
        <w:spacing w:after="0" w:line="154" w:lineRule="exact"/>
        <w:rPr>
          <w:sz w:val="20"/>
          <w:szCs w:val="20"/>
          <w:color w:val="auto"/>
        </w:rPr>
      </w:pPr>
    </w:p>
    <w:p>
      <w:pPr>
        <w:jc w:val="both"/>
        <w:ind w:firstLine="1953"/>
        <w:spacing w:after="0" w:line="266" w:lineRule="auto"/>
        <w:tabs>
          <w:tab w:leader="none" w:pos="2404" w:val="left"/>
        </w:tabs>
        <w:numPr>
          <w:ilvl w:val="1"/>
          <w:numId w:val="40"/>
        </w:numPr>
        <w:rPr>
          <w:rFonts w:ascii="Arial" w:cs="Arial" w:eastAsia="Arial" w:hAnsi="Arial"/>
          <w:sz w:val="21"/>
          <w:szCs w:val="21"/>
          <w:b w:val="1"/>
          <w:bCs w:val="1"/>
          <w:color w:val="auto"/>
        </w:rPr>
      </w:pPr>
      <w:r>
        <w:rPr>
          <w:rFonts w:ascii="Arial" w:cs="Arial" w:eastAsia="Arial" w:hAnsi="Arial"/>
          <w:sz w:val="21"/>
          <w:szCs w:val="21"/>
          <w:color w:val="auto"/>
        </w:rPr>
        <w:t>In the event that the Company terminates Employee’s employment without Cause or Employee resigns for Good Reason within three months prior to or twelve (12) months following the effective date of a Change in Control (“</w:t>
      </w:r>
      <w:r>
        <w:rPr>
          <w:rFonts w:ascii="Arial" w:cs="Arial" w:eastAsia="Arial" w:hAnsi="Arial"/>
          <w:sz w:val="21"/>
          <w:szCs w:val="21"/>
          <w:b w:val="1"/>
          <w:bCs w:val="1"/>
          <w:i w:val="1"/>
          <w:iCs w:val="1"/>
          <w:color w:val="auto"/>
        </w:rPr>
        <w:t>Change</w:t>
      </w:r>
      <w:r>
        <w:rPr>
          <w:rFonts w:ascii="Arial" w:cs="Arial" w:eastAsia="Arial" w:hAnsi="Arial"/>
          <w:sz w:val="21"/>
          <w:szCs w:val="21"/>
          <w:color w:val="auto"/>
        </w:rPr>
        <w:t xml:space="preserve"> </w:t>
      </w:r>
      <w:r>
        <w:rPr>
          <w:rFonts w:ascii="Arial" w:cs="Arial" w:eastAsia="Arial" w:hAnsi="Arial"/>
          <w:sz w:val="21"/>
          <w:szCs w:val="21"/>
          <w:b w:val="1"/>
          <w:bCs w:val="1"/>
          <w:i w:val="1"/>
          <w:iCs w:val="1"/>
          <w:color w:val="auto"/>
        </w:rPr>
        <w:t>in Control Termination Date</w:t>
      </w:r>
      <w:r>
        <w:rPr>
          <w:rFonts w:ascii="Arial" w:cs="Arial" w:eastAsia="Arial" w:hAnsi="Arial"/>
          <w:sz w:val="21"/>
          <w:szCs w:val="21"/>
          <w:color w:val="auto"/>
        </w:rPr>
        <w:t>”), then Employee shall be entitled to the Accrued Obligations and, subject to Employee’s compliance</w:t>
      </w:r>
      <w:r>
        <w:rPr>
          <w:rFonts w:ascii="Arial" w:cs="Arial" w:eastAsia="Arial" w:hAnsi="Arial"/>
          <w:sz w:val="21"/>
          <w:szCs w:val="21"/>
          <w:b w:val="1"/>
          <w:bCs w:val="1"/>
          <w:i w:val="1"/>
          <w:iCs w:val="1"/>
          <w:color w:val="auto"/>
        </w:rPr>
        <w:t xml:space="preserve"> </w:t>
      </w:r>
      <w:r>
        <w:rPr>
          <w:rFonts w:ascii="Arial" w:cs="Arial" w:eastAsia="Arial" w:hAnsi="Arial"/>
          <w:sz w:val="21"/>
          <w:szCs w:val="21"/>
          <w:color w:val="auto"/>
        </w:rPr>
        <w:t>with Section 6.1(b) above, including but not limited to the Release requirement and Employee’s continued compliance with his obligations to the Company under any applicable Confidentiality Agreement, then:</w:t>
      </w:r>
    </w:p>
    <w:p>
      <w:pPr>
        <w:spacing w:after="0" w:line="174" w:lineRule="exact"/>
        <w:rPr>
          <w:rFonts w:ascii="Arial" w:cs="Arial" w:eastAsia="Arial" w:hAnsi="Arial"/>
          <w:sz w:val="21"/>
          <w:szCs w:val="21"/>
          <w:b w:val="1"/>
          <w:bCs w:val="1"/>
          <w:color w:val="auto"/>
        </w:rPr>
      </w:pPr>
    </w:p>
    <w:p>
      <w:pPr>
        <w:jc w:val="both"/>
        <w:ind w:left="580" w:firstLine="2588"/>
        <w:spacing w:after="0" w:line="293" w:lineRule="auto"/>
        <w:tabs>
          <w:tab w:leader="none" w:pos="3773" w:val="left"/>
        </w:tabs>
        <w:numPr>
          <w:ilvl w:val="2"/>
          <w:numId w:val="40"/>
        </w:numPr>
        <w:rPr>
          <w:rFonts w:ascii="Arial" w:cs="Arial" w:eastAsia="Arial" w:hAnsi="Arial"/>
          <w:sz w:val="19"/>
          <w:szCs w:val="19"/>
          <w:b w:val="1"/>
          <w:bCs w:val="1"/>
          <w:color w:val="auto"/>
        </w:rPr>
      </w:pPr>
      <w:r>
        <w:rPr>
          <w:rFonts w:ascii="Arial" w:cs="Arial" w:eastAsia="Arial" w:hAnsi="Arial"/>
          <w:sz w:val="19"/>
          <w:szCs w:val="19"/>
          <w:color w:val="auto"/>
        </w:rPr>
        <w:t xml:space="preserve">Employee shall be eligible to receive the Severance Benefits under the terms and conditions described in Section 6.1; </w:t>
      </w:r>
      <w:r>
        <w:rPr>
          <w:rFonts w:ascii="Arial" w:cs="Arial" w:eastAsia="Arial" w:hAnsi="Arial"/>
          <w:sz w:val="19"/>
          <w:szCs w:val="19"/>
          <w:u w:val="single" w:color="auto"/>
          <w:color w:val="auto"/>
        </w:rPr>
        <w:t>provided</w:t>
      </w:r>
      <w:r>
        <w:rPr>
          <w:rFonts w:ascii="Arial" w:cs="Arial" w:eastAsia="Arial" w:hAnsi="Arial"/>
          <w:sz w:val="19"/>
          <w:szCs w:val="19"/>
          <w:color w:val="auto"/>
        </w:rPr>
        <w:t xml:space="preserve"> that (A) the amounts set forth in clauses (i) and (iv) of Section 6.1(a) shall be paid in lump sums in accordance with the timing set forth in Section 6.1(a) and not deferred per such clauses (i) and (iv) and</w:t>
      </w:r>
    </w:p>
    <w:p>
      <w:pPr>
        <w:spacing w:after="0" w:line="1" w:lineRule="exact"/>
        <w:rPr>
          <w:rFonts w:ascii="Arial" w:cs="Arial" w:eastAsia="Arial" w:hAnsi="Arial"/>
          <w:sz w:val="19"/>
          <w:szCs w:val="19"/>
          <w:b w:val="1"/>
          <w:bCs w:val="1"/>
          <w:color w:val="auto"/>
        </w:rPr>
      </w:pPr>
    </w:p>
    <w:p>
      <w:pPr>
        <w:ind w:left="920" w:hanging="345"/>
        <w:spacing w:after="0"/>
        <w:tabs>
          <w:tab w:leader="none" w:pos="920" w:val="left"/>
        </w:tabs>
        <w:numPr>
          <w:ilvl w:val="0"/>
          <w:numId w:val="41"/>
        </w:numPr>
        <w:rPr>
          <w:rFonts w:ascii="Arial" w:cs="Arial" w:eastAsia="Arial" w:hAnsi="Arial"/>
          <w:sz w:val="19"/>
          <w:szCs w:val="19"/>
          <w:color w:val="auto"/>
        </w:rPr>
      </w:pPr>
      <w:r>
        <w:rPr>
          <w:rFonts w:ascii="Arial" w:cs="Arial" w:eastAsia="Arial" w:hAnsi="Arial"/>
          <w:sz w:val="19"/>
          <w:szCs w:val="19"/>
          <w:color w:val="auto"/>
        </w:rPr>
        <w:t>the Bonus Severance Payment shall be equal to the Maximum Target Bonus as opposed to the Target Bonus; and</w:t>
      </w:r>
    </w:p>
    <w:p>
      <w:pPr>
        <w:spacing w:after="0" w:line="236" w:lineRule="exact"/>
        <w:rPr>
          <w:rFonts w:ascii="Arial" w:cs="Arial" w:eastAsia="Arial" w:hAnsi="Arial"/>
          <w:sz w:val="19"/>
          <w:szCs w:val="19"/>
          <w:color w:val="auto"/>
        </w:rPr>
      </w:pPr>
    </w:p>
    <w:p>
      <w:pPr>
        <w:jc w:val="both"/>
        <w:ind w:left="580" w:firstLine="2588"/>
        <w:spacing w:after="0" w:line="294" w:lineRule="auto"/>
        <w:tabs>
          <w:tab w:leader="none" w:pos="3779" w:val="left"/>
        </w:tabs>
        <w:numPr>
          <w:ilvl w:val="2"/>
          <w:numId w:val="41"/>
        </w:numPr>
        <w:rPr>
          <w:rFonts w:ascii="Arial" w:cs="Arial" w:eastAsia="Arial" w:hAnsi="Arial"/>
          <w:sz w:val="19"/>
          <w:szCs w:val="19"/>
          <w:b w:val="1"/>
          <w:bCs w:val="1"/>
          <w:color w:val="auto"/>
        </w:rPr>
      </w:pPr>
      <w:r>
        <w:rPr>
          <w:rFonts w:ascii="Arial" w:cs="Arial" w:eastAsia="Arial" w:hAnsi="Arial"/>
          <w:sz w:val="19"/>
          <w:szCs w:val="19"/>
          <w:color w:val="auto"/>
        </w:rPr>
        <w:t>Effective as of the later of Employee’s Change in Control Termination Date or the effective date of the Change in Control, the vesting and exercisability of all outstanding stock options and other stock awards covering the Company’s Common Stock that are held by Employee as of immediately prior to the Change in Control Termination Date shall be accelerated (and lapse, in the case of reacquisition or repurchase rights) in full. Employee’s stock options and stock awards shall remain outstanding following Employee’s Change in Control Termination Date if and to the extent necessary to give effect to this Section 6.2(a)(ii) subject to earlier termination under the terms of the equity plan under which such awards were granted and the original maximum term of the award (without regard to Employee’s termination).</w:t>
      </w:r>
    </w:p>
    <w:p>
      <w:pPr>
        <w:spacing w:after="0" w:line="152" w:lineRule="exact"/>
        <w:rPr>
          <w:rFonts w:ascii="Arial" w:cs="Arial" w:eastAsia="Arial" w:hAnsi="Arial"/>
          <w:sz w:val="19"/>
          <w:szCs w:val="19"/>
          <w:b w:val="1"/>
          <w:bCs w:val="1"/>
          <w:color w:val="auto"/>
        </w:rPr>
      </w:pPr>
    </w:p>
    <w:p>
      <w:pPr>
        <w:ind w:firstLine="1953"/>
        <w:spacing w:after="0" w:line="276" w:lineRule="auto"/>
        <w:tabs>
          <w:tab w:leader="none" w:pos="2564" w:val="left"/>
        </w:tabs>
        <w:numPr>
          <w:ilvl w:val="1"/>
          <w:numId w:val="41"/>
        </w:numPr>
        <w:rPr>
          <w:rFonts w:ascii="Arial" w:cs="Arial" w:eastAsia="Arial" w:hAnsi="Arial"/>
          <w:sz w:val="22"/>
          <w:szCs w:val="22"/>
          <w:b w:val="1"/>
          <w:bCs w:val="1"/>
          <w:color w:val="auto"/>
        </w:rPr>
      </w:pPr>
      <w:r>
        <w:rPr>
          <w:rFonts w:ascii="Arial" w:cs="Arial" w:eastAsia="Arial" w:hAnsi="Arial"/>
          <w:sz w:val="22"/>
          <w:szCs w:val="22"/>
          <w:color w:val="auto"/>
        </w:rPr>
        <w:t>As used in this Agreement, “</w:t>
      </w:r>
      <w:r>
        <w:rPr>
          <w:rFonts w:ascii="Arial" w:cs="Arial" w:eastAsia="Arial" w:hAnsi="Arial"/>
          <w:sz w:val="22"/>
          <w:szCs w:val="22"/>
          <w:b w:val="1"/>
          <w:bCs w:val="1"/>
          <w:i w:val="1"/>
          <w:iCs w:val="1"/>
          <w:color w:val="auto"/>
        </w:rPr>
        <w:t>Change in Control</w:t>
      </w:r>
      <w:r>
        <w:rPr>
          <w:rFonts w:ascii="Arial" w:cs="Arial" w:eastAsia="Arial" w:hAnsi="Arial"/>
          <w:sz w:val="22"/>
          <w:szCs w:val="22"/>
          <w:color w:val="auto"/>
        </w:rPr>
        <w:t>” means “Change in Control” as defined in the Company’s 2016 Equity Incentive Plan.</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2" w:lineRule="exact"/>
        <w:rPr>
          <w:sz w:val="20"/>
          <w:szCs w:val="20"/>
          <w:color w:val="auto"/>
        </w:rPr>
      </w:pPr>
    </w:p>
    <w:p>
      <w:pPr>
        <w:spacing w:after="0"/>
        <w:rPr>
          <w:sz w:val="20"/>
          <w:szCs w:val="20"/>
          <w:color w:val="auto"/>
        </w:rPr>
      </w:pPr>
      <w:r>
        <w:rPr>
          <w:rFonts w:ascii="Arial" w:cs="Arial" w:eastAsia="Arial" w:hAnsi="Arial"/>
          <w:sz w:val="14"/>
          <w:szCs w:val="14"/>
          <w:color w:val="auto"/>
        </w:rPr>
        <w:t>{2312556-2, 110610-00000-01}</w:t>
      </w:r>
    </w:p>
    <w:p>
      <w:pPr>
        <w:spacing w:after="0" w:line="21"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7</w:t>
      </w:r>
    </w:p>
    <w:p>
      <w:pPr>
        <w:sectPr>
          <w:pgSz w:w="11900" w:h="16838" w:orient="portrait"/>
          <w:cols w:equalWidth="0" w:num="1">
            <w:col w:w="11420"/>
          </w:cols>
          <w:pgMar w:left="240" w:top="631" w:right="239" w:bottom="1440" w:gutter="0" w:footer="0" w:header="0"/>
        </w:sectPr>
      </w:pPr>
    </w:p>
    <w:bookmarkStart w:id="61" w:name="page62"/>
    <w:bookmarkEnd w:id="61"/>
    <w:p>
      <w:pPr>
        <w:ind w:left="1300"/>
        <w:spacing w:after="0"/>
        <w:tabs>
          <w:tab w:leader="none" w:pos="1740" w:val="left"/>
        </w:tabs>
        <w:rPr>
          <w:sz w:val="20"/>
          <w:szCs w:val="20"/>
          <w:color w:val="auto"/>
        </w:rPr>
      </w:pPr>
      <w:r>
        <w:rPr>
          <w:rFonts w:ascii="Arial" w:cs="Arial" w:eastAsia="Arial" w:hAnsi="Arial"/>
          <w:sz w:val="22"/>
          <w:szCs w:val="22"/>
          <w:b w:val="1"/>
          <w:bCs w:val="1"/>
          <w:color w:val="auto"/>
        </w:rPr>
        <w:t>6.3</w:t>
      </w:r>
      <w:r>
        <w:rPr>
          <w:sz w:val="20"/>
          <w:szCs w:val="20"/>
          <w:color w:val="auto"/>
        </w:rPr>
        <w:tab/>
      </w:r>
      <w:r>
        <w:rPr>
          <w:rFonts w:ascii="Arial" w:cs="Arial" w:eastAsia="Arial" w:hAnsi="Arial"/>
          <w:sz w:val="19"/>
          <w:szCs w:val="19"/>
          <w:b w:val="1"/>
          <w:bCs w:val="1"/>
          <w:u w:val="single" w:color="auto"/>
          <w:color w:val="auto"/>
        </w:rPr>
        <w:t>Termination by Virtue of Death or Disability of the Employee</w:t>
      </w:r>
      <w:r>
        <w:rPr>
          <w:rFonts w:ascii="Arial" w:cs="Arial" w:eastAsia="Arial" w:hAnsi="Arial"/>
          <w:sz w:val="19"/>
          <w:szCs w:val="19"/>
          <w:color w:val="auto"/>
        </w:rPr>
        <w:t>.</w:t>
      </w:r>
    </w:p>
    <w:p>
      <w:pPr>
        <w:spacing w:after="0" w:line="239" w:lineRule="exact"/>
        <w:rPr>
          <w:sz w:val="20"/>
          <w:szCs w:val="20"/>
          <w:color w:val="auto"/>
        </w:rPr>
      </w:pPr>
    </w:p>
    <w:p>
      <w:pPr>
        <w:jc w:val="both"/>
        <w:ind w:firstLine="1953"/>
        <w:spacing w:after="0" w:line="270" w:lineRule="auto"/>
        <w:tabs>
          <w:tab w:leader="none" w:pos="2471" w:val="left"/>
        </w:tabs>
        <w:numPr>
          <w:ilvl w:val="1"/>
          <w:numId w:val="42"/>
        </w:numPr>
        <w:rPr>
          <w:rFonts w:ascii="Arial" w:cs="Arial" w:eastAsia="Arial" w:hAnsi="Arial"/>
          <w:sz w:val="21"/>
          <w:szCs w:val="21"/>
          <w:b w:val="1"/>
          <w:bCs w:val="1"/>
          <w:color w:val="auto"/>
        </w:rPr>
      </w:pPr>
      <w:r>
        <w:rPr>
          <w:rFonts w:ascii="Arial" w:cs="Arial" w:eastAsia="Arial" w:hAnsi="Arial"/>
          <w:sz w:val="21"/>
          <w:szCs w:val="21"/>
          <w:color w:val="auto"/>
        </w:rPr>
        <w:t>In the event of Employee’s death while employed pursuant to this Agreement, all obligations of the parties hereunder and Employee’s employment shall terminate immediately, and the Company shall, pursuant to the Company’s standard payroll policies, pay to the Employee’s legal representatives the Accrued Obligations due to Employee, but the Company will not provide the Severance Benefits, or any other severance compensation or benefit.</w:t>
      </w:r>
    </w:p>
    <w:p>
      <w:pPr>
        <w:spacing w:after="0" w:line="169" w:lineRule="exact"/>
        <w:rPr>
          <w:rFonts w:ascii="Arial" w:cs="Arial" w:eastAsia="Arial" w:hAnsi="Arial"/>
          <w:sz w:val="21"/>
          <w:szCs w:val="21"/>
          <w:b w:val="1"/>
          <w:bCs w:val="1"/>
          <w:color w:val="auto"/>
        </w:rPr>
      </w:pPr>
    </w:p>
    <w:p>
      <w:pPr>
        <w:jc w:val="both"/>
        <w:ind w:firstLine="1953"/>
        <w:spacing w:after="0" w:line="290" w:lineRule="auto"/>
        <w:tabs>
          <w:tab w:leader="none" w:pos="2416" w:val="left"/>
        </w:tabs>
        <w:numPr>
          <w:ilvl w:val="1"/>
          <w:numId w:val="42"/>
        </w:numPr>
        <w:rPr>
          <w:rFonts w:ascii="Arial" w:cs="Arial" w:eastAsia="Arial" w:hAnsi="Arial"/>
          <w:sz w:val="19"/>
          <w:szCs w:val="19"/>
          <w:b w:val="1"/>
          <w:bCs w:val="1"/>
          <w:color w:val="auto"/>
        </w:rPr>
      </w:pPr>
      <w:r>
        <w:rPr>
          <w:rFonts w:ascii="Arial" w:cs="Arial" w:eastAsia="Arial" w:hAnsi="Arial"/>
          <w:sz w:val="19"/>
          <w:szCs w:val="19"/>
          <w:color w:val="auto"/>
        </w:rPr>
        <w:t>Subject to applicable state and federal law, the Company shall at all times have the right, upon written notice to the Employee, to terminate this Agreement based on the Employee’s Disability (as defined below). Termination by the Company of the Employee’s employment based on “</w:t>
      </w:r>
      <w:r>
        <w:rPr>
          <w:rFonts w:ascii="Arial" w:cs="Arial" w:eastAsia="Arial" w:hAnsi="Arial"/>
          <w:sz w:val="19"/>
          <w:szCs w:val="19"/>
          <w:b w:val="1"/>
          <w:bCs w:val="1"/>
          <w:i w:val="1"/>
          <w:iCs w:val="1"/>
          <w:color w:val="auto"/>
        </w:rPr>
        <w:t>Disability</w:t>
      </w:r>
      <w:r>
        <w:rPr>
          <w:rFonts w:ascii="Arial" w:cs="Arial" w:eastAsia="Arial" w:hAnsi="Arial"/>
          <w:sz w:val="19"/>
          <w:szCs w:val="19"/>
          <w:color w:val="auto"/>
        </w:rPr>
        <w:t>” shall mean termination because the Employee is unable due to a physical or mental condition to perform the essential functions of his position with or without reasonable accommodation for six</w:t>
      </w:r>
    </w:p>
    <w:p>
      <w:pPr>
        <w:spacing w:after="0" w:line="1" w:lineRule="exact"/>
        <w:rPr>
          <w:rFonts w:ascii="Arial" w:cs="Arial" w:eastAsia="Arial" w:hAnsi="Arial"/>
          <w:sz w:val="19"/>
          <w:szCs w:val="19"/>
          <w:b w:val="1"/>
          <w:bCs w:val="1"/>
          <w:color w:val="auto"/>
        </w:rPr>
      </w:pPr>
    </w:p>
    <w:p>
      <w:pPr>
        <w:jc w:val="both"/>
        <w:ind w:firstLine="8"/>
        <w:spacing w:after="0" w:line="244" w:lineRule="auto"/>
        <w:tabs>
          <w:tab w:leader="none" w:pos="308" w:val="left"/>
        </w:tabs>
        <w:numPr>
          <w:ilvl w:val="0"/>
          <w:numId w:val="43"/>
        </w:numPr>
        <w:rPr>
          <w:rFonts w:ascii="Arial" w:cs="Arial" w:eastAsia="Arial" w:hAnsi="Arial"/>
          <w:sz w:val="22"/>
          <w:szCs w:val="22"/>
          <w:color w:val="auto"/>
        </w:rPr>
      </w:pPr>
      <w:r>
        <w:rPr>
          <w:rFonts w:ascii="Arial" w:cs="Arial" w:eastAsia="Arial" w:hAnsi="Arial"/>
          <w:sz w:val="22"/>
          <w:szCs w:val="22"/>
          <w:color w:val="auto"/>
        </w:rPr>
        <w:t>months in the aggregate during any twelve (12) month period or based on the written certification by two licensed physicians of the likely continuation of such condition for such period. This definition shall be interpreted and applied consistent with the Americans with Disabilities Act, the Family and Medical Leave Act, and other applicable law. In the event Employee’s employment is terminated based on the Employee’s Disability, Employee will be entitled to the Accrued Obligations, but will not receive the Severance Benefits, or any other severance compensation or benefit.</w:t>
      </w:r>
    </w:p>
    <w:p>
      <w:pPr>
        <w:spacing w:after="0" w:line="189" w:lineRule="exact"/>
        <w:rPr>
          <w:sz w:val="20"/>
          <w:szCs w:val="20"/>
          <w:color w:val="auto"/>
        </w:rPr>
      </w:pPr>
    </w:p>
    <w:p>
      <w:pPr>
        <w:jc w:val="both"/>
        <w:ind w:firstLine="1297"/>
        <w:spacing w:after="0" w:line="295" w:lineRule="auto"/>
        <w:rPr>
          <w:sz w:val="20"/>
          <w:szCs w:val="20"/>
          <w:color w:val="auto"/>
        </w:rPr>
      </w:pPr>
      <w:r>
        <w:rPr>
          <w:rFonts w:ascii="Arial" w:cs="Arial" w:eastAsia="Arial" w:hAnsi="Arial"/>
          <w:sz w:val="19"/>
          <w:szCs w:val="19"/>
          <w:b w:val="1"/>
          <w:bCs w:val="1"/>
          <w:color w:val="auto"/>
        </w:rPr>
        <w:t xml:space="preserve">6.4 </w:t>
      </w:r>
      <w:r>
        <w:rPr>
          <w:rFonts w:ascii="Arial" w:cs="Arial" w:eastAsia="Arial" w:hAnsi="Arial"/>
          <w:sz w:val="19"/>
          <w:szCs w:val="19"/>
          <w:b w:val="1"/>
          <w:bCs w:val="1"/>
          <w:u w:val="single" w:color="auto"/>
          <w:color w:val="auto"/>
        </w:rPr>
        <w:t>Termination Due to Discontinuance of Business</w:t>
      </w:r>
      <w:r>
        <w:rPr>
          <w:rFonts w:ascii="Arial" w:cs="Arial" w:eastAsia="Arial" w:hAnsi="Arial"/>
          <w:sz w:val="19"/>
          <w:szCs w:val="19"/>
          <w:b w:val="1"/>
          <w:bCs w:val="1"/>
          <w:color w:val="auto"/>
        </w:rPr>
        <w:t xml:space="preserve">. </w:t>
      </w:r>
      <w:r>
        <w:rPr>
          <w:rFonts w:ascii="Arial" w:cs="Arial" w:eastAsia="Arial" w:hAnsi="Arial"/>
          <w:sz w:val="19"/>
          <w:szCs w:val="19"/>
          <w:color w:val="auto"/>
        </w:rPr>
        <w:t>Anything in this Agreement to the contrary</w:t>
      </w:r>
      <w:r>
        <w:rPr>
          <w:rFonts w:ascii="Arial" w:cs="Arial" w:eastAsia="Arial" w:hAnsi="Arial"/>
          <w:sz w:val="19"/>
          <w:szCs w:val="19"/>
          <w:b w:val="1"/>
          <w:bCs w:val="1"/>
          <w:color w:val="auto"/>
        </w:rPr>
        <w:t xml:space="preserve"> </w:t>
      </w:r>
      <w:r>
        <w:rPr>
          <w:rFonts w:ascii="Arial" w:cs="Arial" w:eastAsia="Arial" w:hAnsi="Arial"/>
          <w:sz w:val="19"/>
          <w:szCs w:val="19"/>
          <w:color w:val="auto"/>
        </w:rPr>
        <w:t>notwithstanding, in the event the Company’s business is discontinued because rendered impracticable by substantial financial losses, lack of funding, legal decisions, administrative rulings, declaration of war, dissolution, national or local economic depression or crisis or any reasons beyond the control of the Company, then this Agreement shall terminate as of the day the Company determines to cease operation with the same force and effect as if such day of the month were originally set as the termination date hereof. In the event this Agreement is terminated pursuant to this Section 6.4, Employee will be entitled to the Accrued Obligations, but will not receive the Severance Benefits, or any other severance compensation or benefit.</w:t>
      </w:r>
    </w:p>
    <w:p>
      <w:pPr>
        <w:spacing w:after="0" w:line="146" w:lineRule="exact"/>
        <w:rPr>
          <w:sz w:val="20"/>
          <w:szCs w:val="20"/>
          <w:color w:val="auto"/>
        </w:rPr>
      </w:pPr>
    </w:p>
    <w:p>
      <w:pPr>
        <w:jc w:val="both"/>
        <w:ind w:firstLine="1297"/>
        <w:spacing w:after="0" w:line="293" w:lineRule="auto"/>
        <w:rPr>
          <w:sz w:val="20"/>
          <w:szCs w:val="20"/>
          <w:color w:val="auto"/>
        </w:rPr>
      </w:pPr>
      <w:r>
        <w:rPr>
          <w:rFonts w:ascii="Arial" w:cs="Arial" w:eastAsia="Arial" w:hAnsi="Arial"/>
          <w:sz w:val="19"/>
          <w:szCs w:val="19"/>
          <w:b w:val="1"/>
          <w:bCs w:val="1"/>
          <w:color w:val="auto"/>
        </w:rPr>
        <w:t xml:space="preserve">6.5 </w:t>
      </w:r>
      <w:r>
        <w:rPr>
          <w:rFonts w:ascii="Arial" w:cs="Arial" w:eastAsia="Arial" w:hAnsi="Arial"/>
          <w:sz w:val="19"/>
          <w:szCs w:val="19"/>
          <w:b w:val="1"/>
          <w:bCs w:val="1"/>
          <w:u w:val="single" w:color="auto"/>
          <w:color w:val="auto"/>
        </w:rPr>
        <w:t>Cooperation With Company After Termination of Employment</w:t>
      </w:r>
      <w:r>
        <w:rPr>
          <w:rFonts w:ascii="Arial" w:cs="Arial" w:eastAsia="Arial" w:hAnsi="Arial"/>
          <w:sz w:val="19"/>
          <w:szCs w:val="19"/>
          <w:color w:val="auto"/>
        </w:rPr>
        <w:t>. Following termination of Employee’s</w:t>
      </w:r>
      <w:r>
        <w:rPr>
          <w:rFonts w:ascii="Arial" w:cs="Arial" w:eastAsia="Arial" w:hAnsi="Arial"/>
          <w:sz w:val="19"/>
          <w:szCs w:val="19"/>
          <w:b w:val="1"/>
          <w:bCs w:val="1"/>
          <w:color w:val="auto"/>
        </w:rPr>
        <w:t xml:space="preserve"> </w:t>
      </w:r>
      <w:r>
        <w:rPr>
          <w:rFonts w:ascii="Arial" w:cs="Arial" w:eastAsia="Arial" w:hAnsi="Arial"/>
          <w:sz w:val="19"/>
          <w:szCs w:val="19"/>
          <w:color w:val="auto"/>
        </w:rPr>
        <w:t>employment for any reason, Employee shall reasonably cooperate with the Company in all matters relating to the winding up of Employee’s pending work including, but not limited to, any litigation in which the Company is involved, and the orderly transfer of any such pending work to such other Employees as may be designated by the Company; provided, however, that the obligations hereunder shall not interfere with Employee’s efforts to obtain subsequent employment and/or his obligations to and responsibilities for a subsequent employer and the obligations hereunder shall end six months after the termination of the Employee’s employment; and provided further that the Employee will be paid for his efforts hereunder at an hourly rate determined by dividing his last Annual Salary by 1,800 hours and that Employee shall be reimbursed his reasonable expenses.</w:t>
      </w:r>
    </w:p>
    <w:p>
      <w:pPr>
        <w:spacing w:after="0" w:line="148" w:lineRule="exact"/>
        <w:rPr>
          <w:sz w:val="20"/>
          <w:szCs w:val="20"/>
          <w:color w:val="auto"/>
        </w:rPr>
      </w:pPr>
    </w:p>
    <w:p>
      <w:pPr>
        <w:jc w:val="both"/>
        <w:ind w:firstLine="1297"/>
        <w:spacing w:after="0" w:line="262" w:lineRule="auto"/>
        <w:rPr>
          <w:sz w:val="20"/>
          <w:szCs w:val="20"/>
          <w:color w:val="auto"/>
        </w:rPr>
      </w:pPr>
      <w:r>
        <w:rPr>
          <w:rFonts w:ascii="Arial" w:cs="Arial" w:eastAsia="Arial" w:hAnsi="Arial"/>
          <w:sz w:val="22"/>
          <w:szCs w:val="22"/>
          <w:b w:val="1"/>
          <w:bCs w:val="1"/>
          <w:color w:val="auto"/>
        </w:rPr>
        <w:t xml:space="preserve">6.6 </w:t>
      </w:r>
      <w:r>
        <w:rPr>
          <w:rFonts w:ascii="Arial" w:cs="Arial" w:eastAsia="Arial" w:hAnsi="Arial"/>
          <w:sz w:val="22"/>
          <w:szCs w:val="22"/>
          <w:b w:val="1"/>
          <w:bCs w:val="1"/>
          <w:u w:val="single" w:color="auto"/>
          <w:color w:val="auto"/>
        </w:rPr>
        <w:t>Effect of Termination</w:t>
      </w:r>
      <w:r>
        <w:rPr>
          <w:rFonts w:ascii="Arial" w:cs="Arial" w:eastAsia="Arial" w:hAnsi="Arial"/>
          <w:sz w:val="22"/>
          <w:szCs w:val="22"/>
          <w:b w:val="1"/>
          <w:bCs w:val="1"/>
          <w:color w:val="auto"/>
        </w:rPr>
        <w:t xml:space="preserve">. </w:t>
      </w:r>
      <w:r>
        <w:rPr>
          <w:rFonts w:ascii="Arial" w:cs="Arial" w:eastAsia="Arial" w:hAnsi="Arial"/>
          <w:sz w:val="22"/>
          <w:szCs w:val="22"/>
          <w:color w:val="auto"/>
        </w:rPr>
        <w:t>Employee agrees that should his employment be terminated for any reason, he shall be</w:t>
      </w:r>
      <w:r>
        <w:rPr>
          <w:rFonts w:ascii="Arial" w:cs="Arial" w:eastAsia="Arial" w:hAnsi="Arial"/>
          <w:sz w:val="22"/>
          <w:szCs w:val="22"/>
          <w:b w:val="1"/>
          <w:bCs w:val="1"/>
          <w:color w:val="auto"/>
        </w:rPr>
        <w:t xml:space="preserve"> </w:t>
      </w:r>
      <w:r>
        <w:rPr>
          <w:rFonts w:ascii="Arial" w:cs="Arial" w:eastAsia="Arial" w:hAnsi="Arial"/>
          <w:sz w:val="22"/>
          <w:szCs w:val="22"/>
          <w:color w:val="auto"/>
        </w:rPr>
        <w:t>deemed to have resigned from any and all positions with the Company, including, but not limited, all positions with any and all subsidiaries and Affiliates of the Company.</w:t>
      </w:r>
    </w:p>
    <w:p>
      <w:pPr>
        <w:spacing w:after="0" w:line="200" w:lineRule="exact"/>
        <w:rPr>
          <w:sz w:val="20"/>
          <w:szCs w:val="20"/>
          <w:color w:val="auto"/>
        </w:rPr>
      </w:pPr>
    </w:p>
    <w:p>
      <w:pPr>
        <w:spacing w:after="0" w:line="371" w:lineRule="exact"/>
        <w:rPr>
          <w:sz w:val="20"/>
          <w:szCs w:val="20"/>
          <w:color w:val="auto"/>
        </w:rPr>
      </w:pPr>
    </w:p>
    <w:p>
      <w:pPr>
        <w:spacing w:after="0"/>
        <w:rPr>
          <w:sz w:val="20"/>
          <w:szCs w:val="20"/>
          <w:color w:val="auto"/>
        </w:rPr>
      </w:pPr>
      <w:r>
        <w:rPr>
          <w:rFonts w:ascii="Arial" w:cs="Arial" w:eastAsia="Arial" w:hAnsi="Arial"/>
          <w:sz w:val="14"/>
          <w:szCs w:val="14"/>
          <w:color w:val="auto"/>
        </w:rPr>
        <w:t>{2312556-2, 110610-00000-01}</w:t>
      </w:r>
    </w:p>
    <w:p>
      <w:pPr>
        <w:spacing w:after="0" w:line="21"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8</w:t>
      </w:r>
    </w:p>
    <w:p>
      <w:pPr>
        <w:sectPr>
          <w:pgSz w:w="11900" w:h="16838" w:orient="portrait"/>
          <w:cols w:equalWidth="0" w:num="1">
            <w:col w:w="11420"/>
          </w:cols>
          <w:pgMar w:left="240" w:top="625" w:right="239" w:bottom="1440" w:gutter="0" w:footer="0" w:header="0"/>
        </w:sectPr>
      </w:pPr>
    </w:p>
    <w:bookmarkStart w:id="62" w:name="page63"/>
    <w:bookmarkEnd w:id="62"/>
    <w:p>
      <w:pPr>
        <w:jc w:val="both"/>
        <w:ind w:firstLine="1297"/>
        <w:spacing w:after="0" w:line="285" w:lineRule="auto"/>
        <w:rPr>
          <w:sz w:val="20"/>
          <w:szCs w:val="20"/>
          <w:color w:val="auto"/>
        </w:rPr>
      </w:pPr>
      <w:r>
        <w:rPr>
          <w:rFonts w:ascii="Arial" w:cs="Arial" w:eastAsia="Arial" w:hAnsi="Arial"/>
          <w:sz w:val="19"/>
          <w:szCs w:val="19"/>
          <w:b w:val="1"/>
          <w:bCs w:val="1"/>
          <w:color w:val="auto"/>
        </w:rPr>
        <w:t xml:space="preserve">6.7 </w:t>
      </w:r>
      <w:r>
        <w:rPr>
          <w:rFonts w:ascii="Arial" w:cs="Arial" w:eastAsia="Arial" w:hAnsi="Arial"/>
          <w:sz w:val="19"/>
          <w:szCs w:val="19"/>
          <w:b w:val="1"/>
          <w:bCs w:val="1"/>
          <w:u w:val="single" w:color="auto"/>
          <w:color w:val="auto"/>
        </w:rPr>
        <w:t>Application of Section 409A</w:t>
      </w:r>
      <w:r>
        <w:rPr>
          <w:rFonts w:ascii="Arial" w:cs="Arial" w:eastAsia="Arial" w:hAnsi="Arial"/>
          <w:sz w:val="19"/>
          <w:szCs w:val="19"/>
          <w:color w:val="auto"/>
        </w:rPr>
        <w:t>. It is intended that all of the severance payments payable under this Agreement</w:t>
      </w:r>
      <w:r>
        <w:rPr>
          <w:rFonts w:ascii="Arial" w:cs="Arial" w:eastAsia="Arial" w:hAnsi="Arial"/>
          <w:sz w:val="19"/>
          <w:szCs w:val="19"/>
          <w:b w:val="1"/>
          <w:bCs w:val="1"/>
          <w:color w:val="auto"/>
        </w:rPr>
        <w:t xml:space="preserve"> </w:t>
      </w:r>
      <w:r>
        <w:rPr>
          <w:rFonts w:ascii="Arial" w:cs="Arial" w:eastAsia="Arial" w:hAnsi="Arial"/>
          <w:sz w:val="19"/>
          <w:szCs w:val="19"/>
          <w:color w:val="auto"/>
        </w:rPr>
        <w:t>satisfy, to the greatest extent possible, the exemptions from the application of Section 409A of the Code and the regulations and other guidance thereunder and any state law of similar effect (collectively, “</w:t>
      </w:r>
      <w:r>
        <w:rPr>
          <w:rFonts w:ascii="Arial" w:cs="Arial" w:eastAsia="Arial" w:hAnsi="Arial"/>
          <w:sz w:val="19"/>
          <w:szCs w:val="19"/>
          <w:b w:val="1"/>
          <w:bCs w:val="1"/>
          <w:i w:val="1"/>
          <w:iCs w:val="1"/>
          <w:color w:val="auto"/>
        </w:rPr>
        <w:t>Section 409A</w:t>
      </w:r>
      <w:r>
        <w:rPr>
          <w:rFonts w:ascii="Arial" w:cs="Arial" w:eastAsia="Arial" w:hAnsi="Arial"/>
          <w:sz w:val="19"/>
          <w:szCs w:val="19"/>
          <w:color w:val="auto"/>
        </w:rPr>
        <w:t>”) provided under Treasury Regulations Sections 1.409A-1(b)(4) and 1.409A-1(b)(9), and this Agreement will be construed in a manner that complies with Section 409A. If not so exempt, this Agreement (and any definitions hereunder) will be construed in a manner that complies with Section 409A, and incorporates by reference all required definitions and payment terms. No severance payments will be made under this Agreement unless Employee’s termination of employment constitutes a Separation from Service. For purposes of Section 409A (including, without limitation, for purposes of Treasury Regulations Section 1.409A-2(b)(2)(iii)), Employee’s right to receive any installment payments under this Agreement (whether severance payments or otherwise) shall be treated as a right to receive a series of separate payments and, accordingly, each installment payment hereunder shall at all times be considered a separate and distinct payment. To the extent that any severance payments are deferred compensation under Section 409A, and are not otherwise exempt from the application of Section 409A, then, if the period during which Employee may consider and sign the Release spans two calendar years, the severance payments will not begin until the second calendar year. If the Company determines that the severance benefits provided under this Agreement constitutes “deferred compensation” under Section 409A and if Employee is a “specified employee” of the Company, as such term is defined in Section 409A(a)(2)(B)(i) of the Code at the time of Employee’s Separation from Service, then, solely to the extent necessary to avoid the incurrence of the adverse personal tax consequences under Section 409A, the timing of the Severance will be delayed as follows: on the earlier to occur of (a) the date that is six months and one day after Employee’s Separation from Service, and (b) the date of Employee’s death (such earlier date, the “</w:t>
      </w:r>
      <w:r>
        <w:rPr>
          <w:rFonts w:ascii="Arial" w:cs="Arial" w:eastAsia="Arial" w:hAnsi="Arial"/>
          <w:sz w:val="19"/>
          <w:szCs w:val="19"/>
          <w:b w:val="1"/>
          <w:bCs w:val="1"/>
          <w:i w:val="1"/>
          <w:iCs w:val="1"/>
          <w:color w:val="auto"/>
        </w:rPr>
        <w:t>Delayed Initial Payment</w:t>
      </w:r>
      <w:r>
        <w:rPr>
          <w:rFonts w:ascii="Arial" w:cs="Arial" w:eastAsia="Arial" w:hAnsi="Arial"/>
          <w:sz w:val="19"/>
          <w:szCs w:val="19"/>
          <w:color w:val="auto"/>
        </w:rPr>
        <w:t xml:space="preserve"> </w:t>
      </w:r>
      <w:r>
        <w:rPr>
          <w:rFonts w:ascii="Arial" w:cs="Arial" w:eastAsia="Arial" w:hAnsi="Arial"/>
          <w:sz w:val="19"/>
          <w:szCs w:val="19"/>
          <w:b w:val="1"/>
          <w:bCs w:val="1"/>
          <w:i w:val="1"/>
          <w:iCs w:val="1"/>
          <w:color w:val="auto"/>
        </w:rPr>
        <w:t>Date</w:t>
      </w:r>
      <w:r>
        <w:rPr>
          <w:rFonts w:ascii="Arial" w:cs="Arial" w:eastAsia="Arial" w:hAnsi="Arial"/>
          <w:sz w:val="19"/>
          <w:szCs w:val="19"/>
          <w:color w:val="auto"/>
        </w:rPr>
        <w:t>”), the Company will pay to Employee a lump sum amount equal to the sum of the severance benefits that Employee would</w:t>
      </w:r>
      <w:r>
        <w:rPr>
          <w:rFonts w:ascii="Arial" w:cs="Arial" w:eastAsia="Arial" w:hAnsi="Arial"/>
          <w:sz w:val="19"/>
          <w:szCs w:val="19"/>
          <w:b w:val="1"/>
          <w:bCs w:val="1"/>
          <w:i w:val="1"/>
          <w:iCs w:val="1"/>
          <w:color w:val="auto"/>
        </w:rPr>
        <w:t xml:space="preserve"> </w:t>
      </w:r>
      <w:r>
        <w:rPr>
          <w:rFonts w:ascii="Arial" w:cs="Arial" w:eastAsia="Arial" w:hAnsi="Arial"/>
          <w:sz w:val="19"/>
          <w:szCs w:val="19"/>
          <w:color w:val="auto"/>
        </w:rPr>
        <w:t>otherwise have received through the Delayed Initial Payment Date if the commencement of the payment of the severance benefits had not been delayed pursuant to this Section 6.7 and (ii) commence paying the balance of the severance benefits in accordance with the applicable payment schedule set forth in Section 6.1. No interest shall be due on any amounts deferred pursuant to this Section 6.7.</w:t>
      </w:r>
    </w:p>
    <w:p>
      <w:pPr>
        <w:spacing w:after="0" w:line="200" w:lineRule="exact"/>
        <w:rPr>
          <w:sz w:val="20"/>
          <w:szCs w:val="20"/>
          <w:color w:val="auto"/>
        </w:rPr>
      </w:pPr>
    </w:p>
    <w:p>
      <w:pPr>
        <w:spacing w:after="0" w:line="223" w:lineRule="exact"/>
        <w:rPr>
          <w:sz w:val="20"/>
          <w:szCs w:val="20"/>
          <w:color w:val="auto"/>
        </w:rPr>
      </w:pPr>
    </w:p>
    <w:p>
      <w:pPr>
        <w:jc w:val="both"/>
        <w:ind w:firstLine="1297"/>
        <w:spacing w:after="0" w:line="288" w:lineRule="auto"/>
        <w:rPr>
          <w:sz w:val="20"/>
          <w:szCs w:val="20"/>
          <w:color w:val="auto"/>
        </w:rPr>
      </w:pPr>
      <w:r>
        <w:rPr>
          <w:rFonts w:ascii="Arial" w:cs="Arial" w:eastAsia="Arial" w:hAnsi="Arial"/>
          <w:sz w:val="19"/>
          <w:szCs w:val="19"/>
          <w:b w:val="1"/>
          <w:bCs w:val="1"/>
          <w:color w:val="auto"/>
        </w:rPr>
        <w:t xml:space="preserve">6.8 </w:t>
      </w:r>
      <w:r>
        <w:rPr>
          <w:rFonts w:ascii="Arial" w:cs="Arial" w:eastAsia="Arial" w:hAnsi="Arial"/>
          <w:sz w:val="19"/>
          <w:szCs w:val="19"/>
          <w:b w:val="1"/>
          <w:bCs w:val="1"/>
          <w:u w:val="single" w:color="auto"/>
          <w:color w:val="auto"/>
        </w:rPr>
        <w:t>Excise Tax Adjustment</w:t>
      </w:r>
      <w:r>
        <w:rPr>
          <w:rFonts w:ascii="Arial" w:cs="Arial" w:eastAsia="Arial" w:hAnsi="Arial"/>
          <w:sz w:val="19"/>
          <w:szCs w:val="19"/>
          <w:color w:val="auto"/>
        </w:rPr>
        <w:t>. Notwithstanding any of the foregoing to the contrary in the event that the severance</w:t>
      </w:r>
      <w:r>
        <w:rPr>
          <w:rFonts w:ascii="Arial" w:cs="Arial" w:eastAsia="Arial" w:hAnsi="Arial"/>
          <w:sz w:val="19"/>
          <w:szCs w:val="19"/>
          <w:b w:val="1"/>
          <w:bCs w:val="1"/>
          <w:color w:val="auto"/>
        </w:rPr>
        <w:t xml:space="preserve"> </w:t>
      </w:r>
      <w:r>
        <w:rPr>
          <w:rFonts w:ascii="Arial" w:cs="Arial" w:eastAsia="Arial" w:hAnsi="Arial"/>
          <w:sz w:val="19"/>
          <w:szCs w:val="19"/>
          <w:color w:val="auto"/>
        </w:rPr>
        <w:t>and other benefits provided for in this Agreement or otherwise payable to Employee (i) constitute “parachute payments” within the meaning of Section 280G of the Internal Revenue Code of 1986, as amended (the “</w:t>
      </w:r>
      <w:r>
        <w:rPr>
          <w:rFonts w:ascii="Arial" w:cs="Arial" w:eastAsia="Arial" w:hAnsi="Arial"/>
          <w:sz w:val="19"/>
          <w:szCs w:val="19"/>
          <w:b w:val="1"/>
          <w:bCs w:val="1"/>
          <w:i w:val="1"/>
          <w:iCs w:val="1"/>
          <w:color w:val="auto"/>
        </w:rPr>
        <w:t>Code</w:t>
      </w:r>
      <w:r>
        <w:rPr>
          <w:rFonts w:ascii="Arial" w:cs="Arial" w:eastAsia="Arial" w:hAnsi="Arial"/>
          <w:sz w:val="19"/>
          <w:szCs w:val="19"/>
          <w:color w:val="auto"/>
        </w:rPr>
        <w:t>”) and (ii) but for this Section, would be subject to the excise tax imposed by Section 4999 of the Code (“</w:t>
      </w:r>
      <w:r>
        <w:rPr>
          <w:rFonts w:ascii="Arial" w:cs="Arial" w:eastAsia="Arial" w:hAnsi="Arial"/>
          <w:sz w:val="19"/>
          <w:szCs w:val="19"/>
          <w:b w:val="1"/>
          <w:bCs w:val="1"/>
          <w:i w:val="1"/>
          <w:iCs w:val="1"/>
          <w:color w:val="auto"/>
        </w:rPr>
        <w:t>Excise Tax</w:t>
      </w:r>
      <w:r>
        <w:rPr>
          <w:rFonts w:ascii="Arial" w:cs="Arial" w:eastAsia="Arial" w:hAnsi="Arial"/>
          <w:sz w:val="19"/>
          <w:szCs w:val="19"/>
          <w:color w:val="auto"/>
        </w:rPr>
        <w:t>”), then Employee’s severance benefits under this Agreement shall be payable either (A) in full, or (B) as to such lesser amount which would result in no portion of such severance benefits being subject to excise tax under Section 4999 of the Code, whichever of the foregoing amounts, taking into account the applicable federal, state and local income taxes and the excise tax imposed by Section 4999, results in the receipt by Employee on an after-tax basis, of the greatest amount of severance benefits under this Agreement, notwithstanding that all or some portion of such severance benefits may be taxable under Section 4999 of the Code. Unless the Company and Employee otherwise agree in writing, any determination required under this Section shall be made in writing by the Company’s independent public accountants (the “</w:t>
      </w:r>
      <w:r>
        <w:rPr>
          <w:rFonts w:ascii="Arial" w:cs="Arial" w:eastAsia="Arial" w:hAnsi="Arial"/>
          <w:sz w:val="19"/>
          <w:szCs w:val="19"/>
          <w:b w:val="1"/>
          <w:bCs w:val="1"/>
          <w:i w:val="1"/>
          <w:iCs w:val="1"/>
          <w:color w:val="auto"/>
        </w:rPr>
        <w:t>Accountants</w:t>
      </w:r>
      <w:r>
        <w:rPr>
          <w:rFonts w:ascii="Arial" w:cs="Arial" w:eastAsia="Arial" w:hAnsi="Arial"/>
          <w:sz w:val="19"/>
          <w:szCs w:val="19"/>
          <w:color w:val="auto"/>
        </w:rPr>
        <w:t>”), whose determination shall be conclusive and binding upon Employee and the Company for all purposes. For purposes of making the calculations required by this Section, the Accountants may make reasonable assumptions and approximations concerning applicable taxes and</w:t>
      </w:r>
    </w:p>
    <w:p>
      <w:pPr>
        <w:spacing w:after="0" w:line="200" w:lineRule="exact"/>
        <w:rPr>
          <w:sz w:val="20"/>
          <w:szCs w:val="20"/>
          <w:color w:val="auto"/>
        </w:rPr>
      </w:pPr>
    </w:p>
    <w:p>
      <w:pPr>
        <w:spacing w:after="0" w:line="357" w:lineRule="exact"/>
        <w:rPr>
          <w:sz w:val="20"/>
          <w:szCs w:val="20"/>
          <w:color w:val="auto"/>
        </w:rPr>
      </w:pPr>
    </w:p>
    <w:p>
      <w:pPr>
        <w:spacing w:after="0"/>
        <w:rPr>
          <w:sz w:val="20"/>
          <w:szCs w:val="20"/>
          <w:color w:val="auto"/>
        </w:rPr>
      </w:pPr>
      <w:r>
        <w:rPr>
          <w:rFonts w:ascii="Arial" w:cs="Arial" w:eastAsia="Arial" w:hAnsi="Arial"/>
          <w:sz w:val="14"/>
          <w:szCs w:val="14"/>
          <w:color w:val="auto"/>
        </w:rPr>
        <w:t>{2312556-2, 110610-00000-01}</w:t>
      </w:r>
    </w:p>
    <w:p>
      <w:pPr>
        <w:spacing w:after="0" w:line="21"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9</w:t>
      </w:r>
    </w:p>
    <w:p>
      <w:pPr>
        <w:sectPr>
          <w:pgSz w:w="11900" w:h="16838" w:orient="portrait"/>
          <w:cols w:equalWidth="0" w:num="1">
            <w:col w:w="11420"/>
          </w:cols>
          <w:pgMar w:left="240" w:top="625" w:right="239" w:bottom="1440" w:gutter="0" w:footer="0" w:header="0"/>
        </w:sectPr>
      </w:pPr>
    </w:p>
    <w:bookmarkStart w:id="63" w:name="page64"/>
    <w:bookmarkEnd w:id="63"/>
    <w:p>
      <w:pPr>
        <w:jc w:val="both"/>
        <w:spacing w:after="0" w:line="290" w:lineRule="auto"/>
        <w:rPr>
          <w:sz w:val="20"/>
          <w:szCs w:val="20"/>
          <w:color w:val="auto"/>
        </w:rPr>
      </w:pPr>
      <w:r>
        <w:rPr>
          <w:rFonts w:ascii="Arial" w:cs="Arial" w:eastAsia="Arial" w:hAnsi="Arial"/>
          <w:sz w:val="19"/>
          <w:szCs w:val="19"/>
          <w:color w:val="auto"/>
        </w:rPr>
        <w:t>may rely on reasonable, good faith interpretations concerning the application of Sections 280G and 4999 of the Code. The Company and Employee shall furnish to the Accountants such information and documents as the Accountants may reasonably request in order to make a determination under this Section. The Company shall bear all costs the Accountants may reasonably incur in connection with any calculations contemplated by this Section. Any reduction in payments and/or benefits required by this Section shall occur in the following order: (1) reduction of cash payments; (2) reduction in vesting acceleration of equity awards; and (3) reduction of other benefits paid or provided to Employee. In the event that acceleration of vesting of equity awards is to be reduced, such acceleration of vesting shall be cancelled in the reverse order of the date of grant for Employee’s equity awards. If two or more equity awards are granted on the same date, each award will be reduced on a pro-rata basis.</w:t>
      </w:r>
    </w:p>
    <w:p>
      <w:pPr>
        <w:spacing w:after="0" w:line="151" w:lineRule="exact"/>
        <w:rPr>
          <w:sz w:val="20"/>
          <w:szCs w:val="20"/>
          <w:color w:val="auto"/>
        </w:rPr>
      </w:pPr>
    </w:p>
    <w:p>
      <w:pPr>
        <w:ind w:left="1540" w:hanging="884"/>
        <w:spacing w:after="0"/>
        <w:tabs>
          <w:tab w:leader="none" w:pos="1540" w:val="left"/>
        </w:tabs>
        <w:numPr>
          <w:ilvl w:val="0"/>
          <w:numId w:val="44"/>
        </w:numPr>
        <w:rPr>
          <w:rFonts w:ascii="Arial" w:cs="Arial" w:eastAsia="Arial" w:hAnsi="Arial"/>
          <w:sz w:val="22"/>
          <w:szCs w:val="22"/>
          <w:b w:val="1"/>
          <w:bCs w:val="1"/>
          <w:color w:val="auto"/>
        </w:rPr>
      </w:pPr>
      <w:r>
        <w:rPr>
          <w:rFonts w:ascii="Arial" w:cs="Arial" w:eastAsia="Arial" w:hAnsi="Arial"/>
          <w:sz w:val="22"/>
          <w:szCs w:val="22"/>
          <w:b w:val="1"/>
          <w:bCs w:val="1"/>
          <w:u w:val="single" w:color="auto"/>
          <w:color w:val="auto"/>
        </w:rPr>
        <w:t>GENERAL PROVISIONS</w:t>
      </w:r>
      <w:r>
        <w:rPr>
          <w:rFonts w:ascii="Arial" w:cs="Arial" w:eastAsia="Arial" w:hAnsi="Arial"/>
          <w:sz w:val="22"/>
          <w:szCs w:val="22"/>
          <w:b w:val="1"/>
          <w:bCs w:val="1"/>
          <w:color w:val="auto"/>
        </w:rPr>
        <w:t>.</w:t>
      </w:r>
    </w:p>
    <w:p>
      <w:pPr>
        <w:spacing w:after="0" w:line="220" w:lineRule="exact"/>
        <w:rPr>
          <w:sz w:val="20"/>
          <w:szCs w:val="20"/>
          <w:color w:val="auto"/>
        </w:rPr>
      </w:pPr>
    </w:p>
    <w:p>
      <w:pPr>
        <w:jc w:val="both"/>
        <w:ind w:firstLine="1297"/>
        <w:spacing w:after="0" w:line="295" w:lineRule="auto"/>
        <w:rPr>
          <w:sz w:val="20"/>
          <w:szCs w:val="20"/>
          <w:color w:val="auto"/>
        </w:rPr>
      </w:pPr>
      <w:r>
        <w:rPr>
          <w:rFonts w:ascii="Arial" w:cs="Arial" w:eastAsia="Arial" w:hAnsi="Arial"/>
          <w:sz w:val="19"/>
          <w:szCs w:val="19"/>
          <w:b w:val="1"/>
          <w:bCs w:val="1"/>
          <w:color w:val="auto"/>
        </w:rPr>
        <w:t xml:space="preserve">7.1 </w:t>
      </w:r>
      <w:r>
        <w:rPr>
          <w:rFonts w:ascii="Arial" w:cs="Arial" w:eastAsia="Arial" w:hAnsi="Arial"/>
          <w:sz w:val="19"/>
          <w:szCs w:val="19"/>
          <w:b w:val="1"/>
          <w:bCs w:val="1"/>
          <w:u w:val="single" w:color="auto"/>
          <w:color w:val="auto"/>
        </w:rPr>
        <w:t>Notices</w:t>
      </w:r>
      <w:r>
        <w:rPr>
          <w:rFonts w:ascii="Arial" w:cs="Arial" w:eastAsia="Arial" w:hAnsi="Arial"/>
          <w:sz w:val="19"/>
          <w:szCs w:val="19"/>
          <w:color w:val="auto"/>
        </w:rPr>
        <w:t>. Any notices required hereunder to be in writing shall be deemed effectively given: (a) upon personal</w:t>
      </w:r>
      <w:r>
        <w:rPr>
          <w:rFonts w:ascii="Arial" w:cs="Arial" w:eastAsia="Arial" w:hAnsi="Arial"/>
          <w:sz w:val="19"/>
          <w:szCs w:val="19"/>
          <w:b w:val="1"/>
          <w:bCs w:val="1"/>
          <w:color w:val="auto"/>
        </w:rPr>
        <w:t xml:space="preserve"> </w:t>
      </w:r>
      <w:r>
        <w:rPr>
          <w:rFonts w:ascii="Arial" w:cs="Arial" w:eastAsia="Arial" w:hAnsi="Arial"/>
          <w:sz w:val="19"/>
          <w:szCs w:val="19"/>
          <w:color w:val="auto"/>
        </w:rPr>
        <w:t>delivery to the party to be notified, (b) when sent by electronic mail or confirmed facsimile if sent during normal business hours of the recipient, and if not, then on the next business day, (c) five (5) days after having been sent by registered or certified mail, return receipt requested, postage prepaid, or (d) one (1) day after deposit with a nationally recognized overnight courier, specifying next day delivery, with written verification of receipt. All communications shall be sent to the Company at its primary office location and to Employee at Employee’s address as listed on the Company payroll or to Employee’s Company-issued email address, or at such other address as the Company or Employee may designate by ten (10) days advance written notice to the other.</w:t>
      </w:r>
    </w:p>
    <w:p>
      <w:pPr>
        <w:spacing w:after="0" w:line="146" w:lineRule="exact"/>
        <w:rPr>
          <w:sz w:val="20"/>
          <w:szCs w:val="20"/>
          <w:color w:val="auto"/>
        </w:rPr>
      </w:pPr>
    </w:p>
    <w:p>
      <w:pPr>
        <w:jc w:val="both"/>
        <w:ind w:firstLine="1297"/>
        <w:spacing w:after="0" w:line="268" w:lineRule="auto"/>
        <w:rPr>
          <w:sz w:val="20"/>
          <w:szCs w:val="20"/>
          <w:color w:val="auto"/>
        </w:rPr>
      </w:pPr>
      <w:r>
        <w:rPr>
          <w:rFonts w:ascii="Arial" w:cs="Arial" w:eastAsia="Arial" w:hAnsi="Arial"/>
          <w:sz w:val="21"/>
          <w:szCs w:val="21"/>
          <w:b w:val="1"/>
          <w:bCs w:val="1"/>
          <w:color w:val="auto"/>
        </w:rPr>
        <w:t xml:space="preserve">7.2 </w:t>
      </w:r>
      <w:r>
        <w:rPr>
          <w:rFonts w:ascii="Arial" w:cs="Arial" w:eastAsia="Arial" w:hAnsi="Arial"/>
          <w:sz w:val="21"/>
          <w:szCs w:val="21"/>
          <w:b w:val="1"/>
          <w:bCs w:val="1"/>
          <w:u w:val="single" w:color="auto"/>
          <w:color w:val="auto"/>
        </w:rPr>
        <w:t>Severability</w:t>
      </w:r>
      <w:r>
        <w:rPr>
          <w:rFonts w:ascii="Arial" w:cs="Arial" w:eastAsia="Arial" w:hAnsi="Arial"/>
          <w:sz w:val="21"/>
          <w:szCs w:val="21"/>
          <w:color w:val="auto"/>
        </w:rPr>
        <w:t>. Whenever possible, each provision of this Agreement will be interpreted in such manner as to be</w:t>
      </w:r>
      <w:r>
        <w:rPr>
          <w:rFonts w:ascii="Arial" w:cs="Arial" w:eastAsia="Arial" w:hAnsi="Arial"/>
          <w:sz w:val="21"/>
          <w:szCs w:val="21"/>
          <w:b w:val="1"/>
          <w:bCs w:val="1"/>
          <w:color w:val="auto"/>
        </w:rPr>
        <w:t xml:space="preserve"> </w:t>
      </w:r>
      <w:r>
        <w:rPr>
          <w:rFonts w:ascii="Arial" w:cs="Arial" w:eastAsia="Arial" w:hAnsi="Arial"/>
          <w:sz w:val="21"/>
          <w:szCs w:val="21"/>
          <w:color w:val="auto"/>
        </w:rPr>
        <w:t>effective and valid under applicable law, but if any provision of this Agreement is held to be invalid, illegal or unenforceable in any respect under any applicable law or rule in any jurisdiction, such invalidity, illegality or unenforceability will not affect any other provision or any other jurisdiction, but this Agreement will be reformed, construed and enforced in such jurisdiction as if such invalid, illegal or unenforceable provisions had never been contained herein.</w:t>
      </w:r>
    </w:p>
    <w:p>
      <w:pPr>
        <w:spacing w:after="0" w:line="164" w:lineRule="exact"/>
        <w:rPr>
          <w:sz w:val="20"/>
          <w:szCs w:val="20"/>
          <w:color w:val="auto"/>
        </w:rPr>
      </w:pPr>
    </w:p>
    <w:p>
      <w:pPr>
        <w:jc w:val="both"/>
        <w:ind w:right="20" w:firstLine="1297"/>
        <w:spacing w:after="0" w:line="364" w:lineRule="auto"/>
        <w:rPr>
          <w:sz w:val="20"/>
          <w:szCs w:val="20"/>
          <w:color w:val="auto"/>
        </w:rPr>
      </w:pPr>
      <w:r>
        <w:rPr>
          <w:rFonts w:ascii="Arial" w:cs="Arial" w:eastAsia="Arial" w:hAnsi="Arial"/>
          <w:sz w:val="19"/>
          <w:szCs w:val="19"/>
          <w:b w:val="1"/>
          <w:bCs w:val="1"/>
          <w:color w:val="auto"/>
        </w:rPr>
        <w:t xml:space="preserve">7.3 </w:t>
      </w:r>
      <w:r>
        <w:rPr>
          <w:rFonts w:ascii="Arial" w:cs="Arial" w:eastAsia="Arial" w:hAnsi="Arial"/>
          <w:sz w:val="19"/>
          <w:szCs w:val="19"/>
          <w:b w:val="1"/>
          <w:bCs w:val="1"/>
          <w:u w:val="single" w:color="auto"/>
          <w:color w:val="auto"/>
        </w:rPr>
        <w:t>Waiver</w:t>
      </w:r>
      <w:r>
        <w:rPr>
          <w:rFonts w:ascii="Arial" w:cs="Arial" w:eastAsia="Arial" w:hAnsi="Arial"/>
          <w:sz w:val="19"/>
          <w:szCs w:val="19"/>
          <w:color w:val="auto"/>
        </w:rPr>
        <w:t>. If either party should waive any breach of any provisions of this Agreement, Employee or it shall not</w:t>
      </w:r>
      <w:r>
        <w:rPr>
          <w:rFonts w:ascii="Arial" w:cs="Arial" w:eastAsia="Arial" w:hAnsi="Arial"/>
          <w:sz w:val="19"/>
          <w:szCs w:val="19"/>
          <w:b w:val="1"/>
          <w:bCs w:val="1"/>
          <w:color w:val="auto"/>
        </w:rPr>
        <w:t xml:space="preserve"> </w:t>
      </w:r>
      <w:r>
        <w:rPr>
          <w:rFonts w:ascii="Arial" w:cs="Arial" w:eastAsia="Arial" w:hAnsi="Arial"/>
          <w:sz w:val="19"/>
          <w:szCs w:val="19"/>
          <w:color w:val="auto"/>
        </w:rPr>
        <w:t>thereby be deemed to have waived any preceding or succeeding breach of the same or any other provision of this Agreement.</w:t>
      </w:r>
    </w:p>
    <w:p>
      <w:pPr>
        <w:spacing w:after="0" w:line="80" w:lineRule="exact"/>
        <w:rPr>
          <w:sz w:val="20"/>
          <w:szCs w:val="20"/>
          <w:color w:val="auto"/>
        </w:rPr>
      </w:pPr>
    </w:p>
    <w:p>
      <w:pPr>
        <w:jc w:val="both"/>
        <w:ind w:firstLine="1297"/>
        <w:spacing w:after="0" w:line="291" w:lineRule="auto"/>
        <w:rPr>
          <w:sz w:val="20"/>
          <w:szCs w:val="20"/>
          <w:color w:val="auto"/>
        </w:rPr>
      </w:pPr>
      <w:r>
        <w:rPr>
          <w:rFonts w:ascii="Arial" w:cs="Arial" w:eastAsia="Arial" w:hAnsi="Arial"/>
          <w:sz w:val="19"/>
          <w:szCs w:val="19"/>
          <w:b w:val="1"/>
          <w:bCs w:val="1"/>
          <w:color w:val="auto"/>
        </w:rPr>
        <w:t xml:space="preserve">7.4 </w:t>
      </w:r>
      <w:r>
        <w:rPr>
          <w:rFonts w:ascii="Arial" w:cs="Arial" w:eastAsia="Arial" w:hAnsi="Arial"/>
          <w:sz w:val="19"/>
          <w:szCs w:val="19"/>
          <w:b w:val="1"/>
          <w:bCs w:val="1"/>
          <w:u w:val="single" w:color="auto"/>
          <w:color w:val="auto"/>
        </w:rPr>
        <w:t>Complete Agreement</w:t>
      </w:r>
      <w:r>
        <w:rPr>
          <w:rFonts w:ascii="Arial" w:cs="Arial" w:eastAsia="Arial" w:hAnsi="Arial"/>
          <w:sz w:val="19"/>
          <w:szCs w:val="19"/>
          <w:color w:val="auto"/>
        </w:rPr>
        <w:t>. This Agreement constitutes the entire agreement between Employee and the Company</w:t>
      </w:r>
      <w:r>
        <w:rPr>
          <w:rFonts w:ascii="Arial" w:cs="Arial" w:eastAsia="Arial" w:hAnsi="Arial"/>
          <w:sz w:val="19"/>
          <w:szCs w:val="19"/>
          <w:b w:val="1"/>
          <w:bCs w:val="1"/>
          <w:color w:val="auto"/>
        </w:rPr>
        <w:t xml:space="preserve"> </w:t>
      </w:r>
      <w:r>
        <w:rPr>
          <w:rFonts w:ascii="Arial" w:cs="Arial" w:eastAsia="Arial" w:hAnsi="Arial"/>
          <w:sz w:val="19"/>
          <w:szCs w:val="19"/>
          <w:color w:val="auto"/>
        </w:rPr>
        <w:t>with regard to the subject matter hereof. This Agreement is the complete, final, and exclusive embodiment of their agreement with regard to this subject matter and supersedes any prior oral discussions or written communications and agreements, including without limitation the Existing Agreement. This Agreement is entered into without reliance on any promise or representation other than those expressly contained herein, and it cannot be modified or amended except in writing signed by Employee and an authorized officer of the Company. The parties have entered into a separate Confidentiality Agreement and have or may enter into separate agreement related to stock awards. These separate agreements govern other aspects of the relationship between the parties, have or may have provisions that survive termination of the Employee’s employment under this Agreement, may be amended or superseded by the parties without regard to this Agreement and are enforceable according to their terms without regard to the enforcement provision of this Agreement.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2" w:lineRule="exact"/>
        <w:rPr>
          <w:sz w:val="20"/>
          <w:szCs w:val="20"/>
          <w:color w:val="auto"/>
        </w:rPr>
      </w:pPr>
    </w:p>
    <w:p>
      <w:pPr>
        <w:spacing w:after="0"/>
        <w:rPr>
          <w:sz w:val="20"/>
          <w:szCs w:val="20"/>
          <w:color w:val="auto"/>
        </w:rPr>
      </w:pPr>
      <w:r>
        <w:rPr>
          <w:rFonts w:ascii="Arial" w:cs="Arial" w:eastAsia="Arial" w:hAnsi="Arial"/>
          <w:sz w:val="14"/>
          <w:szCs w:val="14"/>
          <w:color w:val="auto"/>
        </w:rPr>
        <w:t>{2312556-2, 110610-00000-01}</w:t>
      </w:r>
    </w:p>
    <w:p>
      <w:pPr>
        <w:spacing w:after="0" w:line="21"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10</w:t>
      </w:r>
    </w:p>
    <w:p>
      <w:pPr>
        <w:sectPr>
          <w:pgSz w:w="11900" w:h="16838" w:orient="portrait"/>
          <w:cols w:equalWidth="0" w:num="1">
            <w:col w:w="11420"/>
          </w:cols>
          <w:pgMar w:left="240" w:top="631" w:right="239" w:bottom="1440" w:gutter="0" w:footer="0" w:header="0"/>
        </w:sectPr>
      </w:pPr>
    </w:p>
    <w:bookmarkStart w:id="64" w:name="page65"/>
    <w:bookmarkEnd w:id="64"/>
    <w:p>
      <w:pPr>
        <w:jc w:val="both"/>
        <w:ind w:firstLine="1297"/>
        <w:spacing w:after="0" w:line="262" w:lineRule="auto"/>
        <w:rPr>
          <w:sz w:val="20"/>
          <w:szCs w:val="20"/>
          <w:color w:val="auto"/>
        </w:rPr>
      </w:pPr>
      <w:r>
        <w:rPr>
          <w:rFonts w:ascii="Arial" w:cs="Arial" w:eastAsia="Arial" w:hAnsi="Arial"/>
          <w:sz w:val="22"/>
          <w:szCs w:val="22"/>
          <w:b w:val="1"/>
          <w:bCs w:val="1"/>
          <w:color w:val="auto"/>
        </w:rPr>
        <w:t xml:space="preserve">7.5 </w:t>
      </w:r>
      <w:r>
        <w:rPr>
          <w:rFonts w:ascii="Arial" w:cs="Arial" w:eastAsia="Arial" w:hAnsi="Arial"/>
          <w:sz w:val="22"/>
          <w:szCs w:val="22"/>
          <w:b w:val="1"/>
          <w:bCs w:val="1"/>
          <w:u w:val="single" w:color="auto"/>
          <w:color w:val="auto"/>
        </w:rPr>
        <w:t>Counterparts</w:t>
      </w:r>
      <w:r>
        <w:rPr>
          <w:rFonts w:ascii="Arial" w:cs="Arial" w:eastAsia="Arial" w:hAnsi="Arial"/>
          <w:sz w:val="22"/>
          <w:szCs w:val="22"/>
          <w:color w:val="auto"/>
        </w:rPr>
        <w:t>. This Agreement may be executed by electronic transmission and in separate counterparts, any</w:t>
      </w:r>
      <w:r>
        <w:rPr>
          <w:rFonts w:ascii="Arial" w:cs="Arial" w:eastAsia="Arial" w:hAnsi="Arial"/>
          <w:sz w:val="22"/>
          <w:szCs w:val="22"/>
          <w:b w:val="1"/>
          <w:bCs w:val="1"/>
          <w:color w:val="auto"/>
        </w:rPr>
        <w:t xml:space="preserve"> </w:t>
      </w:r>
      <w:r>
        <w:rPr>
          <w:rFonts w:ascii="Arial" w:cs="Arial" w:eastAsia="Arial" w:hAnsi="Arial"/>
          <w:sz w:val="22"/>
          <w:szCs w:val="22"/>
          <w:color w:val="auto"/>
        </w:rPr>
        <w:t>one of which need not contain signatures of more than one party, but all of which taken together will constitute one and the same Agreement.</w:t>
      </w:r>
    </w:p>
    <w:p>
      <w:pPr>
        <w:spacing w:after="0" w:line="171" w:lineRule="exact"/>
        <w:rPr>
          <w:sz w:val="20"/>
          <w:szCs w:val="20"/>
          <w:color w:val="auto"/>
        </w:rPr>
      </w:pPr>
    </w:p>
    <w:p>
      <w:pPr>
        <w:jc w:val="both"/>
        <w:ind w:firstLine="1297"/>
        <w:spacing w:after="0" w:line="282" w:lineRule="auto"/>
        <w:rPr>
          <w:sz w:val="20"/>
          <w:szCs w:val="20"/>
          <w:color w:val="auto"/>
        </w:rPr>
      </w:pPr>
      <w:r>
        <w:rPr>
          <w:rFonts w:ascii="Arial" w:cs="Arial" w:eastAsia="Arial" w:hAnsi="Arial"/>
          <w:sz w:val="22"/>
          <w:szCs w:val="22"/>
          <w:b w:val="1"/>
          <w:bCs w:val="1"/>
          <w:color w:val="auto"/>
        </w:rPr>
        <w:t xml:space="preserve">7.6 </w:t>
      </w:r>
      <w:r>
        <w:rPr>
          <w:rFonts w:ascii="Arial" w:cs="Arial" w:eastAsia="Arial" w:hAnsi="Arial"/>
          <w:sz w:val="22"/>
          <w:szCs w:val="22"/>
          <w:b w:val="1"/>
          <w:bCs w:val="1"/>
          <w:u w:val="single" w:color="auto"/>
          <w:color w:val="auto"/>
        </w:rPr>
        <w:t>Headings</w:t>
      </w:r>
      <w:r>
        <w:rPr>
          <w:rFonts w:ascii="Arial" w:cs="Arial" w:eastAsia="Arial" w:hAnsi="Arial"/>
          <w:sz w:val="22"/>
          <w:szCs w:val="22"/>
          <w:color w:val="auto"/>
        </w:rPr>
        <w:t>. The headings of the sections hereof are inserted for convenience only and shall not be deemed to</w:t>
      </w:r>
      <w:r>
        <w:rPr>
          <w:rFonts w:ascii="Arial" w:cs="Arial" w:eastAsia="Arial" w:hAnsi="Arial"/>
          <w:sz w:val="22"/>
          <w:szCs w:val="22"/>
          <w:b w:val="1"/>
          <w:bCs w:val="1"/>
          <w:color w:val="auto"/>
        </w:rPr>
        <w:t xml:space="preserve"> </w:t>
      </w:r>
      <w:r>
        <w:rPr>
          <w:rFonts w:ascii="Arial" w:cs="Arial" w:eastAsia="Arial" w:hAnsi="Arial"/>
          <w:sz w:val="22"/>
          <w:szCs w:val="22"/>
          <w:color w:val="auto"/>
        </w:rPr>
        <w:t>constitute a part hereof nor to affect the meaning thereof.</w:t>
      </w:r>
    </w:p>
    <w:p>
      <w:pPr>
        <w:spacing w:after="0" w:line="148" w:lineRule="exact"/>
        <w:rPr>
          <w:sz w:val="20"/>
          <w:szCs w:val="20"/>
          <w:color w:val="auto"/>
        </w:rPr>
      </w:pPr>
    </w:p>
    <w:p>
      <w:pPr>
        <w:jc w:val="both"/>
        <w:ind w:firstLine="1297"/>
        <w:spacing w:after="0" w:line="298" w:lineRule="auto"/>
        <w:rPr>
          <w:sz w:val="20"/>
          <w:szCs w:val="20"/>
          <w:color w:val="auto"/>
        </w:rPr>
      </w:pPr>
      <w:r>
        <w:rPr>
          <w:rFonts w:ascii="Arial" w:cs="Arial" w:eastAsia="Arial" w:hAnsi="Arial"/>
          <w:sz w:val="19"/>
          <w:szCs w:val="19"/>
          <w:b w:val="1"/>
          <w:bCs w:val="1"/>
          <w:color w:val="auto"/>
        </w:rPr>
        <w:t xml:space="preserve">7.7 </w:t>
      </w:r>
      <w:r>
        <w:rPr>
          <w:rFonts w:ascii="Arial" w:cs="Arial" w:eastAsia="Arial" w:hAnsi="Arial"/>
          <w:sz w:val="19"/>
          <w:szCs w:val="19"/>
          <w:b w:val="1"/>
          <w:bCs w:val="1"/>
          <w:u w:val="single" w:color="auto"/>
          <w:color w:val="auto"/>
        </w:rPr>
        <w:t>Successors and Assigns</w:t>
      </w:r>
      <w:r>
        <w:rPr>
          <w:rFonts w:ascii="Arial" w:cs="Arial" w:eastAsia="Arial" w:hAnsi="Arial"/>
          <w:sz w:val="19"/>
          <w:szCs w:val="19"/>
          <w:color w:val="auto"/>
        </w:rPr>
        <w:t>. The Company shall assign this Agreement and its rights and obligations hereunder in</w:t>
      </w:r>
      <w:r>
        <w:rPr>
          <w:rFonts w:ascii="Arial" w:cs="Arial" w:eastAsia="Arial" w:hAnsi="Arial"/>
          <w:sz w:val="19"/>
          <w:szCs w:val="19"/>
          <w:b w:val="1"/>
          <w:bCs w:val="1"/>
          <w:color w:val="auto"/>
        </w:rPr>
        <w:t xml:space="preserve"> </w:t>
      </w:r>
      <w:r>
        <w:rPr>
          <w:rFonts w:ascii="Arial" w:cs="Arial" w:eastAsia="Arial" w:hAnsi="Arial"/>
          <w:sz w:val="19"/>
          <w:szCs w:val="19"/>
          <w:color w:val="auto"/>
        </w:rPr>
        <w:t>whole, but not in part, to any company or other entity with or into which the Company may hereafter merge or consolidate or to which the Company may transfer all or substantially all of its assets, if in any such case said company or other entity shall by operation of law or expressly in writing assume all obligations of the Company hereunder as fully as if it had been originally made a party hereto, but may not otherwise assign this Agreement or its rights and obligations hereunder. The Employee may not assign or transfer this Agreement or any rights or obligations hereunder, other than to his estate upon his death.</w:t>
      </w:r>
    </w:p>
    <w:p>
      <w:pPr>
        <w:spacing w:after="0" w:line="141" w:lineRule="exact"/>
        <w:rPr>
          <w:sz w:val="20"/>
          <w:szCs w:val="20"/>
          <w:color w:val="auto"/>
        </w:rPr>
      </w:pPr>
    </w:p>
    <w:p>
      <w:pPr>
        <w:jc w:val="both"/>
        <w:ind w:firstLine="1297"/>
        <w:spacing w:after="0" w:line="282" w:lineRule="auto"/>
        <w:rPr>
          <w:sz w:val="20"/>
          <w:szCs w:val="20"/>
          <w:color w:val="auto"/>
        </w:rPr>
      </w:pPr>
      <w:r>
        <w:rPr>
          <w:rFonts w:ascii="Arial" w:cs="Arial" w:eastAsia="Arial" w:hAnsi="Arial"/>
          <w:sz w:val="22"/>
          <w:szCs w:val="22"/>
          <w:b w:val="1"/>
          <w:bCs w:val="1"/>
          <w:color w:val="auto"/>
        </w:rPr>
        <w:t xml:space="preserve">7.8 </w:t>
      </w:r>
      <w:r>
        <w:rPr>
          <w:rFonts w:ascii="Arial" w:cs="Arial" w:eastAsia="Arial" w:hAnsi="Arial"/>
          <w:sz w:val="22"/>
          <w:szCs w:val="22"/>
          <w:b w:val="1"/>
          <w:bCs w:val="1"/>
          <w:u w:val="single" w:color="auto"/>
          <w:color w:val="auto"/>
        </w:rPr>
        <w:t>Choice of Law</w:t>
      </w:r>
      <w:r>
        <w:rPr>
          <w:rFonts w:ascii="Arial" w:cs="Arial" w:eastAsia="Arial" w:hAnsi="Arial"/>
          <w:sz w:val="22"/>
          <w:szCs w:val="22"/>
          <w:color w:val="auto"/>
        </w:rPr>
        <w:t>. All questions concerning the construction, validity and interpretation of this Agreement will be</w:t>
      </w:r>
      <w:r>
        <w:rPr>
          <w:rFonts w:ascii="Arial" w:cs="Arial" w:eastAsia="Arial" w:hAnsi="Arial"/>
          <w:sz w:val="22"/>
          <w:szCs w:val="22"/>
          <w:b w:val="1"/>
          <w:bCs w:val="1"/>
          <w:color w:val="auto"/>
        </w:rPr>
        <w:t xml:space="preserve"> </w:t>
      </w:r>
      <w:r>
        <w:rPr>
          <w:rFonts w:ascii="Arial" w:cs="Arial" w:eastAsia="Arial" w:hAnsi="Arial"/>
          <w:sz w:val="22"/>
          <w:szCs w:val="22"/>
          <w:color w:val="auto"/>
        </w:rPr>
        <w:t>governed by the law of the Commonwealth of Virginia.</w:t>
      </w:r>
    </w:p>
    <w:p>
      <w:pPr>
        <w:spacing w:after="0" w:line="148" w:lineRule="exact"/>
        <w:rPr>
          <w:sz w:val="20"/>
          <w:szCs w:val="20"/>
          <w:color w:val="auto"/>
        </w:rPr>
      </w:pPr>
    </w:p>
    <w:p>
      <w:pPr>
        <w:jc w:val="both"/>
        <w:ind w:firstLine="1297"/>
        <w:spacing w:after="0" w:line="285" w:lineRule="auto"/>
        <w:rPr>
          <w:sz w:val="20"/>
          <w:szCs w:val="20"/>
          <w:color w:val="auto"/>
        </w:rPr>
      </w:pPr>
      <w:r>
        <w:rPr>
          <w:rFonts w:ascii="Arial" w:cs="Arial" w:eastAsia="Arial" w:hAnsi="Arial"/>
          <w:sz w:val="19"/>
          <w:szCs w:val="19"/>
          <w:b w:val="1"/>
          <w:bCs w:val="1"/>
          <w:color w:val="auto"/>
        </w:rPr>
        <w:t xml:space="preserve">7.9 </w:t>
      </w:r>
      <w:r>
        <w:rPr>
          <w:rFonts w:ascii="Arial" w:cs="Arial" w:eastAsia="Arial" w:hAnsi="Arial"/>
          <w:sz w:val="19"/>
          <w:szCs w:val="19"/>
          <w:b w:val="1"/>
          <w:bCs w:val="1"/>
          <w:u w:val="single" w:color="auto"/>
          <w:color w:val="auto"/>
        </w:rPr>
        <w:t>Resolution of Disputes</w:t>
      </w:r>
      <w:r>
        <w:rPr>
          <w:rFonts w:ascii="Arial" w:cs="Arial" w:eastAsia="Arial" w:hAnsi="Arial"/>
          <w:sz w:val="19"/>
          <w:szCs w:val="19"/>
          <w:b w:val="1"/>
          <w:bCs w:val="1"/>
          <w:color w:val="auto"/>
        </w:rPr>
        <w:t xml:space="preserve">. </w:t>
      </w:r>
      <w:r>
        <w:rPr>
          <w:rFonts w:ascii="Arial" w:cs="Arial" w:eastAsia="Arial" w:hAnsi="Arial"/>
          <w:sz w:val="19"/>
          <w:szCs w:val="19"/>
          <w:color w:val="auto"/>
        </w:rPr>
        <w:t>The parties recognize that litigation in federal or state courts or before federal or state</w:t>
      </w:r>
      <w:r>
        <w:rPr>
          <w:rFonts w:ascii="Arial" w:cs="Arial" w:eastAsia="Arial" w:hAnsi="Arial"/>
          <w:sz w:val="19"/>
          <w:szCs w:val="19"/>
          <w:b w:val="1"/>
          <w:bCs w:val="1"/>
          <w:color w:val="auto"/>
        </w:rPr>
        <w:t xml:space="preserve"> </w:t>
      </w:r>
      <w:r>
        <w:rPr>
          <w:rFonts w:ascii="Arial" w:cs="Arial" w:eastAsia="Arial" w:hAnsi="Arial"/>
          <w:sz w:val="19"/>
          <w:szCs w:val="19"/>
          <w:color w:val="auto"/>
        </w:rPr>
        <w:t xml:space="preserve">administrative agencies of disputes arising out of the Employee’s employment with the Company or out of this Agreement, or the Employee’s termination of employment or termination of this Agreement, may not be in the best interests of either the Employee or the Company, and may result in unnecessary costs, delays, complexities, and uncertainty. The parties agree that any dispute between the parties arising out of or relating to the negotiation, execution, performance or termination of this Agreement or the Employee’s employment, including, but not limited to, any claim arising out of this Agreement, claims under Title VII of the Civil Rights Act of 1964, as amended, the Civil Rights Act of 1991, the Age Discrimination in Employment Act of 1967, the Americans with Disabilities Act of 1990, Section 1981 of the Civil Rights Act of 1966, as amended, the Family Medical Leave Act, the Employee Retirement Income Security Act, and any similar federal, state or local law, statute, regulation, or any common law doctrine, whether that dispute arises during or after employment, shall be settled by binding arbitration in accordance with the National Rules for the Resolution of Employment Disputes of the American Arbitration Association; </w:t>
      </w:r>
      <w:r>
        <w:rPr>
          <w:rFonts w:ascii="Arial" w:cs="Arial" w:eastAsia="Arial" w:hAnsi="Arial"/>
          <w:sz w:val="19"/>
          <w:szCs w:val="19"/>
          <w:i w:val="1"/>
          <w:iCs w:val="1"/>
          <w:color w:val="auto"/>
        </w:rPr>
        <w:t>provided however,</w:t>
      </w:r>
      <w:r>
        <w:rPr>
          <w:rFonts w:ascii="Arial" w:cs="Arial" w:eastAsia="Arial" w:hAnsi="Arial"/>
          <w:sz w:val="19"/>
          <w:szCs w:val="19"/>
          <w:color w:val="auto"/>
        </w:rPr>
        <w:t xml:space="preserve"> that this dispute resolution provision shall not apply to any separate agreements between the parties that do not themselves specify arbitration as an exclusive remedy. The location for the arbitration shall be the Roanoke, Virginia area. Any award made by such panel shall be final, binding and conclusive on the parties for all purposes and shall be kept confidential, and judgment upon the award rendered by the arbitrators may be entered in any court having jurisdiction thereof. The arbitrators’ fees and expenses and all administrative fees and expenses associated with the filing of the arbitration shall be borne by the Company; </w:t>
      </w:r>
      <w:r>
        <w:rPr>
          <w:rFonts w:ascii="Arial" w:cs="Arial" w:eastAsia="Arial" w:hAnsi="Arial"/>
          <w:sz w:val="19"/>
          <w:szCs w:val="19"/>
          <w:i w:val="1"/>
          <w:iCs w:val="1"/>
          <w:color w:val="auto"/>
        </w:rPr>
        <w:t>provided however</w:t>
      </w:r>
      <w:r>
        <w:rPr>
          <w:rFonts w:ascii="Arial" w:cs="Arial" w:eastAsia="Arial" w:hAnsi="Arial"/>
          <w:sz w:val="19"/>
          <w:szCs w:val="19"/>
          <w:color w:val="auto"/>
        </w:rPr>
        <w:t>, that at the Employee’s option, Employee may voluntarily pay up to one-half the costs and fees. The parties acknowledge and agree that their obligations to arbitrate under this Section survive the termination of this Agreement and continue after the termination of the employment relationship between Employee and the Company. The parties each further agree that the arbitration provisions of this Agreement shall provide each party with its exclusive remedy, and each party expressly waives any right it might have to seek redress in any other forum, except as otherwise expressly provided in this Agreement. By election arbitration as the means for final settlement of all</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7" w:lineRule="exact"/>
        <w:rPr>
          <w:sz w:val="20"/>
          <w:szCs w:val="20"/>
          <w:color w:val="auto"/>
        </w:rPr>
      </w:pPr>
    </w:p>
    <w:p>
      <w:pPr>
        <w:spacing w:after="0"/>
        <w:rPr>
          <w:sz w:val="20"/>
          <w:szCs w:val="20"/>
          <w:color w:val="auto"/>
        </w:rPr>
      </w:pPr>
      <w:r>
        <w:rPr>
          <w:rFonts w:ascii="Arial" w:cs="Arial" w:eastAsia="Arial" w:hAnsi="Arial"/>
          <w:sz w:val="14"/>
          <w:szCs w:val="14"/>
          <w:color w:val="auto"/>
        </w:rPr>
        <w:t>{2312556-2, 110610-00000-01}</w:t>
      </w:r>
    </w:p>
    <w:p>
      <w:pPr>
        <w:spacing w:after="0" w:line="21"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11</w:t>
      </w:r>
    </w:p>
    <w:p>
      <w:pPr>
        <w:sectPr>
          <w:pgSz w:w="11900" w:h="16838" w:orient="portrait"/>
          <w:cols w:equalWidth="0" w:num="1">
            <w:col w:w="11420"/>
          </w:cols>
          <w:pgMar w:left="240" w:top="625" w:right="239" w:bottom="1440" w:gutter="0" w:footer="0" w:header="0"/>
        </w:sectPr>
      </w:pPr>
    </w:p>
    <w:bookmarkStart w:id="65" w:name="page66"/>
    <w:bookmarkEnd w:id="65"/>
    <w:p>
      <w:pPr>
        <w:jc w:val="both"/>
        <w:spacing w:after="0" w:line="252" w:lineRule="auto"/>
        <w:rPr>
          <w:sz w:val="20"/>
          <w:szCs w:val="20"/>
          <w:color w:val="auto"/>
        </w:rPr>
      </w:pPr>
      <w:r>
        <w:rPr>
          <w:rFonts w:ascii="Arial" w:cs="Arial" w:eastAsia="Arial" w:hAnsi="Arial"/>
          <w:sz w:val="22"/>
          <w:szCs w:val="22"/>
          <w:color w:val="auto"/>
        </w:rPr>
        <w:t xml:space="preserve">claims, </w:t>
      </w:r>
      <w:r>
        <w:rPr>
          <w:rFonts w:ascii="Arial" w:cs="Arial" w:eastAsia="Arial" w:hAnsi="Arial"/>
          <w:sz w:val="22"/>
          <w:szCs w:val="22"/>
          <w:b w:val="1"/>
          <w:bCs w:val="1"/>
          <w:color w:val="auto"/>
        </w:rPr>
        <w:t>the parties hereby waive their respective rights to, and agree not to, sue each other in any action in a Federal, State</w:t>
      </w:r>
      <w:r>
        <w:rPr>
          <w:rFonts w:ascii="Arial" w:cs="Arial" w:eastAsia="Arial" w:hAnsi="Arial"/>
          <w:sz w:val="22"/>
          <w:szCs w:val="22"/>
          <w:color w:val="auto"/>
        </w:rPr>
        <w:t xml:space="preserve"> </w:t>
      </w:r>
      <w:r>
        <w:rPr>
          <w:rFonts w:ascii="Arial" w:cs="Arial" w:eastAsia="Arial" w:hAnsi="Arial"/>
          <w:sz w:val="22"/>
          <w:szCs w:val="22"/>
          <w:b w:val="1"/>
          <w:bCs w:val="1"/>
          <w:color w:val="auto"/>
        </w:rPr>
        <w:t>or local court with respect to such claims, but may seek to enforce in court an arbitration award rendered pursuant to this Agreement. The parties specifically agree to waive their respective rights to a trial by jury, and further agree that no demand, request or motion will be made for trial by jury.</w:t>
      </w:r>
    </w:p>
    <w:p>
      <w:pPr>
        <w:spacing w:after="0" w:line="200" w:lineRule="exact"/>
        <w:rPr>
          <w:sz w:val="20"/>
          <w:szCs w:val="20"/>
          <w:color w:val="auto"/>
        </w:rPr>
      </w:pPr>
    </w:p>
    <w:p>
      <w:pPr>
        <w:spacing w:after="0" w:line="237" w:lineRule="exact"/>
        <w:rPr>
          <w:sz w:val="20"/>
          <w:szCs w:val="20"/>
          <w:color w:val="auto"/>
        </w:rPr>
      </w:pPr>
    </w:p>
    <w:p>
      <w:pPr>
        <w:ind w:left="660"/>
        <w:spacing w:after="0"/>
        <w:rPr>
          <w:sz w:val="20"/>
          <w:szCs w:val="20"/>
          <w:color w:val="auto"/>
        </w:rPr>
      </w:pPr>
      <w:r>
        <w:rPr>
          <w:rFonts w:ascii="Arial" w:cs="Arial" w:eastAsia="Arial" w:hAnsi="Arial"/>
          <w:sz w:val="19"/>
          <w:szCs w:val="19"/>
          <w:b w:val="1"/>
          <w:bCs w:val="1"/>
          <w:color w:val="auto"/>
        </w:rPr>
        <w:t>IN WITNESS WHEREOF</w:t>
      </w:r>
      <w:r>
        <w:rPr>
          <w:rFonts w:ascii="Arial" w:cs="Arial" w:eastAsia="Arial" w:hAnsi="Arial"/>
          <w:sz w:val="19"/>
          <w:szCs w:val="19"/>
          <w:color w:val="auto"/>
        </w:rPr>
        <w:t>, the parties have executed this Employment Agreement on the day and year first written above.</w:t>
      </w:r>
    </w:p>
    <w:p>
      <w:pPr>
        <w:spacing w:after="0" w:line="260" w:lineRule="exact"/>
        <w:rPr>
          <w:sz w:val="20"/>
          <w:szCs w:val="20"/>
          <w:color w:val="auto"/>
        </w:rPr>
      </w:pPr>
    </w:p>
    <w:p>
      <w:pPr>
        <w:ind w:left="5020"/>
        <w:spacing w:after="0"/>
        <w:rPr>
          <w:sz w:val="20"/>
          <w:szCs w:val="20"/>
          <w:color w:val="auto"/>
        </w:rPr>
      </w:pPr>
      <w:r>
        <w:rPr>
          <w:rFonts w:ascii="Arial" w:cs="Arial" w:eastAsia="Arial" w:hAnsi="Arial"/>
          <w:sz w:val="22"/>
          <w:szCs w:val="22"/>
          <w:color w:val="auto"/>
        </w:rPr>
        <w:t>Luna Innovations Incorporated</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0" w:lineRule="exact"/>
        <w:rPr>
          <w:sz w:val="20"/>
          <w:szCs w:val="20"/>
          <w:color w:val="auto"/>
        </w:rPr>
      </w:pPr>
    </w:p>
    <w:p>
      <w:pPr>
        <w:ind w:left="3900"/>
        <w:spacing w:after="0"/>
        <w:rPr>
          <w:sz w:val="20"/>
          <w:szCs w:val="20"/>
          <w:color w:val="auto"/>
        </w:rPr>
      </w:pPr>
      <w:r>
        <w:rPr>
          <w:rFonts w:ascii="Arial" w:cs="Arial" w:eastAsia="Arial" w:hAnsi="Arial"/>
          <w:sz w:val="22"/>
          <w:szCs w:val="22"/>
          <w:color w:val="auto"/>
        </w:rPr>
        <w:t>By: /s/ Scott A. Graeff</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2707640</wp:posOffset>
            </wp:positionH>
            <wp:positionV relativeFrom="paragraph">
              <wp:posOffset>-17780</wp:posOffset>
            </wp:positionV>
            <wp:extent cx="1140460" cy="889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1140460" cy="8890"/>
                    </a:xfrm>
                    <a:prstGeom prst="rect">
                      <a:avLst/>
                    </a:prstGeom>
                    <a:noFill/>
                  </pic:spPr>
                </pic:pic>
              </a:graphicData>
            </a:graphic>
          </wp:anchor>
        </w:drawing>
      </w:r>
    </w:p>
    <w:p>
      <w:pPr>
        <w:spacing w:after="0" w:line="2" w:lineRule="exact"/>
        <w:rPr>
          <w:sz w:val="20"/>
          <w:szCs w:val="20"/>
          <w:color w:val="auto"/>
        </w:rPr>
      </w:pPr>
    </w:p>
    <w:p>
      <w:pPr>
        <w:ind w:left="3900"/>
        <w:spacing w:after="0"/>
        <w:rPr>
          <w:sz w:val="20"/>
          <w:szCs w:val="20"/>
          <w:color w:val="auto"/>
        </w:rPr>
      </w:pPr>
      <w:r>
        <w:rPr>
          <w:rFonts w:ascii="Arial" w:cs="Arial" w:eastAsia="Arial" w:hAnsi="Arial"/>
          <w:sz w:val="22"/>
          <w:szCs w:val="22"/>
          <w:color w:val="auto"/>
        </w:rPr>
        <w:t>Scott A. Graeff</w:t>
      </w:r>
    </w:p>
    <w:p>
      <w:pPr>
        <w:spacing w:after="0" w:line="4" w:lineRule="exact"/>
        <w:rPr>
          <w:sz w:val="20"/>
          <w:szCs w:val="20"/>
          <w:color w:val="auto"/>
        </w:rPr>
      </w:pPr>
    </w:p>
    <w:p>
      <w:pPr>
        <w:ind w:left="3900"/>
        <w:spacing w:after="0"/>
        <w:rPr>
          <w:sz w:val="20"/>
          <w:szCs w:val="20"/>
          <w:color w:val="auto"/>
        </w:rPr>
      </w:pPr>
      <w:r>
        <w:rPr>
          <w:rFonts w:ascii="Arial" w:cs="Arial" w:eastAsia="Arial" w:hAnsi="Arial"/>
          <w:sz w:val="22"/>
          <w:szCs w:val="22"/>
          <w:color w:val="auto"/>
        </w:rPr>
        <w:t>President &amp; CEO</w:t>
      </w:r>
    </w:p>
    <w:p>
      <w:pPr>
        <w:spacing w:after="0" w:line="242" w:lineRule="exact"/>
        <w:rPr>
          <w:sz w:val="20"/>
          <w:szCs w:val="20"/>
          <w:color w:val="auto"/>
        </w:rPr>
      </w:pPr>
    </w:p>
    <w:p>
      <w:pPr>
        <w:ind w:left="3900"/>
        <w:spacing w:after="0"/>
        <w:rPr>
          <w:sz w:val="20"/>
          <w:szCs w:val="20"/>
          <w:color w:val="auto"/>
        </w:rPr>
      </w:pPr>
      <w:r>
        <w:rPr>
          <w:rFonts w:ascii="Arial" w:cs="Arial" w:eastAsia="Arial" w:hAnsi="Arial"/>
          <w:sz w:val="22"/>
          <w:szCs w:val="22"/>
          <w:color w:val="auto"/>
        </w:rPr>
        <w:t>Employee:</w:t>
      </w:r>
    </w:p>
    <w:p>
      <w:pPr>
        <w:spacing w:after="0" w:line="200" w:lineRule="exact"/>
        <w:rPr>
          <w:sz w:val="20"/>
          <w:szCs w:val="20"/>
          <w:color w:val="auto"/>
        </w:rPr>
      </w:pPr>
    </w:p>
    <w:p>
      <w:pPr>
        <w:spacing w:after="0" w:line="317" w:lineRule="exact"/>
        <w:rPr>
          <w:sz w:val="20"/>
          <w:szCs w:val="20"/>
          <w:color w:val="auto"/>
        </w:rPr>
      </w:pPr>
    </w:p>
    <w:p>
      <w:pPr>
        <w:ind w:left="3900"/>
        <w:spacing w:after="0"/>
        <w:rPr>
          <w:sz w:val="20"/>
          <w:szCs w:val="20"/>
          <w:color w:val="auto"/>
        </w:rPr>
      </w:pPr>
      <w:r>
        <w:rPr>
          <w:rFonts w:ascii="Arial" w:cs="Arial" w:eastAsia="Arial" w:hAnsi="Arial"/>
          <w:sz w:val="22"/>
          <w:szCs w:val="22"/>
          <w:color w:val="auto"/>
        </w:rPr>
        <w:t>/s/ Dale E. Messick</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2475230</wp:posOffset>
            </wp:positionH>
            <wp:positionV relativeFrom="paragraph">
              <wp:posOffset>-17780</wp:posOffset>
            </wp:positionV>
            <wp:extent cx="1890395" cy="889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1890395" cy="8890"/>
                    </a:xfrm>
                    <a:prstGeom prst="rect">
                      <a:avLst/>
                    </a:prstGeom>
                    <a:noFill/>
                  </pic:spPr>
                </pic:pic>
              </a:graphicData>
            </a:graphic>
          </wp:anchor>
        </w:drawing>
      </w:r>
    </w:p>
    <w:p>
      <w:pPr>
        <w:spacing w:after="0" w:line="2" w:lineRule="exact"/>
        <w:rPr>
          <w:sz w:val="20"/>
          <w:szCs w:val="20"/>
          <w:color w:val="auto"/>
        </w:rPr>
      </w:pPr>
    </w:p>
    <w:p>
      <w:pPr>
        <w:ind w:left="3900"/>
        <w:spacing w:after="0"/>
        <w:rPr>
          <w:sz w:val="20"/>
          <w:szCs w:val="20"/>
          <w:color w:val="auto"/>
        </w:rPr>
      </w:pPr>
      <w:r>
        <w:rPr>
          <w:rFonts w:ascii="Arial" w:cs="Arial" w:eastAsia="Arial" w:hAnsi="Arial"/>
          <w:sz w:val="22"/>
          <w:szCs w:val="22"/>
          <w:color w:val="auto"/>
        </w:rPr>
        <w:t>Dale E. Messick</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7" w:lineRule="exact"/>
        <w:rPr>
          <w:sz w:val="20"/>
          <w:szCs w:val="20"/>
          <w:color w:val="auto"/>
        </w:rPr>
      </w:pPr>
    </w:p>
    <w:p>
      <w:pPr>
        <w:spacing w:after="0"/>
        <w:rPr>
          <w:sz w:val="20"/>
          <w:szCs w:val="20"/>
          <w:color w:val="auto"/>
        </w:rPr>
      </w:pPr>
      <w:r>
        <w:rPr>
          <w:rFonts w:ascii="Arial" w:cs="Arial" w:eastAsia="Arial" w:hAnsi="Arial"/>
          <w:sz w:val="14"/>
          <w:szCs w:val="14"/>
          <w:color w:val="auto"/>
        </w:rPr>
        <w:t>{2312556-2, 110610-00000-01}</w:t>
      </w:r>
    </w:p>
    <w:p>
      <w:pPr>
        <w:spacing w:after="0" w:line="21"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12</w:t>
      </w:r>
    </w:p>
    <w:p>
      <w:pPr>
        <w:sectPr>
          <w:pgSz w:w="11900" w:h="16838" w:orient="portrait"/>
          <w:cols w:equalWidth="0" w:num="1">
            <w:col w:w="11420"/>
          </w:cols>
          <w:pgMar w:left="240" w:top="625" w:right="239" w:bottom="1440" w:gutter="0" w:footer="0" w:header="0"/>
        </w:sectPr>
      </w:pPr>
    </w:p>
    <w:bookmarkStart w:id="66" w:name="page67"/>
    <w:bookmarkEnd w:id="66"/>
    <w:p>
      <w:pPr>
        <w:jc w:val="center"/>
        <w:ind w:right="-1220"/>
        <w:spacing w:after="0"/>
        <w:rPr>
          <w:sz w:val="20"/>
          <w:szCs w:val="20"/>
          <w:color w:val="auto"/>
        </w:rPr>
      </w:pPr>
      <w:r>
        <w:rPr>
          <w:rFonts w:ascii="Arial" w:cs="Arial" w:eastAsia="Arial" w:hAnsi="Arial"/>
          <w:sz w:val="19"/>
          <w:szCs w:val="19"/>
          <w:b w:val="1"/>
          <w:bCs w:val="1"/>
          <w:color w:val="auto"/>
        </w:rPr>
        <w:t>Prior Option and Prior Restricted Stock Awards</w:t>
      </w:r>
    </w:p>
    <w:p>
      <w:pPr>
        <w:spacing w:after="0" w:line="260" w:lineRule="exact"/>
        <w:rPr>
          <w:sz w:val="20"/>
          <w:szCs w:val="20"/>
          <w:color w:val="auto"/>
        </w:rPr>
      </w:pPr>
    </w:p>
    <w:p>
      <w:pPr>
        <w:jc w:val="center"/>
        <w:ind w:right="-1220"/>
        <w:spacing w:after="0"/>
        <w:rPr>
          <w:sz w:val="20"/>
          <w:szCs w:val="20"/>
          <w:color w:val="auto"/>
        </w:rPr>
      </w:pPr>
      <w:r>
        <w:rPr>
          <w:rFonts w:ascii="Arial" w:cs="Arial" w:eastAsia="Arial" w:hAnsi="Arial"/>
          <w:sz w:val="22"/>
          <w:szCs w:val="22"/>
          <w:color w:val="auto"/>
        </w:rPr>
        <w:t>(see attached)</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5" w:lineRule="exact"/>
        <w:rPr>
          <w:sz w:val="20"/>
          <w:szCs w:val="20"/>
          <w:color w:val="auto"/>
        </w:rPr>
      </w:pPr>
    </w:p>
    <w:p>
      <w:pPr>
        <w:spacing w:after="0"/>
        <w:rPr>
          <w:sz w:val="20"/>
          <w:szCs w:val="20"/>
          <w:color w:val="auto"/>
        </w:rPr>
      </w:pPr>
      <w:r>
        <w:rPr>
          <w:rFonts w:ascii="Arial" w:cs="Arial" w:eastAsia="Arial" w:hAnsi="Arial"/>
          <w:sz w:val="14"/>
          <w:szCs w:val="14"/>
          <w:color w:val="auto"/>
        </w:rPr>
        <w:t>{2312556-2, 110610-00000-01}</w:t>
      </w:r>
    </w:p>
    <w:p>
      <w:pPr>
        <w:sectPr>
          <w:pgSz w:w="11900" w:h="16838" w:orient="portrait"/>
          <w:cols w:equalWidth="0" w:num="1">
            <w:col w:w="10219"/>
          </w:cols>
          <w:pgMar w:left="240" w:top="1098" w:right="1440" w:bottom="1440" w:gutter="0" w:footer="0" w:header="0"/>
        </w:sectPr>
      </w:pPr>
    </w:p>
    <w:bookmarkStart w:id="67" w:name="page68"/>
    <w:bookmarkEnd w:id="67"/>
    <w:p>
      <w:pPr>
        <w:jc w:val="right"/>
        <w:spacing w:after="0"/>
        <w:rPr>
          <w:sz w:val="20"/>
          <w:szCs w:val="20"/>
          <w:color w:val="auto"/>
        </w:rPr>
      </w:pPr>
      <w:r>
        <w:rPr>
          <w:rFonts w:ascii="Arial" w:cs="Arial" w:eastAsia="Arial" w:hAnsi="Arial"/>
          <w:sz w:val="18"/>
          <w:szCs w:val="18"/>
          <w:b w:val="1"/>
          <w:bCs w:val="1"/>
          <w:color w:val="auto"/>
        </w:rPr>
        <w:t>Exhibit 31.1</w:t>
      </w:r>
    </w:p>
    <w:p>
      <w:pPr>
        <w:spacing w:after="0" w:line="17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 OF PRINCIPAL EXECUTIVE OFFICER PURSUANT TO</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SECTION 302 OF THE SARBANES-OXLEY ACT OF 2002</w:t>
      </w:r>
    </w:p>
    <w:p>
      <w:pPr>
        <w:spacing w:after="0" w:line="157" w:lineRule="exact"/>
        <w:rPr>
          <w:sz w:val="20"/>
          <w:szCs w:val="20"/>
          <w:color w:val="auto"/>
        </w:rPr>
      </w:pPr>
    </w:p>
    <w:p>
      <w:pPr>
        <w:spacing w:after="0"/>
        <w:rPr>
          <w:sz w:val="20"/>
          <w:szCs w:val="20"/>
          <w:color w:val="auto"/>
        </w:rPr>
      </w:pPr>
      <w:r>
        <w:rPr>
          <w:rFonts w:ascii="Arial" w:cs="Arial" w:eastAsia="Arial" w:hAnsi="Arial"/>
          <w:sz w:val="18"/>
          <w:szCs w:val="18"/>
          <w:color w:val="auto"/>
        </w:rPr>
        <w:t>I, Scott A. Graeff, certify that:</w:t>
      </w:r>
    </w:p>
    <w:p>
      <w:pPr>
        <w:spacing w:after="0" w:line="171" w:lineRule="exact"/>
        <w:rPr>
          <w:sz w:val="20"/>
          <w:szCs w:val="20"/>
          <w:color w:val="auto"/>
        </w:rPr>
      </w:pPr>
    </w:p>
    <w:p>
      <w:pPr>
        <w:ind w:left="340" w:hanging="332"/>
        <w:spacing w:after="0"/>
        <w:tabs>
          <w:tab w:leader="none" w:pos="340" w:val="left"/>
        </w:tabs>
        <w:numPr>
          <w:ilvl w:val="0"/>
          <w:numId w:val="45"/>
        </w:numPr>
        <w:rPr>
          <w:rFonts w:ascii="Arial" w:cs="Arial" w:eastAsia="Arial" w:hAnsi="Arial"/>
          <w:sz w:val="18"/>
          <w:szCs w:val="18"/>
          <w:color w:val="auto"/>
        </w:rPr>
      </w:pPr>
      <w:r>
        <w:rPr>
          <w:rFonts w:ascii="Arial" w:cs="Arial" w:eastAsia="Arial" w:hAnsi="Arial"/>
          <w:sz w:val="18"/>
          <w:szCs w:val="18"/>
          <w:color w:val="auto"/>
        </w:rPr>
        <w:t>I have reviewed this quarterly report on Form 10-Q of Luna Innovations Incorporated;</w:t>
      </w:r>
    </w:p>
    <w:p>
      <w:pPr>
        <w:spacing w:after="0" w:line="171" w:lineRule="exact"/>
        <w:rPr>
          <w:rFonts w:ascii="Arial" w:cs="Arial" w:eastAsia="Arial" w:hAnsi="Arial"/>
          <w:sz w:val="18"/>
          <w:szCs w:val="18"/>
          <w:color w:val="auto"/>
        </w:rPr>
      </w:pPr>
    </w:p>
    <w:p>
      <w:pPr>
        <w:ind w:left="340" w:right="120" w:hanging="332"/>
        <w:spacing w:after="0" w:line="342" w:lineRule="auto"/>
        <w:tabs>
          <w:tab w:leader="none" w:pos="340" w:val="left"/>
        </w:tabs>
        <w:numPr>
          <w:ilvl w:val="0"/>
          <w:numId w:val="45"/>
        </w:numPr>
        <w:rPr>
          <w:rFonts w:ascii="Arial" w:cs="Arial" w:eastAsia="Arial" w:hAnsi="Arial"/>
          <w:sz w:val="16"/>
          <w:szCs w:val="16"/>
          <w:color w:val="auto"/>
        </w:rPr>
      </w:pPr>
      <w:r>
        <w:rPr>
          <w:rFonts w:ascii="Arial" w:cs="Arial" w:eastAsia="Arial" w:hAnsi="Arial"/>
          <w:sz w:val="16"/>
          <w:szCs w:val="16"/>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69" w:lineRule="exact"/>
        <w:rPr>
          <w:rFonts w:ascii="Arial" w:cs="Arial" w:eastAsia="Arial" w:hAnsi="Arial"/>
          <w:sz w:val="16"/>
          <w:szCs w:val="16"/>
          <w:color w:val="auto"/>
        </w:rPr>
      </w:pPr>
    </w:p>
    <w:p>
      <w:pPr>
        <w:ind w:left="340" w:right="580" w:hanging="332"/>
        <w:spacing w:after="0" w:line="308" w:lineRule="auto"/>
        <w:tabs>
          <w:tab w:leader="none" w:pos="340" w:val="left"/>
        </w:tabs>
        <w:numPr>
          <w:ilvl w:val="0"/>
          <w:numId w:val="45"/>
        </w:numPr>
        <w:rPr>
          <w:rFonts w:ascii="Arial" w:cs="Arial" w:eastAsia="Arial" w:hAnsi="Arial"/>
          <w:sz w:val="17"/>
          <w:szCs w:val="17"/>
          <w:color w:val="auto"/>
        </w:rPr>
      </w:pPr>
      <w:r>
        <w:rPr>
          <w:rFonts w:ascii="Arial" w:cs="Arial" w:eastAsia="Arial" w:hAnsi="Arial"/>
          <w:sz w:val="17"/>
          <w:szCs w:val="17"/>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92" w:lineRule="exact"/>
        <w:rPr>
          <w:rFonts w:ascii="Arial" w:cs="Arial" w:eastAsia="Arial" w:hAnsi="Arial"/>
          <w:sz w:val="17"/>
          <w:szCs w:val="17"/>
          <w:color w:val="auto"/>
        </w:rPr>
      </w:pPr>
    </w:p>
    <w:p>
      <w:pPr>
        <w:ind w:left="340" w:right="60" w:hanging="332"/>
        <w:spacing w:after="0" w:line="264" w:lineRule="auto"/>
        <w:tabs>
          <w:tab w:leader="none" w:pos="340" w:val="left"/>
        </w:tabs>
        <w:numPr>
          <w:ilvl w:val="0"/>
          <w:numId w:val="45"/>
        </w:numPr>
        <w:rPr>
          <w:rFonts w:ascii="Arial" w:cs="Arial" w:eastAsia="Arial" w:hAnsi="Arial"/>
          <w:sz w:val="18"/>
          <w:szCs w:val="18"/>
          <w:color w:val="auto"/>
        </w:rPr>
      </w:pPr>
      <w:r>
        <w:rPr>
          <w:rFonts w:ascii="Arial" w:cs="Arial" w:eastAsia="Arial" w:hAnsi="Arial"/>
          <w:sz w:val="18"/>
          <w:szCs w:val="18"/>
          <w:color w:val="auto"/>
        </w:rPr>
        <w:t>The registrant’s other certifying officer and I are responsible for establishing and maintaining disclosure controls and procedures (as defined in Exchange Act Rules 13a-15(e) and 15d-15(e)) and internal control over financial reporting (as defined in Exchange Act Rules 13a-15(f) and 15d-15(f)) for the registrant and have:</w:t>
      </w:r>
    </w:p>
    <w:p>
      <w:pPr>
        <w:spacing w:after="0" w:line="127" w:lineRule="exact"/>
        <w:rPr>
          <w:rFonts w:ascii="Arial" w:cs="Arial" w:eastAsia="Arial" w:hAnsi="Arial"/>
          <w:sz w:val="18"/>
          <w:szCs w:val="18"/>
          <w:color w:val="auto"/>
        </w:rPr>
      </w:pPr>
    </w:p>
    <w:p>
      <w:pPr>
        <w:jc w:val="both"/>
        <w:ind w:left="980" w:right="260" w:hanging="324"/>
        <w:spacing w:after="0" w:line="264" w:lineRule="auto"/>
        <w:tabs>
          <w:tab w:leader="none" w:pos="980" w:val="left"/>
        </w:tabs>
        <w:numPr>
          <w:ilvl w:val="1"/>
          <w:numId w:val="45"/>
        </w:numPr>
        <w:rPr>
          <w:rFonts w:ascii="Arial" w:cs="Arial" w:eastAsia="Arial" w:hAnsi="Arial"/>
          <w:sz w:val="18"/>
          <w:szCs w:val="18"/>
          <w:color w:val="auto"/>
        </w:rPr>
      </w:pPr>
      <w:r>
        <w:rPr>
          <w:rFonts w:ascii="Arial" w:cs="Arial" w:eastAsia="Arial" w:hAnsi="Arial"/>
          <w:sz w:val="18"/>
          <w:szCs w:val="18"/>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127" w:lineRule="exact"/>
        <w:rPr>
          <w:rFonts w:ascii="Arial" w:cs="Arial" w:eastAsia="Arial" w:hAnsi="Arial"/>
          <w:sz w:val="18"/>
          <w:szCs w:val="18"/>
          <w:color w:val="auto"/>
        </w:rPr>
      </w:pPr>
    </w:p>
    <w:p>
      <w:pPr>
        <w:ind w:left="980" w:right="540" w:hanging="324"/>
        <w:spacing w:after="0" w:line="264" w:lineRule="auto"/>
        <w:tabs>
          <w:tab w:leader="none" w:pos="980" w:val="left"/>
        </w:tabs>
        <w:numPr>
          <w:ilvl w:val="1"/>
          <w:numId w:val="45"/>
        </w:numPr>
        <w:rPr>
          <w:rFonts w:ascii="Arial" w:cs="Arial" w:eastAsia="Arial" w:hAnsi="Arial"/>
          <w:sz w:val="18"/>
          <w:szCs w:val="18"/>
          <w:color w:val="auto"/>
        </w:rPr>
      </w:pPr>
      <w:r>
        <w:rPr>
          <w:rFonts w:ascii="Arial" w:cs="Arial" w:eastAsia="Arial" w:hAnsi="Arial"/>
          <w:sz w:val="18"/>
          <w:szCs w:val="18"/>
          <w:color w:val="auto"/>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pPr>
        <w:spacing w:after="0" w:line="127" w:lineRule="exact"/>
        <w:rPr>
          <w:rFonts w:ascii="Arial" w:cs="Arial" w:eastAsia="Arial" w:hAnsi="Arial"/>
          <w:sz w:val="18"/>
          <w:szCs w:val="18"/>
          <w:color w:val="auto"/>
        </w:rPr>
      </w:pPr>
    </w:p>
    <w:p>
      <w:pPr>
        <w:jc w:val="both"/>
        <w:ind w:left="980" w:right="720" w:hanging="324"/>
        <w:spacing w:after="0" w:line="342" w:lineRule="auto"/>
        <w:tabs>
          <w:tab w:leader="none" w:pos="980" w:val="left"/>
        </w:tabs>
        <w:numPr>
          <w:ilvl w:val="1"/>
          <w:numId w:val="45"/>
        </w:numPr>
        <w:rPr>
          <w:rFonts w:ascii="Arial" w:cs="Arial" w:eastAsia="Arial" w:hAnsi="Arial"/>
          <w:sz w:val="16"/>
          <w:szCs w:val="16"/>
          <w:color w:val="auto"/>
        </w:rPr>
      </w:pPr>
      <w:r>
        <w:rPr>
          <w:rFonts w:ascii="Arial" w:cs="Arial" w:eastAsia="Arial" w:hAnsi="Arial"/>
          <w:sz w:val="16"/>
          <w:szCs w:val="16"/>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69" w:lineRule="exact"/>
        <w:rPr>
          <w:rFonts w:ascii="Arial" w:cs="Arial" w:eastAsia="Arial" w:hAnsi="Arial"/>
          <w:sz w:val="16"/>
          <w:szCs w:val="16"/>
          <w:color w:val="auto"/>
        </w:rPr>
      </w:pPr>
    </w:p>
    <w:p>
      <w:pPr>
        <w:ind w:left="980" w:right="260" w:hanging="324"/>
        <w:spacing w:after="0" w:line="264" w:lineRule="auto"/>
        <w:tabs>
          <w:tab w:leader="none" w:pos="980" w:val="left"/>
        </w:tabs>
        <w:numPr>
          <w:ilvl w:val="1"/>
          <w:numId w:val="45"/>
        </w:numPr>
        <w:rPr>
          <w:rFonts w:ascii="Arial" w:cs="Arial" w:eastAsia="Arial" w:hAnsi="Arial"/>
          <w:sz w:val="18"/>
          <w:szCs w:val="18"/>
          <w:color w:val="auto"/>
        </w:rPr>
      </w:pPr>
      <w:r>
        <w:rPr>
          <w:rFonts w:ascii="Arial" w:cs="Arial" w:eastAsia="Arial" w:hAnsi="Arial"/>
          <w:sz w:val="18"/>
          <w:szCs w:val="18"/>
          <w:color w:val="auto"/>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pPr>
        <w:spacing w:after="0" w:line="127" w:lineRule="exact"/>
        <w:rPr>
          <w:rFonts w:ascii="Arial" w:cs="Arial" w:eastAsia="Arial" w:hAnsi="Arial"/>
          <w:sz w:val="18"/>
          <w:szCs w:val="18"/>
          <w:color w:val="auto"/>
        </w:rPr>
      </w:pPr>
    </w:p>
    <w:p>
      <w:pPr>
        <w:ind w:left="340" w:right="500" w:hanging="332"/>
        <w:spacing w:after="0" w:line="308" w:lineRule="auto"/>
        <w:tabs>
          <w:tab w:leader="none" w:pos="340" w:val="left"/>
        </w:tabs>
        <w:numPr>
          <w:ilvl w:val="0"/>
          <w:numId w:val="45"/>
        </w:numPr>
        <w:rPr>
          <w:rFonts w:ascii="Arial" w:cs="Arial" w:eastAsia="Arial" w:hAnsi="Arial"/>
          <w:sz w:val="17"/>
          <w:szCs w:val="17"/>
          <w:color w:val="auto"/>
        </w:rPr>
      </w:pPr>
      <w:r>
        <w:rPr>
          <w:rFonts w:ascii="Arial" w:cs="Arial" w:eastAsia="Arial" w:hAnsi="Arial"/>
          <w:sz w:val="17"/>
          <w:szCs w:val="17"/>
          <w:color w:val="auto"/>
        </w:rPr>
        <w:t>The registrant’s other certifying officer and I have disclosed, based on our most recent evaluation of internal control over financial reporting, to the registrant’s auditors and the audit committee of the registrant’s board of directors (or persons performing the equivalent functions):</w:t>
      </w:r>
    </w:p>
    <w:p>
      <w:pPr>
        <w:spacing w:after="0" w:line="92" w:lineRule="exact"/>
        <w:rPr>
          <w:rFonts w:ascii="Arial" w:cs="Arial" w:eastAsia="Arial" w:hAnsi="Arial"/>
          <w:sz w:val="17"/>
          <w:szCs w:val="17"/>
          <w:color w:val="auto"/>
        </w:rPr>
      </w:pPr>
    </w:p>
    <w:p>
      <w:pPr>
        <w:ind w:left="980" w:right="180" w:hanging="324"/>
        <w:spacing w:after="0" w:line="308" w:lineRule="auto"/>
        <w:tabs>
          <w:tab w:leader="none" w:pos="980" w:val="left"/>
        </w:tabs>
        <w:numPr>
          <w:ilvl w:val="1"/>
          <w:numId w:val="45"/>
        </w:numPr>
        <w:rPr>
          <w:rFonts w:ascii="Arial" w:cs="Arial" w:eastAsia="Arial" w:hAnsi="Arial"/>
          <w:sz w:val="17"/>
          <w:szCs w:val="17"/>
          <w:color w:val="auto"/>
        </w:rPr>
      </w:pPr>
      <w:r>
        <w:rPr>
          <w:rFonts w:ascii="Arial" w:cs="Arial" w:eastAsia="Arial" w:hAnsi="Arial"/>
          <w:sz w:val="17"/>
          <w:szCs w:val="17"/>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92" w:lineRule="exact"/>
        <w:rPr>
          <w:rFonts w:ascii="Arial" w:cs="Arial" w:eastAsia="Arial" w:hAnsi="Arial"/>
          <w:sz w:val="17"/>
          <w:szCs w:val="17"/>
          <w:color w:val="auto"/>
        </w:rPr>
      </w:pPr>
    </w:p>
    <w:p>
      <w:pPr>
        <w:ind w:left="980" w:right="140" w:hanging="324"/>
        <w:spacing w:after="0" w:line="277" w:lineRule="auto"/>
        <w:tabs>
          <w:tab w:leader="none" w:pos="980" w:val="left"/>
        </w:tabs>
        <w:numPr>
          <w:ilvl w:val="1"/>
          <w:numId w:val="45"/>
        </w:numPr>
        <w:rPr>
          <w:rFonts w:ascii="Arial" w:cs="Arial" w:eastAsia="Arial" w:hAnsi="Arial"/>
          <w:sz w:val="18"/>
          <w:szCs w:val="18"/>
          <w:color w:val="auto"/>
        </w:rPr>
      </w:pPr>
      <w:r>
        <w:rPr>
          <w:rFonts w:ascii="Arial" w:cs="Arial" w:eastAsia="Arial" w:hAnsi="Arial"/>
          <w:sz w:val="18"/>
          <w:szCs w:val="18"/>
          <w:color w:val="auto"/>
        </w:rPr>
        <w:t>any fraud, whether or not material, that involves management or other employees who have a significant role in the registrant’s internal control over financial reporting.</w:t>
      </w:r>
    </w:p>
    <w:p>
      <w:pPr>
        <w:spacing w:after="0" w:line="116" w:lineRule="exact"/>
        <w:rPr>
          <w:sz w:val="20"/>
          <w:szCs w:val="20"/>
          <w:color w:val="auto"/>
        </w:rPr>
      </w:pPr>
    </w:p>
    <w:p>
      <w:pPr>
        <w:spacing w:after="0"/>
        <w:rPr>
          <w:sz w:val="20"/>
          <w:szCs w:val="20"/>
          <w:color w:val="auto"/>
        </w:rPr>
      </w:pPr>
      <w:r>
        <w:rPr>
          <w:rFonts w:ascii="Arial" w:cs="Arial" w:eastAsia="Arial" w:hAnsi="Arial"/>
          <w:sz w:val="18"/>
          <w:szCs w:val="18"/>
          <w:color w:val="auto"/>
        </w:rPr>
        <w:t>Date: August 1, 2018</w:t>
      </w:r>
    </w:p>
    <w:p>
      <w:pPr>
        <w:spacing w:after="0" w:line="360" w:lineRule="exact"/>
        <w:rPr>
          <w:sz w:val="20"/>
          <w:szCs w:val="20"/>
          <w:color w:val="auto"/>
        </w:rPr>
      </w:pPr>
    </w:p>
    <w:p>
      <w:pPr>
        <w:ind w:left="2080"/>
        <w:spacing w:after="0"/>
        <w:rPr>
          <w:sz w:val="20"/>
          <w:szCs w:val="20"/>
          <w:color w:val="auto"/>
        </w:rPr>
      </w:pPr>
      <w:r>
        <w:rPr>
          <w:rFonts w:ascii="Arial" w:cs="Arial" w:eastAsia="Arial" w:hAnsi="Arial"/>
          <w:sz w:val="18"/>
          <w:szCs w:val="18"/>
          <w:color w:val="auto"/>
        </w:rPr>
        <w:t>/s/ Scott A. Graeff</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31750</wp:posOffset>
            </wp:positionV>
            <wp:extent cx="3696335" cy="889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3696335" cy="8890"/>
                    </a:xfrm>
                    <a:prstGeom prst="rect">
                      <a:avLst/>
                    </a:prstGeom>
                    <a:noFill/>
                  </pic:spPr>
                </pic:pic>
              </a:graphicData>
            </a:graphic>
          </wp:anchor>
        </w:drawing>
      </w:r>
    </w:p>
    <w:p>
      <w:pPr>
        <w:spacing w:after="0" w:line="53" w:lineRule="exact"/>
        <w:rPr>
          <w:sz w:val="20"/>
          <w:szCs w:val="20"/>
          <w:color w:val="auto"/>
        </w:rPr>
      </w:pPr>
    </w:p>
    <w:p>
      <w:pPr>
        <w:ind w:left="2340"/>
        <w:spacing w:after="0"/>
        <w:rPr>
          <w:sz w:val="20"/>
          <w:szCs w:val="20"/>
          <w:color w:val="auto"/>
        </w:rPr>
      </w:pPr>
      <w:r>
        <w:rPr>
          <w:rFonts w:ascii="Arial" w:cs="Arial" w:eastAsia="Arial" w:hAnsi="Arial"/>
          <w:sz w:val="18"/>
          <w:szCs w:val="18"/>
          <w:b w:val="1"/>
          <w:bCs w:val="1"/>
          <w:color w:val="auto"/>
        </w:rPr>
        <w:t>Scott A. Graeff</w:t>
      </w:r>
    </w:p>
    <w:p>
      <w:pPr>
        <w:spacing w:after="0" w:line="63" w:lineRule="exact"/>
        <w:rPr>
          <w:sz w:val="20"/>
          <w:szCs w:val="20"/>
          <w:color w:val="auto"/>
        </w:rPr>
      </w:pPr>
    </w:p>
    <w:p>
      <w:pPr>
        <w:ind w:left="1460"/>
        <w:spacing w:after="0"/>
        <w:rPr>
          <w:sz w:val="20"/>
          <w:szCs w:val="20"/>
          <w:color w:val="auto"/>
        </w:rPr>
      </w:pPr>
      <w:r>
        <w:rPr>
          <w:rFonts w:ascii="Arial" w:cs="Arial" w:eastAsia="Arial" w:hAnsi="Arial"/>
          <w:sz w:val="18"/>
          <w:szCs w:val="18"/>
          <w:b w:val="1"/>
          <w:bCs w:val="1"/>
          <w:color w:val="auto"/>
        </w:rPr>
        <w:t>President and Chief Executive Officer</w:t>
      </w:r>
    </w:p>
    <w:p>
      <w:pPr>
        <w:spacing w:after="0" w:line="27" w:lineRule="exact"/>
        <w:rPr>
          <w:sz w:val="20"/>
          <w:szCs w:val="20"/>
          <w:color w:val="auto"/>
        </w:rPr>
      </w:pPr>
    </w:p>
    <w:p>
      <w:pPr>
        <w:ind w:left="1860"/>
        <w:spacing w:after="0"/>
        <w:rPr>
          <w:sz w:val="20"/>
          <w:szCs w:val="20"/>
          <w:color w:val="auto"/>
        </w:rPr>
      </w:pPr>
      <w:r>
        <w:rPr>
          <w:rFonts w:ascii="Arial" w:cs="Arial" w:eastAsia="Arial" w:hAnsi="Arial"/>
          <w:sz w:val="18"/>
          <w:szCs w:val="18"/>
          <w:b w:val="1"/>
          <w:bCs w:val="1"/>
          <w:color w:val="auto"/>
        </w:rPr>
        <w:t>(principal executive officer)</w:t>
      </w:r>
    </w:p>
    <w:p>
      <w:pPr>
        <w:sectPr>
          <w:pgSz w:w="11900" w:h="16838" w:orient="portrait"/>
          <w:cols w:equalWidth="0" w:num="1">
            <w:col w:w="11420"/>
          </w:cols>
          <w:pgMar w:left="240" w:top="580" w:right="239" w:bottom="1440" w:gutter="0" w:footer="0" w:header="0"/>
        </w:sectPr>
      </w:pPr>
    </w:p>
    <w:bookmarkStart w:id="68" w:name="page69"/>
    <w:bookmarkEnd w:id="68"/>
    <w:p>
      <w:pPr>
        <w:jc w:val="right"/>
        <w:spacing w:after="0"/>
        <w:rPr>
          <w:sz w:val="20"/>
          <w:szCs w:val="20"/>
          <w:color w:val="auto"/>
        </w:rPr>
      </w:pPr>
      <w:r>
        <w:rPr>
          <w:rFonts w:ascii="Arial" w:cs="Arial" w:eastAsia="Arial" w:hAnsi="Arial"/>
          <w:sz w:val="18"/>
          <w:szCs w:val="18"/>
          <w:b w:val="1"/>
          <w:bCs w:val="1"/>
          <w:color w:val="auto"/>
        </w:rPr>
        <w:t>Exhibit 31.2</w:t>
      </w:r>
    </w:p>
    <w:p>
      <w:pPr>
        <w:spacing w:after="0" w:line="17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 OF PRINCIPAL FINANCIAL OFFICER PURSUANT TO</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SECTION 302 OF THE SARBANES-OXLEY ACT OF 2002</w:t>
      </w:r>
    </w:p>
    <w:p>
      <w:pPr>
        <w:spacing w:after="0" w:line="157" w:lineRule="exact"/>
        <w:rPr>
          <w:sz w:val="20"/>
          <w:szCs w:val="20"/>
          <w:color w:val="auto"/>
        </w:rPr>
      </w:pPr>
    </w:p>
    <w:p>
      <w:pPr>
        <w:spacing w:after="0"/>
        <w:rPr>
          <w:sz w:val="20"/>
          <w:szCs w:val="20"/>
          <w:color w:val="auto"/>
        </w:rPr>
      </w:pPr>
      <w:r>
        <w:rPr>
          <w:rFonts w:ascii="Arial" w:cs="Arial" w:eastAsia="Arial" w:hAnsi="Arial"/>
          <w:sz w:val="18"/>
          <w:szCs w:val="18"/>
          <w:color w:val="auto"/>
        </w:rPr>
        <w:t>I, Dale E. Messick, certify that:</w:t>
      </w:r>
    </w:p>
    <w:p>
      <w:pPr>
        <w:spacing w:after="0" w:line="171" w:lineRule="exact"/>
        <w:rPr>
          <w:sz w:val="20"/>
          <w:szCs w:val="20"/>
          <w:color w:val="auto"/>
        </w:rPr>
      </w:pPr>
    </w:p>
    <w:p>
      <w:pPr>
        <w:ind w:left="340" w:hanging="332"/>
        <w:spacing w:after="0"/>
        <w:tabs>
          <w:tab w:leader="none" w:pos="340" w:val="left"/>
        </w:tabs>
        <w:numPr>
          <w:ilvl w:val="0"/>
          <w:numId w:val="46"/>
        </w:numPr>
        <w:rPr>
          <w:rFonts w:ascii="Arial" w:cs="Arial" w:eastAsia="Arial" w:hAnsi="Arial"/>
          <w:sz w:val="18"/>
          <w:szCs w:val="18"/>
          <w:color w:val="auto"/>
        </w:rPr>
      </w:pPr>
      <w:r>
        <w:rPr>
          <w:rFonts w:ascii="Arial" w:cs="Arial" w:eastAsia="Arial" w:hAnsi="Arial"/>
          <w:sz w:val="18"/>
          <w:szCs w:val="18"/>
          <w:color w:val="auto"/>
        </w:rPr>
        <w:t>I have reviewed this quarterly report on Form 10-Q of Luna Innovations Incorporated;</w:t>
      </w:r>
    </w:p>
    <w:p>
      <w:pPr>
        <w:spacing w:after="0" w:line="171" w:lineRule="exact"/>
        <w:rPr>
          <w:rFonts w:ascii="Arial" w:cs="Arial" w:eastAsia="Arial" w:hAnsi="Arial"/>
          <w:sz w:val="18"/>
          <w:szCs w:val="18"/>
          <w:color w:val="auto"/>
        </w:rPr>
      </w:pPr>
    </w:p>
    <w:p>
      <w:pPr>
        <w:ind w:left="340" w:right="120" w:hanging="332"/>
        <w:spacing w:after="0" w:line="342" w:lineRule="auto"/>
        <w:tabs>
          <w:tab w:leader="none" w:pos="340" w:val="left"/>
        </w:tabs>
        <w:numPr>
          <w:ilvl w:val="0"/>
          <w:numId w:val="46"/>
        </w:numPr>
        <w:rPr>
          <w:rFonts w:ascii="Arial" w:cs="Arial" w:eastAsia="Arial" w:hAnsi="Arial"/>
          <w:sz w:val="16"/>
          <w:szCs w:val="16"/>
          <w:color w:val="auto"/>
        </w:rPr>
      </w:pPr>
      <w:r>
        <w:rPr>
          <w:rFonts w:ascii="Arial" w:cs="Arial" w:eastAsia="Arial" w:hAnsi="Arial"/>
          <w:sz w:val="16"/>
          <w:szCs w:val="16"/>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69" w:lineRule="exact"/>
        <w:rPr>
          <w:rFonts w:ascii="Arial" w:cs="Arial" w:eastAsia="Arial" w:hAnsi="Arial"/>
          <w:sz w:val="16"/>
          <w:szCs w:val="16"/>
          <w:color w:val="auto"/>
        </w:rPr>
      </w:pPr>
    </w:p>
    <w:p>
      <w:pPr>
        <w:ind w:left="340" w:right="580" w:hanging="332"/>
        <w:spacing w:after="0" w:line="308" w:lineRule="auto"/>
        <w:tabs>
          <w:tab w:leader="none" w:pos="340" w:val="left"/>
        </w:tabs>
        <w:numPr>
          <w:ilvl w:val="0"/>
          <w:numId w:val="46"/>
        </w:numPr>
        <w:rPr>
          <w:rFonts w:ascii="Arial" w:cs="Arial" w:eastAsia="Arial" w:hAnsi="Arial"/>
          <w:sz w:val="17"/>
          <w:szCs w:val="17"/>
          <w:color w:val="auto"/>
        </w:rPr>
      </w:pPr>
      <w:r>
        <w:rPr>
          <w:rFonts w:ascii="Arial" w:cs="Arial" w:eastAsia="Arial" w:hAnsi="Arial"/>
          <w:sz w:val="17"/>
          <w:szCs w:val="17"/>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92" w:lineRule="exact"/>
        <w:rPr>
          <w:rFonts w:ascii="Arial" w:cs="Arial" w:eastAsia="Arial" w:hAnsi="Arial"/>
          <w:sz w:val="17"/>
          <w:szCs w:val="17"/>
          <w:color w:val="auto"/>
        </w:rPr>
      </w:pPr>
    </w:p>
    <w:p>
      <w:pPr>
        <w:ind w:left="340" w:right="60" w:hanging="332"/>
        <w:spacing w:after="0" w:line="264" w:lineRule="auto"/>
        <w:tabs>
          <w:tab w:leader="none" w:pos="340" w:val="left"/>
        </w:tabs>
        <w:numPr>
          <w:ilvl w:val="0"/>
          <w:numId w:val="46"/>
        </w:numPr>
        <w:rPr>
          <w:rFonts w:ascii="Arial" w:cs="Arial" w:eastAsia="Arial" w:hAnsi="Arial"/>
          <w:sz w:val="18"/>
          <w:szCs w:val="18"/>
          <w:color w:val="auto"/>
        </w:rPr>
      </w:pPr>
      <w:r>
        <w:rPr>
          <w:rFonts w:ascii="Arial" w:cs="Arial" w:eastAsia="Arial" w:hAnsi="Arial"/>
          <w:sz w:val="18"/>
          <w:szCs w:val="18"/>
          <w:color w:val="auto"/>
        </w:rPr>
        <w:t>The registrant’s other certifying officer and I are responsible for establishing and maintaining disclosure controls and procedures (as defined in Exchange Act Rules 13a-15(e) and 15d-15(e)) and internal control over financial reporting (as defined in Exchange Act Rules 13a-15(f) and 15d-15(f)) for the registrant and have:</w:t>
      </w:r>
    </w:p>
    <w:p>
      <w:pPr>
        <w:spacing w:after="0" w:line="127" w:lineRule="exact"/>
        <w:rPr>
          <w:rFonts w:ascii="Arial" w:cs="Arial" w:eastAsia="Arial" w:hAnsi="Arial"/>
          <w:sz w:val="18"/>
          <w:szCs w:val="18"/>
          <w:color w:val="auto"/>
        </w:rPr>
      </w:pPr>
    </w:p>
    <w:p>
      <w:pPr>
        <w:jc w:val="both"/>
        <w:ind w:left="980" w:right="260" w:hanging="324"/>
        <w:spacing w:after="0" w:line="264" w:lineRule="auto"/>
        <w:tabs>
          <w:tab w:leader="none" w:pos="980" w:val="left"/>
        </w:tabs>
        <w:numPr>
          <w:ilvl w:val="1"/>
          <w:numId w:val="46"/>
        </w:numPr>
        <w:rPr>
          <w:rFonts w:ascii="Arial" w:cs="Arial" w:eastAsia="Arial" w:hAnsi="Arial"/>
          <w:sz w:val="18"/>
          <w:szCs w:val="18"/>
          <w:color w:val="auto"/>
        </w:rPr>
      </w:pPr>
      <w:r>
        <w:rPr>
          <w:rFonts w:ascii="Arial" w:cs="Arial" w:eastAsia="Arial" w:hAnsi="Arial"/>
          <w:sz w:val="18"/>
          <w:szCs w:val="18"/>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127" w:lineRule="exact"/>
        <w:rPr>
          <w:rFonts w:ascii="Arial" w:cs="Arial" w:eastAsia="Arial" w:hAnsi="Arial"/>
          <w:sz w:val="18"/>
          <w:szCs w:val="18"/>
          <w:color w:val="auto"/>
        </w:rPr>
      </w:pPr>
    </w:p>
    <w:p>
      <w:pPr>
        <w:ind w:left="980" w:right="540" w:hanging="324"/>
        <w:spacing w:after="0" w:line="264" w:lineRule="auto"/>
        <w:tabs>
          <w:tab w:leader="none" w:pos="980" w:val="left"/>
        </w:tabs>
        <w:numPr>
          <w:ilvl w:val="1"/>
          <w:numId w:val="46"/>
        </w:numPr>
        <w:rPr>
          <w:rFonts w:ascii="Arial" w:cs="Arial" w:eastAsia="Arial" w:hAnsi="Arial"/>
          <w:sz w:val="18"/>
          <w:szCs w:val="18"/>
          <w:color w:val="auto"/>
        </w:rPr>
      </w:pPr>
      <w:r>
        <w:rPr>
          <w:rFonts w:ascii="Arial" w:cs="Arial" w:eastAsia="Arial" w:hAnsi="Arial"/>
          <w:sz w:val="18"/>
          <w:szCs w:val="18"/>
          <w:color w:val="auto"/>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pPr>
        <w:spacing w:after="0" w:line="127" w:lineRule="exact"/>
        <w:rPr>
          <w:rFonts w:ascii="Arial" w:cs="Arial" w:eastAsia="Arial" w:hAnsi="Arial"/>
          <w:sz w:val="18"/>
          <w:szCs w:val="18"/>
          <w:color w:val="auto"/>
        </w:rPr>
      </w:pPr>
    </w:p>
    <w:p>
      <w:pPr>
        <w:jc w:val="both"/>
        <w:ind w:left="980" w:right="720" w:hanging="324"/>
        <w:spacing w:after="0" w:line="342" w:lineRule="auto"/>
        <w:tabs>
          <w:tab w:leader="none" w:pos="980" w:val="left"/>
        </w:tabs>
        <w:numPr>
          <w:ilvl w:val="1"/>
          <w:numId w:val="46"/>
        </w:numPr>
        <w:rPr>
          <w:rFonts w:ascii="Arial" w:cs="Arial" w:eastAsia="Arial" w:hAnsi="Arial"/>
          <w:sz w:val="16"/>
          <w:szCs w:val="16"/>
          <w:color w:val="auto"/>
        </w:rPr>
      </w:pPr>
      <w:r>
        <w:rPr>
          <w:rFonts w:ascii="Arial" w:cs="Arial" w:eastAsia="Arial" w:hAnsi="Arial"/>
          <w:sz w:val="16"/>
          <w:szCs w:val="16"/>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69" w:lineRule="exact"/>
        <w:rPr>
          <w:rFonts w:ascii="Arial" w:cs="Arial" w:eastAsia="Arial" w:hAnsi="Arial"/>
          <w:sz w:val="16"/>
          <w:szCs w:val="16"/>
          <w:color w:val="auto"/>
        </w:rPr>
      </w:pPr>
    </w:p>
    <w:p>
      <w:pPr>
        <w:ind w:left="980" w:right="260" w:hanging="324"/>
        <w:spacing w:after="0" w:line="264" w:lineRule="auto"/>
        <w:tabs>
          <w:tab w:leader="none" w:pos="980" w:val="left"/>
        </w:tabs>
        <w:numPr>
          <w:ilvl w:val="1"/>
          <w:numId w:val="46"/>
        </w:numPr>
        <w:rPr>
          <w:rFonts w:ascii="Arial" w:cs="Arial" w:eastAsia="Arial" w:hAnsi="Arial"/>
          <w:sz w:val="18"/>
          <w:szCs w:val="18"/>
          <w:color w:val="auto"/>
        </w:rPr>
      </w:pPr>
      <w:r>
        <w:rPr>
          <w:rFonts w:ascii="Arial" w:cs="Arial" w:eastAsia="Arial" w:hAnsi="Arial"/>
          <w:sz w:val="18"/>
          <w:szCs w:val="18"/>
          <w:color w:val="auto"/>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pPr>
        <w:spacing w:after="0" w:line="127" w:lineRule="exact"/>
        <w:rPr>
          <w:rFonts w:ascii="Arial" w:cs="Arial" w:eastAsia="Arial" w:hAnsi="Arial"/>
          <w:sz w:val="18"/>
          <w:szCs w:val="18"/>
          <w:color w:val="auto"/>
        </w:rPr>
      </w:pPr>
    </w:p>
    <w:p>
      <w:pPr>
        <w:ind w:left="340" w:right="500" w:hanging="332"/>
        <w:spacing w:after="0" w:line="308" w:lineRule="auto"/>
        <w:tabs>
          <w:tab w:leader="none" w:pos="340" w:val="left"/>
        </w:tabs>
        <w:numPr>
          <w:ilvl w:val="0"/>
          <w:numId w:val="46"/>
        </w:numPr>
        <w:rPr>
          <w:rFonts w:ascii="Arial" w:cs="Arial" w:eastAsia="Arial" w:hAnsi="Arial"/>
          <w:sz w:val="17"/>
          <w:szCs w:val="17"/>
          <w:color w:val="auto"/>
        </w:rPr>
      </w:pPr>
      <w:r>
        <w:rPr>
          <w:rFonts w:ascii="Arial" w:cs="Arial" w:eastAsia="Arial" w:hAnsi="Arial"/>
          <w:sz w:val="17"/>
          <w:szCs w:val="17"/>
          <w:color w:val="auto"/>
        </w:rPr>
        <w:t>The registrant’s other certifying officer and I have disclosed, based on our most recent evaluation of internal control over financial reporting, to the registrant’s auditors and the audit committee of the registrant’s board of directors (or persons performing the equivalent functions):</w:t>
      </w:r>
    </w:p>
    <w:p>
      <w:pPr>
        <w:spacing w:after="0" w:line="92" w:lineRule="exact"/>
        <w:rPr>
          <w:rFonts w:ascii="Arial" w:cs="Arial" w:eastAsia="Arial" w:hAnsi="Arial"/>
          <w:sz w:val="17"/>
          <w:szCs w:val="17"/>
          <w:color w:val="auto"/>
        </w:rPr>
      </w:pPr>
    </w:p>
    <w:p>
      <w:pPr>
        <w:ind w:left="980" w:right="180" w:hanging="324"/>
        <w:spacing w:after="0" w:line="308" w:lineRule="auto"/>
        <w:tabs>
          <w:tab w:leader="none" w:pos="980" w:val="left"/>
        </w:tabs>
        <w:numPr>
          <w:ilvl w:val="1"/>
          <w:numId w:val="46"/>
        </w:numPr>
        <w:rPr>
          <w:rFonts w:ascii="Arial" w:cs="Arial" w:eastAsia="Arial" w:hAnsi="Arial"/>
          <w:sz w:val="17"/>
          <w:szCs w:val="17"/>
          <w:color w:val="auto"/>
        </w:rPr>
      </w:pPr>
      <w:r>
        <w:rPr>
          <w:rFonts w:ascii="Arial" w:cs="Arial" w:eastAsia="Arial" w:hAnsi="Arial"/>
          <w:sz w:val="17"/>
          <w:szCs w:val="17"/>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92" w:lineRule="exact"/>
        <w:rPr>
          <w:rFonts w:ascii="Arial" w:cs="Arial" w:eastAsia="Arial" w:hAnsi="Arial"/>
          <w:sz w:val="17"/>
          <w:szCs w:val="17"/>
          <w:color w:val="auto"/>
        </w:rPr>
      </w:pPr>
    </w:p>
    <w:p>
      <w:pPr>
        <w:ind w:left="980" w:right="140" w:hanging="324"/>
        <w:spacing w:after="0" w:line="277" w:lineRule="auto"/>
        <w:tabs>
          <w:tab w:leader="none" w:pos="980" w:val="left"/>
        </w:tabs>
        <w:numPr>
          <w:ilvl w:val="1"/>
          <w:numId w:val="46"/>
        </w:numPr>
        <w:rPr>
          <w:rFonts w:ascii="Arial" w:cs="Arial" w:eastAsia="Arial" w:hAnsi="Arial"/>
          <w:sz w:val="18"/>
          <w:szCs w:val="18"/>
          <w:color w:val="auto"/>
        </w:rPr>
      </w:pPr>
      <w:r>
        <w:rPr>
          <w:rFonts w:ascii="Arial" w:cs="Arial" w:eastAsia="Arial" w:hAnsi="Arial"/>
          <w:sz w:val="18"/>
          <w:szCs w:val="18"/>
          <w:color w:val="auto"/>
        </w:rPr>
        <w:t>any fraud, whether or not material, that involves management or other employees who have a significant role in the registrant’s internal control over financial reporting.</w:t>
      </w:r>
    </w:p>
    <w:p>
      <w:pPr>
        <w:spacing w:after="0" w:line="116" w:lineRule="exact"/>
        <w:rPr>
          <w:sz w:val="20"/>
          <w:szCs w:val="20"/>
          <w:color w:val="auto"/>
        </w:rPr>
      </w:pPr>
    </w:p>
    <w:p>
      <w:pPr>
        <w:spacing w:after="0"/>
        <w:rPr>
          <w:sz w:val="20"/>
          <w:szCs w:val="20"/>
          <w:color w:val="auto"/>
        </w:rPr>
      </w:pPr>
      <w:r>
        <w:rPr>
          <w:rFonts w:ascii="Arial" w:cs="Arial" w:eastAsia="Arial" w:hAnsi="Arial"/>
          <w:sz w:val="18"/>
          <w:szCs w:val="18"/>
          <w:color w:val="auto"/>
        </w:rPr>
        <w:t>Date: August 1, 2018</w:t>
      </w:r>
    </w:p>
    <w:p>
      <w:pPr>
        <w:spacing w:after="0" w:line="360" w:lineRule="exact"/>
        <w:rPr>
          <w:sz w:val="20"/>
          <w:szCs w:val="20"/>
          <w:color w:val="auto"/>
        </w:rPr>
      </w:pPr>
    </w:p>
    <w:p>
      <w:pPr>
        <w:ind w:left="1800"/>
        <w:spacing w:after="0"/>
        <w:tabs>
          <w:tab w:leader="none" w:pos="2160" w:val="left"/>
        </w:tabs>
        <w:rPr>
          <w:sz w:val="20"/>
          <w:szCs w:val="20"/>
          <w:color w:val="auto"/>
        </w:rPr>
      </w:pPr>
      <w:r>
        <w:rPr>
          <w:rFonts w:ascii="Arial" w:cs="Arial" w:eastAsia="Arial" w:hAnsi="Arial"/>
          <w:sz w:val="18"/>
          <w:szCs w:val="18"/>
          <w:color w:val="auto"/>
        </w:rPr>
        <w:t>/S/</w:t>
      </w:r>
      <w:r>
        <w:rPr>
          <w:sz w:val="20"/>
          <w:szCs w:val="20"/>
          <w:color w:val="auto"/>
        </w:rPr>
        <w:tab/>
      </w:r>
      <w:r>
        <w:rPr>
          <w:rFonts w:ascii="Arial" w:cs="Arial" w:eastAsia="Arial" w:hAnsi="Arial"/>
          <w:sz w:val="17"/>
          <w:szCs w:val="17"/>
          <w:color w:val="auto"/>
        </w:rPr>
        <w:t>DALE E. MESSICK</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31750</wp:posOffset>
            </wp:positionV>
            <wp:extent cx="3696335" cy="889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3696335" cy="8890"/>
                    </a:xfrm>
                    <a:prstGeom prst="rect">
                      <a:avLst/>
                    </a:prstGeom>
                    <a:noFill/>
                  </pic:spPr>
                </pic:pic>
              </a:graphicData>
            </a:graphic>
          </wp:anchor>
        </w:drawing>
      </w:r>
    </w:p>
    <w:p>
      <w:pPr>
        <w:spacing w:after="0" w:line="53" w:lineRule="exact"/>
        <w:rPr>
          <w:sz w:val="20"/>
          <w:szCs w:val="20"/>
          <w:color w:val="auto"/>
        </w:rPr>
      </w:pPr>
    </w:p>
    <w:p>
      <w:pPr>
        <w:ind w:left="2300"/>
        <w:spacing w:after="0"/>
        <w:rPr>
          <w:sz w:val="20"/>
          <w:szCs w:val="20"/>
          <w:color w:val="auto"/>
        </w:rPr>
      </w:pPr>
      <w:r>
        <w:rPr>
          <w:rFonts w:ascii="Arial" w:cs="Arial" w:eastAsia="Arial" w:hAnsi="Arial"/>
          <w:sz w:val="18"/>
          <w:szCs w:val="18"/>
          <w:b w:val="1"/>
          <w:bCs w:val="1"/>
          <w:color w:val="auto"/>
        </w:rPr>
        <w:t>Dale E. Messick</w:t>
      </w:r>
    </w:p>
    <w:p>
      <w:pPr>
        <w:spacing w:after="0" w:line="63" w:lineRule="exact"/>
        <w:rPr>
          <w:sz w:val="20"/>
          <w:szCs w:val="20"/>
          <w:color w:val="auto"/>
        </w:rPr>
      </w:pPr>
    </w:p>
    <w:p>
      <w:pPr>
        <w:ind w:left="2020"/>
        <w:spacing w:after="0"/>
        <w:rPr>
          <w:sz w:val="20"/>
          <w:szCs w:val="20"/>
          <w:color w:val="auto"/>
        </w:rPr>
      </w:pPr>
      <w:r>
        <w:rPr>
          <w:rFonts w:ascii="Arial" w:cs="Arial" w:eastAsia="Arial" w:hAnsi="Arial"/>
          <w:sz w:val="18"/>
          <w:szCs w:val="18"/>
          <w:b w:val="1"/>
          <w:bCs w:val="1"/>
          <w:color w:val="auto"/>
        </w:rPr>
        <w:t>Chief Financial Officer</w:t>
      </w:r>
    </w:p>
    <w:p>
      <w:pPr>
        <w:spacing w:after="0" w:line="27" w:lineRule="exact"/>
        <w:rPr>
          <w:sz w:val="20"/>
          <w:szCs w:val="20"/>
          <w:color w:val="auto"/>
        </w:rPr>
      </w:pPr>
    </w:p>
    <w:p>
      <w:pPr>
        <w:ind w:left="1880"/>
        <w:spacing w:after="0"/>
        <w:rPr>
          <w:sz w:val="20"/>
          <w:szCs w:val="20"/>
          <w:color w:val="auto"/>
        </w:rPr>
      </w:pPr>
      <w:r>
        <w:rPr>
          <w:rFonts w:ascii="Arial" w:cs="Arial" w:eastAsia="Arial" w:hAnsi="Arial"/>
          <w:sz w:val="18"/>
          <w:szCs w:val="18"/>
          <w:b w:val="1"/>
          <w:bCs w:val="1"/>
          <w:color w:val="auto"/>
        </w:rPr>
        <w:t>(principal financial officer)</w:t>
      </w:r>
    </w:p>
    <w:p>
      <w:pPr>
        <w:sectPr>
          <w:pgSz w:w="11900" w:h="16838" w:orient="portrait"/>
          <w:cols w:equalWidth="0" w:num="1">
            <w:col w:w="11420"/>
          </w:cols>
          <w:pgMar w:left="240" w:top="580" w:right="239" w:bottom="1440" w:gutter="0" w:footer="0" w:header="0"/>
        </w:sectPr>
      </w:pPr>
    </w:p>
    <w:bookmarkStart w:id="69" w:name="page70"/>
    <w:bookmarkEnd w:id="69"/>
    <w:p>
      <w:pPr>
        <w:jc w:val="right"/>
        <w:spacing w:after="0"/>
        <w:rPr>
          <w:sz w:val="20"/>
          <w:szCs w:val="20"/>
          <w:color w:val="auto"/>
        </w:rPr>
      </w:pPr>
      <w:r>
        <w:rPr>
          <w:rFonts w:ascii="Arial" w:cs="Arial" w:eastAsia="Arial" w:hAnsi="Arial"/>
          <w:sz w:val="18"/>
          <w:szCs w:val="18"/>
          <w:b w:val="1"/>
          <w:bCs w:val="1"/>
          <w:color w:val="auto"/>
        </w:rPr>
        <w:t>Exhibit 32.1</w:t>
      </w:r>
    </w:p>
    <w:p>
      <w:pPr>
        <w:spacing w:after="0" w:line="17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 OF PRINCIPAL EXECUTIVE OFFICER PURSUANT TO</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SECTION 906 OF THE SARBANES-OXLEY ACT OF 2002</w:t>
      </w:r>
    </w:p>
    <w:p>
      <w:pPr>
        <w:spacing w:after="0" w:line="157" w:lineRule="exact"/>
        <w:rPr>
          <w:sz w:val="20"/>
          <w:szCs w:val="20"/>
          <w:color w:val="auto"/>
        </w:rPr>
      </w:pPr>
    </w:p>
    <w:p>
      <w:pPr>
        <w:ind w:right="40"/>
        <w:spacing w:after="0" w:line="286" w:lineRule="auto"/>
        <w:rPr>
          <w:sz w:val="20"/>
          <w:szCs w:val="20"/>
          <w:color w:val="auto"/>
        </w:rPr>
      </w:pPr>
      <w:r>
        <w:rPr>
          <w:rFonts w:ascii="Arial" w:cs="Arial" w:eastAsia="Arial" w:hAnsi="Arial"/>
          <w:sz w:val="17"/>
          <w:szCs w:val="17"/>
          <w:color w:val="auto"/>
        </w:rPr>
        <w:t>In connection with the quarterly report of Luna Innovations Incorporated (the “Company”) on Form 10-Q for the quarter ended June 30, 2018 as filed with the Securities and Exchange Commission on the date hereof (the “Report”), I, Scott A. Graeff, President and Chief Executive Officer of the Company, certify, pursuant to 18 U.S.C. § 1350, as adopted pursuant to § 906 of the Sarbanes-Oxley Act of 2002, that to my knowledge:</w:t>
      </w:r>
    </w:p>
    <w:p>
      <w:pPr>
        <w:spacing w:after="0" w:line="111" w:lineRule="exact"/>
        <w:rPr>
          <w:sz w:val="20"/>
          <w:szCs w:val="20"/>
          <w:color w:val="auto"/>
        </w:rPr>
      </w:pPr>
    </w:p>
    <w:p>
      <w:pPr>
        <w:ind w:left="260" w:hanging="252"/>
        <w:spacing w:after="0"/>
        <w:tabs>
          <w:tab w:leader="none" w:pos="260" w:val="left"/>
        </w:tabs>
        <w:numPr>
          <w:ilvl w:val="0"/>
          <w:numId w:val="47"/>
        </w:numPr>
        <w:rPr>
          <w:rFonts w:ascii="Arial" w:cs="Arial" w:eastAsia="Arial" w:hAnsi="Arial"/>
          <w:sz w:val="18"/>
          <w:szCs w:val="18"/>
          <w:color w:val="auto"/>
        </w:rPr>
      </w:pPr>
      <w:r>
        <w:rPr>
          <w:rFonts w:ascii="Arial" w:cs="Arial" w:eastAsia="Arial" w:hAnsi="Arial"/>
          <w:sz w:val="18"/>
          <w:szCs w:val="18"/>
          <w:color w:val="auto"/>
        </w:rPr>
        <w:t>The Report fully complies with the requirements of Section 13(a) or 15(d) of the Securities Exchange Act of 1934; and</w:t>
      </w:r>
    </w:p>
    <w:p>
      <w:pPr>
        <w:spacing w:after="0" w:line="171" w:lineRule="exact"/>
        <w:rPr>
          <w:rFonts w:ascii="Arial" w:cs="Arial" w:eastAsia="Arial" w:hAnsi="Arial"/>
          <w:sz w:val="18"/>
          <w:szCs w:val="18"/>
          <w:color w:val="auto"/>
        </w:rPr>
      </w:pPr>
    </w:p>
    <w:p>
      <w:pPr>
        <w:ind w:left="260" w:hanging="252"/>
        <w:spacing w:after="0"/>
        <w:tabs>
          <w:tab w:leader="none" w:pos="260" w:val="left"/>
        </w:tabs>
        <w:numPr>
          <w:ilvl w:val="0"/>
          <w:numId w:val="47"/>
        </w:numPr>
        <w:rPr>
          <w:rFonts w:ascii="Arial" w:cs="Arial" w:eastAsia="Arial" w:hAnsi="Arial"/>
          <w:sz w:val="17"/>
          <w:szCs w:val="17"/>
          <w:color w:val="auto"/>
        </w:rPr>
      </w:pPr>
      <w:r>
        <w:rPr>
          <w:rFonts w:ascii="Arial" w:cs="Arial" w:eastAsia="Arial" w:hAnsi="Arial"/>
          <w:sz w:val="17"/>
          <w:szCs w:val="17"/>
          <w:color w:val="auto"/>
        </w:rPr>
        <w:t>The information contained in the Report fairly presents, in all material respects, the financial condition and results of operations of the Company.</w:t>
      </w:r>
    </w:p>
    <w:p>
      <w:pPr>
        <w:spacing w:after="0" w:line="183" w:lineRule="exact"/>
        <w:rPr>
          <w:sz w:val="20"/>
          <w:szCs w:val="20"/>
          <w:color w:val="auto"/>
        </w:rPr>
      </w:pPr>
    </w:p>
    <w:p>
      <w:pPr>
        <w:ind w:right="120"/>
        <w:spacing w:after="0" w:line="286" w:lineRule="auto"/>
        <w:rPr>
          <w:sz w:val="20"/>
          <w:szCs w:val="20"/>
          <w:color w:val="auto"/>
        </w:rPr>
      </w:pPr>
      <w:r>
        <w:rPr>
          <w:rFonts w:ascii="Arial" w:cs="Arial" w:eastAsia="Arial" w:hAnsi="Arial"/>
          <w:sz w:val="17"/>
          <w:szCs w:val="17"/>
          <w:color w:val="auto"/>
        </w:rPr>
        <w:t>This certification accompanies this Report to which it relates, shall not be deemed “filed” with the Securities and Exchange Commission and is not to be incorporated by reference into any filing of the Company under the Securities Act of 1933, as amended, or the Securities Exchange Act of 1934, as amended (whether made before or after the date of the Report), irrespective of any general incorporation language contained in such filing.</w:t>
      </w:r>
    </w:p>
    <w:p>
      <w:pPr>
        <w:spacing w:after="0" w:line="301" w:lineRule="exact"/>
        <w:rPr>
          <w:sz w:val="20"/>
          <w:szCs w:val="20"/>
          <w:color w:val="auto"/>
        </w:rPr>
      </w:pPr>
    </w:p>
    <w:p>
      <w:pPr>
        <w:ind w:left="2080"/>
        <w:spacing w:after="0"/>
        <w:tabs>
          <w:tab w:leader="none" w:pos="2420" w:val="left"/>
        </w:tabs>
        <w:rPr>
          <w:sz w:val="20"/>
          <w:szCs w:val="20"/>
          <w:color w:val="auto"/>
        </w:rPr>
      </w:pPr>
      <w:r>
        <w:rPr>
          <w:rFonts w:ascii="Arial" w:cs="Arial" w:eastAsia="Arial" w:hAnsi="Arial"/>
          <w:sz w:val="18"/>
          <w:szCs w:val="18"/>
          <w:color w:val="auto"/>
        </w:rPr>
        <w:t>/s/</w:t>
      </w:r>
      <w:r>
        <w:rPr>
          <w:sz w:val="20"/>
          <w:szCs w:val="20"/>
          <w:color w:val="auto"/>
        </w:rPr>
        <w:tab/>
      </w:r>
      <w:r>
        <w:rPr>
          <w:rFonts w:ascii="Arial" w:cs="Arial" w:eastAsia="Arial" w:hAnsi="Arial"/>
          <w:sz w:val="16"/>
          <w:szCs w:val="16"/>
          <w:color w:val="auto"/>
        </w:rPr>
        <w:t>Scott A. Graeff</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31750</wp:posOffset>
            </wp:positionV>
            <wp:extent cx="3696335" cy="889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3696335" cy="8890"/>
                    </a:xfrm>
                    <a:prstGeom prst="rect">
                      <a:avLst/>
                    </a:prstGeom>
                    <a:noFill/>
                  </pic:spPr>
                </pic:pic>
              </a:graphicData>
            </a:graphic>
          </wp:anchor>
        </w:drawing>
      </w:r>
    </w:p>
    <w:p>
      <w:pPr>
        <w:spacing w:after="0" w:line="53" w:lineRule="exact"/>
        <w:rPr>
          <w:sz w:val="20"/>
          <w:szCs w:val="20"/>
          <w:color w:val="auto"/>
        </w:rPr>
      </w:pPr>
    </w:p>
    <w:p>
      <w:pPr>
        <w:ind w:left="2340"/>
        <w:spacing w:after="0"/>
        <w:rPr>
          <w:sz w:val="20"/>
          <w:szCs w:val="20"/>
          <w:color w:val="auto"/>
        </w:rPr>
      </w:pPr>
      <w:r>
        <w:rPr>
          <w:rFonts w:ascii="Arial" w:cs="Arial" w:eastAsia="Arial" w:hAnsi="Arial"/>
          <w:sz w:val="18"/>
          <w:szCs w:val="18"/>
          <w:b w:val="1"/>
          <w:bCs w:val="1"/>
          <w:color w:val="auto"/>
        </w:rPr>
        <w:t>Scott A. Graeff</w:t>
      </w:r>
    </w:p>
    <w:p>
      <w:pPr>
        <w:spacing w:after="0" w:line="63" w:lineRule="exact"/>
        <w:rPr>
          <w:sz w:val="20"/>
          <w:szCs w:val="20"/>
          <w:color w:val="auto"/>
        </w:rPr>
      </w:pPr>
    </w:p>
    <w:p>
      <w:pPr>
        <w:ind w:left="1460"/>
        <w:spacing w:after="0"/>
        <w:rPr>
          <w:sz w:val="20"/>
          <w:szCs w:val="20"/>
          <w:color w:val="auto"/>
        </w:rPr>
      </w:pPr>
      <w:r>
        <w:rPr>
          <w:rFonts w:ascii="Arial" w:cs="Arial" w:eastAsia="Arial" w:hAnsi="Arial"/>
          <w:sz w:val="18"/>
          <w:szCs w:val="18"/>
          <w:b w:val="1"/>
          <w:bCs w:val="1"/>
          <w:color w:val="auto"/>
        </w:rPr>
        <w:t>President and Chief Executive Officer</w:t>
      </w:r>
    </w:p>
    <w:p>
      <w:pPr>
        <w:spacing w:after="0" w:line="27" w:lineRule="exact"/>
        <w:rPr>
          <w:sz w:val="20"/>
          <w:szCs w:val="20"/>
          <w:color w:val="auto"/>
        </w:rPr>
      </w:pPr>
    </w:p>
    <w:p>
      <w:pPr>
        <w:ind w:left="1860"/>
        <w:spacing w:after="0"/>
        <w:rPr>
          <w:sz w:val="20"/>
          <w:szCs w:val="20"/>
          <w:color w:val="auto"/>
        </w:rPr>
      </w:pPr>
      <w:r>
        <w:rPr>
          <w:rFonts w:ascii="Arial" w:cs="Arial" w:eastAsia="Arial" w:hAnsi="Arial"/>
          <w:sz w:val="18"/>
          <w:szCs w:val="18"/>
          <w:b w:val="1"/>
          <w:bCs w:val="1"/>
          <w:color w:val="auto"/>
        </w:rPr>
        <w:t>(principal executive officer)</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color w:val="auto"/>
        </w:rPr>
        <w:t>August 1, 2018</w:t>
      </w:r>
    </w:p>
    <w:p>
      <w:pPr>
        <w:sectPr>
          <w:pgSz w:w="11900" w:h="16838" w:orient="portrait"/>
          <w:cols w:equalWidth="0" w:num="1">
            <w:col w:w="11420"/>
          </w:cols>
          <w:pgMar w:left="240" w:top="580" w:right="239" w:bottom="1440" w:gutter="0" w:footer="0" w:header="0"/>
        </w:sectPr>
      </w:pPr>
    </w:p>
    <w:bookmarkStart w:id="70" w:name="page71"/>
    <w:bookmarkEnd w:id="70"/>
    <w:p>
      <w:pPr>
        <w:jc w:val="right"/>
        <w:spacing w:after="0"/>
        <w:rPr>
          <w:sz w:val="20"/>
          <w:szCs w:val="20"/>
          <w:color w:val="auto"/>
        </w:rPr>
      </w:pPr>
      <w:r>
        <w:rPr>
          <w:rFonts w:ascii="Arial" w:cs="Arial" w:eastAsia="Arial" w:hAnsi="Arial"/>
          <w:sz w:val="18"/>
          <w:szCs w:val="18"/>
          <w:b w:val="1"/>
          <w:bCs w:val="1"/>
          <w:color w:val="auto"/>
        </w:rPr>
        <w:t>Exhibit 32.2</w:t>
      </w:r>
    </w:p>
    <w:p>
      <w:pPr>
        <w:spacing w:after="0" w:line="17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 OF PRINCIPAL FINANCIAL OFFICER PURSUANT TO</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SECTION 906 OF THE SARBANES-OXLEY ACT OF 2002</w:t>
      </w:r>
    </w:p>
    <w:p>
      <w:pPr>
        <w:spacing w:after="0" w:line="157" w:lineRule="exact"/>
        <w:rPr>
          <w:sz w:val="20"/>
          <w:szCs w:val="20"/>
          <w:color w:val="auto"/>
        </w:rPr>
      </w:pPr>
    </w:p>
    <w:p>
      <w:pPr>
        <w:ind w:right="180"/>
        <w:spacing w:after="0" w:line="264" w:lineRule="auto"/>
        <w:rPr>
          <w:sz w:val="20"/>
          <w:szCs w:val="20"/>
          <w:color w:val="auto"/>
        </w:rPr>
      </w:pPr>
      <w:r>
        <w:rPr>
          <w:rFonts w:ascii="Arial" w:cs="Arial" w:eastAsia="Arial" w:hAnsi="Arial"/>
          <w:sz w:val="18"/>
          <w:szCs w:val="18"/>
          <w:color w:val="auto"/>
        </w:rPr>
        <w:t>In connection with the quarterly report of Luna Innovations Incorporated (the “Company”) on Form 10-Q for the quarter ended June 30, 2018 as filed with the Securities and Exchange Commission on the date hereof (the “Report”), I, Dale E. Messick, Chief Financial Officer of the Company, certify, pursuant to 18 U.S.C. § 1350, as adopted pursuant to § 906 of the Sarbanes-Oxley Act of 2002, that to my knowledge:</w:t>
      </w:r>
    </w:p>
    <w:p>
      <w:pPr>
        <w:spacing w:after="0" w:line="127" w:lineRule="exact"/>
        <w:rPr>
          <w:sz w:val="20"/>
          <w:szCs w:val="20"/>
          <w:color w:val="auto"/>
        </w:rPr>
      </w:pPr>
    </w:p>
    <w:p>
      <w:pPr>
        <w:ind w:left="260" w:hanging="252"/>
        <w:spacing w:after="0"/>
        <w:tabs>
          <w:tab w:leader="none" w:pos="260" w:val="left"/>
        </w:tabs>
        <w:numPr>
          <w:ilvl w:val="0"/>
          <w:numId w:val="48"/>
        </w:numPr>
        <w:rPr>
          <w:rFonts w:ascii="Arial" w:cs="Arial" w:eastAsia="Arial" w:hAnsi="Arial"/>
          <w:sz w:val="18"/>
          <w:szCs w:val="18"/>
          <w:color w:val="auto"/>
        </w:rPr>
      </w:pPr>
      <w:r>
        <w:rPr>
          <w:rFonts w:ascii="Arial" w:cs="Arial" w:eastAsia="Arial" w:hAnsi="Arial"/>
          <w:sz w:val="18"/>
          <w:szCs w:val="18"/>
          <w:color w:val="auto"/>
        </w:rPr>
        <w:t>The Report fully complies with the requirements of Section 13(a) or 15(d) of the Securities Exchange Act of 1934; and</w:t>
      </w:r>
    </w:p>
    <w:p>
      <w:pPr>
        <w:spacing w:after="0" w:line="171" w:lineRule="exact"/>
        <w:rPr>
          <w:rFonts w:ascii="Arial" w:cs="Arial" w:eastAsia="Arial" w:hAnsi="Arial"/>
          <w:sz w:val="18"/>
          <w:szCs w:val="18"/>
          <w:color w:val="auto"/>
        </w:rPr>
      </w:pPr>
    </w:p>
    <w:p>
      <w:pPr>
        <w:ind w:left="260" w:hanging="252"/>
        <w:spacing w:after="0"/>
        <w:tabs>
          <w:tab w:leader="none" w:pos="260" w:val="left"/>
        </w:tabs>
        <w:numPr>
          <w:ilvl w:val="0"/>
          <w:numId w:val="48"/>
        </w:numPr>
        <w:rPr>
          <w:rFonts w:ascii="Arial" w:cs="Arial" w:eastAsia="Arial" w:hAnsi="Arial"/>
          <w:sz w:val="17"/>
          <w:szCs w:val="17"/>
          <w:color w:val="auto"/>
        </w:rPr>
      </w:pPr>
      <w:r>
        <w:rPr>
          <w:rFonts w:ascii="Arial" w:cs="Arial" w:eastAsia="Arial" w:hAnsi="Arial"/>
          <w:sz w:val="17"/>
          <w:szCs w:val="17"/>
          <w:color w:val="auto"/>
        </w:rPr>
        <w:t>The information contained in the Report fairly presents, in all material respects, the financial condition and results of operations of the Company.</w:t>
      </w:r>
    </w:p>
    <w:p>
      <w:pPr>
        <w:spacing w:after="0" w:line="183" w:lineRule="exact"/>
        <w:rPr>
          <w:sz w:val="20"/>
          <w:szCs w:val="20"/>
          <w:color w:val="auto"/>
        </w:rPr>
      </w:pPr>
    </w:p>
    <w:p>
      <w:pPr>
        <w:ind w:right="120"/>
        <w:spacing w:after="0" w:line="286" w:lineRule="auto"/>
        <w:rPr>
          <w:sz w:val="20"/>
          <w:szCs w:val="20"/>
          <w:color w:val="auto"/>
        </w:rPr>
      </w:pPr>
      <w:r>
        <w:rPr>
          <w:rFonts w:ascii="Arial" w:cs="Arial" w:eastAsia="Arial" w:hAnsi="Arial"/>
          <w:sz w:val="17"/>
          <w:szCs w:val="17"/>
          <w:color w:val="auto"/>
        </w:rPr>
        <w:t>This certification accompanies this Report to which it relates, shall not be deemed “filed” with the Securities and Exchange Commission and is not to be incorporated by reference into any filing of the Company under the Securities Act of 1933, as amended, or the Securities Exchange Act of 1934, as amended (whether made before or after the date of the Report), irrespective of any general incorporation language contained in such filing.</w:t>
      </w:r>
    </w:p>
    <w:p>
      <w:pPr>
        <w:spacing w:after="0" w:line="301" w:lineRule="exact"/>
        <w:rPr>
          <w:sz w:val="20"/>
          <w:szCs w:val="20"/>
          <w:color w:val="auto"/>
        </w:rPr>
      </w:pPr>
    </w:p>
    <w:p>
      <w:pPr>
        <w:ind w:left="1800"/>
        <w:spacing w:after="0"/>
        <w:tabs>
          <w:tab w:leader="none" w:pos="2160" w:val="left"/>
        </w:tabs>
        <w:rPr>
          <w:sz w:val="20"/>
          <w:szCs w:val="20"/>
          <w:color w:val="auto"/>
        </w:rPr>
      </w:pPr>
      <w:r>
        <w:rPr>
          <w:rFonts w:ascii="Arial" w:cs="Arial" w:eastAsia="Arial" w:hAnsi="Arial"/>
          <w:sz w:val="18"/>
          <w:szCs w:val="18"/>
          <w:color w:val="auto"/>
        </w:rPr>
        <w:t>/S/</w:t>
      </w:r>
      <w:r>
        <w:rPr>
          <w:sz w:val="20"/>
          <w:szCs w:val="20"/>
          <w:color w:val="auto"/>
        </w:rPr>
        <w:tab/>
      </w:r>
      <w:r>
        <w:rPr>
          <w:rFonts w:ascii="Arial" w:cs="Arial" w:eastAsia="Arial" w:hAnsi="Arial"/>
          <w:sz w:val="17"/>
          <w:szCs w:val="17"/>
          <w:color w:val="auto"/>
        </w:rPr>
        <w:t>DALE E. MESSICK</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31750</wp:posOffset>
            </wp:positionV>
            <wp:extent cx="3696335" cy="889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extLst>
                    </a:blip>
                    <a:srcRect/>
                    <a:stretch>
                      <a:fillRect/>
                    </a:stretch>
                  </pic:blipFill>
                  <pic:spPr bwMode="auto">
                    <a:xfrm>
                      <a:off x="0" y="0"/>
                      <a:ext cx="3696335" cy="8890"/>
                    </a:xfrm>
                    <a:prstGeom prst="rect">
                      <a:avLst/>
                    </a:prstGeom>
                    <a:noFill/>
                  </pic:spPr>
                </pic:pic>
              </a:graphicData>
            </a:graphic>
          </wp:anchor>
        </w:drawing>
      </w:r>
    </w:p>
    <w:p>
      <w:pPr>
        <w:spacing w:after="0" w:line="53" w:lineRule="exact"/>
        <w:rPr>
          <w:sz w:val="20"/>
          <w:szCs w:val="20"/>
          <w:color w:val="auto"/>
        </w:rPr>
      </w:pPr>
    </w:p>
    <w:p>
      <w:pPr>
        <w:ind w:left="2300"/>
        <w:spacing w:after="0"/>
        <w:rPr>
          <w:sz w:val="20"/>
          <w:szCs w:val="20"/>
          <w:color w:val="auto"/>
        </w:rPr>
      </w:pPr>
      <w:r>
        <w:rPr>
          <w:rFonts w:ascii="Arial" w:cs="Arial" w:eastAsia="Arial" w:hAnsi="Arial"/>
          <w:sz w:val="18"/>
          <w:szCs w:val="18"/>
          <w:b w:val="1"/>
          <w:bCs w:val="1"/>
          <w:color w:val="auto"/>
        </w:rPr>
        <w:t>Dale E. Messick</w:t>
      </w:r>
    </w:p>
    <w:p>
      <w:pPr>
        <w:spacing w:after="0" w:line="63" w:lineRule="exact"/>
        <w:rPr>
          <w:sz w:val="20"/>
          <w:szCs w:val="20"/>
          <w:color w:val="auto"/>
        </w:rPr>
      </w:pPr>
    </w:p>
    <w:p>
      <w:pPr>
        <w:ind w:left="2020"/>
        <w:spacing w:after="0"/>
        <w:rPr>
          <w:sz w:val="20"/>
          <w:szCs w:val="20"/>
          <w:color w:val="auto"/>
        </w:rPr>
      </w:pPr>
      <w:r>
        <w:rPr>
          <w:rFonts w:ascii="Arial" w:cs="Arial" w:eastAsia="Arial" w:hAnsi="Arial"/>
          <w:sz w:val="18"/>
          <w:szCs w:val="18"/>
          <w:b w:val="1"/>
          <w:bCs w:val="1"/>
          <w:color w:val="auto"/>
        </w:rPr>
        <w:t>Chief Financial Officer</w:t>
      </w:r>
    </w:p>
    <w:p>
      <w:pPr>
        <w:spacing w:after="0" w:line="27" w:lineRule="exact"/>
        <w:rPr>
          <w:sz w:val="20"/>
          <w:szCs w:val="20"/>
          <w:color w:val="auto"/>
        </w:rPr>
      </w:pPr>
    </w:p>
    <w:p>
      <w:pPr>
        <w:ind w:left="1880"/>
        <w:spacing w:after="0"/>
        <w:rPr>
          <w:sz w:val="20"/>
          <w:szCs w:val="20"/>
          <w:color w:val="auto"/>
        </w:rPr>
      </w:pPr>
      <w:r>
        <w:rPr>
          <w:rFonts w:ascii="Arial" w:cs="Arial" w:eastAsia="Arial" w:hAnsi="Arial"/>
          <w:sz w:val="18"/>
          <w:szCs w:val="18"/>
          <w:b w:val="1"/>
          <w:bCs w:val="1"/>
          <w:color w:val="auto"/>
        </w:rPr>
        <w:t>(principal financial officer)</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color w:val="auto"/>
        </w:rPr>
        <w:t>August 1, 2018</w:t>
      </w:r>
    </w:p>
    <w:sectPr>
      <w:pgSz w:w="11900" w:h="16838" w:orient="portrait"/>
      <w:cols w:equalWidth="0" w:num="1">
        <w:col w:w="11420"/>
      </w:cols>
      <w:pgMar w:left="240" w:top="580" w:right="2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8EDBDAB"/>
    <w:multiLevelType w:val="hybridMultilevel"/>
    <w:lvl w:ilvl="0">
      <w:lvlJc w:val="left"/>
      <w:lvlText w:val="☒"/>
      <w:numFmt w:val="bullet"/>
      <w:start w:val="1"/>
    </w:lvl>
  </w:abstractNum>
  <w:abstractNum w:abstractNumId="1">
    <w:nsid w:val="79838CB2"/>
    <w:multiLevelType w:val="hybridMultilevel"/>
    <w:lvl w:ilvl="0">
      <w:lvlJc w:val="left"/>
      <w:lvlText w:val="☐"/>
      <w:numFmt w:val="bullet"/>
      <w:start w:val="1"/>
    </w:lvl>
  </w:abstractNum>
  <w:abstractNum w:abstractNumId="2">
    <w:nsid w:val="4353D0CD"/>
    <w:multiLevelType w:val="hybridMultilevel"/>
    <w:lvl w:ilvl="0">
      <w:lvlJc w:val="left"/>
      <w:lvlText w:val="%1."/>
      <w:numFmt w:val="decimal"/>
      <w:start w:val="1"/>
    </w:lvl>
  </w:abstractNum>
  <w:abstractNum w:abstractNumId="3">
    <w:nsid w:val="B03E0C6"/>
    <w:multiLevelType w:val="hybridMultilevel"/>
    <w:lvl w:ilvl="0">
      <w:lvlJc w:val="left"/>
      <w:lvlText w:val="•"/>
      <w:numFmt w:val="bullet"/>
      <w:start w:val="1"/>
    </w:lvl>
  </w:abstractNum>
  <w:abstractNum w:abstractNumId="4">
    <w:nsid w:val="189A769B"/>
    <w:multiLevelType w:val="hybridMultilevel"/>
    <w:lvl w:ilvl="0">
      <w:lvlJc w:val="left"/>
      <w:lvlText w:val="$"/>
      <w:numFmt w:val="bullet"/>
      <w:start w:val="1"/>
    </w:lvl>
  </w:abstractNum>
  <w:abstractNum w:abstractNumId="5">
    <w:nsid w:val="54E49EB4"/>
    <w:multiLevelType w:val="hybridMultilevel"/>
    <w:lvl w:ilvl="0">
      <w:lvlJc w:val="left"/>
      <w:lvlText w:val="$"/>
      <w:numFmt w:val="bullet"/>
      <w:start w:val="1"/>
    </w:lvl>
  </w:abstractNum>
  <w:abstractNum w:abstractNumId="6">
    <w:nsid w:val="71F32454"/>
    <w:multiLevelType w:val="hybridMultilevel"/>
    <w:lvl w:ilvl="0">
      <w:lvlJc w:val="left"/>
      <w:lvlText w:val="%1."/>
      <w:numFmt w:val="decimal"/>
      <w:start w:val="3"/>
    </w:lvl>
  </w:abstractNum>
  <w:abstractNum w:abstractNumId="7">
    <w:nsid w:val="2CA88611"/>
    <w:multiLevelType w:val="hybridMultilevel"/>
    <w:lvl w:ilvl="0">
      <w:lvlJc w:val="left"/>
      <w:lvlText w:val="%1."/>
      <w:numFmt w:val="decimal"/>
      <w:start w:val="4"/>
    </w:lvl>
  </w:abstractNum>
  <w:abstractNum w:abstractNumId="8">
    <w:nsid w:val="836C40E"/>
    <w:multiLevelType w:val="hybridMultilevel"/>
    <w:lvl w:ilvl="0">
      <w:lvlJc w:val="left"/>
      <w:lvlText w:val="%1."/>
      <w:numFmt w:val="decimal"/>
      <w:start w:val="6"/>
    </w:lvl>
  </w:abstractNum>
  <w:abstractNum w:abstractNumId="9">
    <w:nsid w:val="2901D82"/>
    <w:multiLevelType w:val="hybridMultilevel"/>
    <w:lvl w:ilvl="0">
      <w:lvlJc w:val="left"/>
      <w:lvlText w:val="%1."/>
      <w:numFmt w:val="decimal"/>
      <w:start w:val="7"/>
    </w:lvl>
  </w:abstractNum>
  <w:abstractNum w:abstractNumId="10">
    <w:nsid w:val="3A95F874"/>
    <w:multiLevelType w:val="hybridMultilevel"/>
    <w:lvl w:ilvl="0">
      <w:lvlJc w:val="left"/>
      <w:lvlText w:val="(%1)"/>
      <w:numFmt w:val="decimal"/>
      <w:start w:val="1"/>
    </w:lvl>
  </w:abstractNum>
  <w:abstractNum w:abstractNumId="11">
    <w:nsid w:val="8138641"/>
    <w:multiLevelType w:val="hybridMultilevel"/>
    <w:lvl w:ilvl="0">
      <w:lvlJc w:val="left"/>
      <w:lvlText w:val="(%1)"/>
      <w:numFmt w:val="decimal"/>
      <w:start w:val="1"/>
    </w:lvl>
  </w:abstractNum>
  <w:abstractNum w:abstractNumId="12">
    <w:nsid w:val="1E7FF521"/>
    <w:multiLevelType w:val="hybridMultilevel"/>
    <w:lvl w:ilvl="0">
      <w:lvlJc w:val="left"/>
      <w:lvlText w:val="%1."/>
      <w:numFmt w:val="decimal"/>
      <w:start w:val="8"/>
    </w:lvl>
  </w:abstractNum>
  <w:abstractNum w:abstractNumId="13">
    <w:nsid w:val="7C3DBD3D"/>
    <w:multiLevelType w:val="hybridMultilevel"/>
    <w:lvl w:ilvl="0">
      <w:lvlJc w:val="left"/>
      <w:lvlText w:val="%1."/>
      <w:numFmt w:val="decimal"/>
      <w:start w:val="9"/>
    </w:lvl>
  </w:abstractNum>
  <w:abstractNum w:abstractNumId="14">
    <w:nsid w:val="737B8DDC"/>
    <w:multiLevelType w:val="hybridMultilevel"/>
    <w:lvl w:ilvl="0">
      <w:lvlJc w:val="left"/>
      <w:lvlText w:val="%1."/>
      <w:numFmt w:val="decimal"/>
      <w:start w:val="10"/>
    </w:lvl>
  </w:abstractNum>
  <w:abstractNum w:abstractNumId="15">
    <w:nsid w:val="6CEAF087"/>
    <w:multiLevelType w:val="hybridMultilevel"/>
    <w:lvl w:ilvl="0">
      <w:lvlJc w:val="left"/>
      <w:lvlText w:val="%1."/>
      <w:numFmt w:val="decimal"/>
      <w:start w:val="11"/>
    </w:lvl>
  </w:abstractNum>
  <w:abstractNum w:abstractNumId="16">
    <w:nsid w:val="22221A70"/>
    <w:multiLevelType w:val="hybridMultilevel"/>
    <w:lvl w:ilvl="0">
      <w:lvlJc w:val="left"/>
      <w:lvlText w:val="•"/>
      <w:numFmt w:val="bullet"/>
      <w:start w:val="1"/>
    </w:lvl>
  </w:abstractNum>
  <w:abstractNum w:abstractNumId="17">
    <w:nsid w:val="4516DDE9"/>
    <w:multiLevelType w:val="hybridMultilevel"/>
    <w:lvl w:ilvl="0">
      <w:lvlJc w:val="left"/>
      <w:lvlText w:val="•"/>
      <w:numFmt w:val="bullet"/>
      <w:start w:val="1"/>
    </w:lvl>
  </w:abstractNum>
  <w:abstractNum w:abstractNumId="18">
    <w:nsid w:val="3006C83E"/>
    <w:multiLevelType w:val="hybridMultilevel"/>
    <w:lvl w:ilvl="0">
      <w:lvlJc w:val="left"/>
      <w:lvlText w:val="•"/>
      <w:numFmt w:val="bullet"/>
      <w:start w:val="1"/>
    </w:lvl>
  </w:abstractNum>
  <w:abstractNum w:abstractNumId="19">
    <w:nsid w:val="614FD4A1"/>
    <w:multiLevelType w:val="hybridMultilevel"/>
    <w:lvl w:ilvl="0">
      <w:lvlJc w:val="left"/>
      <w:lvlText w:val="•"/>
      <w:numFmt w:val="bullet"/>
      <w:start w:val="1"/>
    </w:lvl>
  </w:abstractNum>
  <w:abstractNum w:abstractNumId="20">
    <w:nsid w:val="419AC241"/>
    <w:multiLevelType w:val="hybridMultilevel"/>
    <w:lvl w:ilvl="0">
      <w:lvlJc w:val="left"/>
      <w:lvlText w:val="•"/>
      <w:numFmt w:val="bullet"/>
      <w:start w:val="1"/>
    </w:lvl>
  </w:abstractNum>
  <w:abstractNum w:abstractNumId="21">
    <w:nsid w:val="5577F8E1"/>
    <w:multiLevelType w:val="hybridMultilevel"/>
    <w:lvl w:ilvl="0">
      <w:lvlJc w:val="left"/>
      <w:lvlText w:val="•"/>
      <w:numFmt w:val="bullet"/>
      <w:start w:val="1"/>
    </w:lvl>
  </w:abstractNum>
  <w:abstractNum w:abstractNumId="22">
    <w:nsid w:val="440BADFC"/>
    <w:multiLevelType w:val="hybridMultilevel"/>
    <w:lvl w:ilvl="0">
      <w:lvlJc w:val="left"/>
      <w:lvlText w:val="(%1)"/>
      <w:numFmt w:val="lowerLetter"/>
      <w:start w:val="2"/>
    </w:lvl>
  </w:abstractNum>
  <w:abstractNum w:abstractNumId="23">
    <w:nsid w:val="5072367"/>
    <w:multiLevelType w:val="hybridMultilevel"/>
    <w:lvl w:ilvl="0">
      <w:lvlJc w:val="left"/>
      <w:lvlText w:val="(%1)"/>
      <w:numFmt w:val="decimal"/>
      <w:start w:val="1"/>
    </w:lvl>
  </w:abstractNum>
  <w:abstractNum w:abstractNumId="24">
    <w:nsid w:val="3804823E"/>
    <w:multiLevelType w:val="hybridMultilevel"/>
    <w:lvl w:ilvl="0">
      <w:lvlJc w:val="left"/>
      <w:lvlText w:val="•"/>
      <w:numFmt w:val="bullet"/>
      <w:start w:val="1"/>
    </w:lvl>
  </w:abstractNum>
  <w:abstractNum w:abstractNumId="25">
    <w:nsid w:val="77465F01"/>
    <w:multiLevelType w:val="hybridMultilevel"/>
    <w:lvl w:ilvl="0">
      <w:lvlJc w:val="left"/>
      <w:lvlText w:val="%1"/>
      <w:numFmt w:val="decimal"/>
      <w:start w:val="101"/>
    </w:lvl>
  </w:abstractNum>
  <w:abstractNum w:abstractNumId="26">
    <w:nsid w:val="7724C67E"/>
    <w:multiLevelType w:val="hybridMultilevel"/>
    <w:lvl w:ilvl="0">
      <w:lvlJc w:val="left"/>
      <w:lvlText w:val="+"/>
      <w:numFmt w:val="bullet"/>
      <w:start w:val="1"/>
    </w:lvl>
  </w:abstractNum>
  <w:abstractNum w:abstractNumId="27">
    <w:nsid w:val="5C482A97"/>
    <w:multiLevelType w:val="hybridMultilevel"/>
    <w:lvl w:ilvl="0">
      <w:lvlJc w:val="left"/>
      <w:lvlText w:val="*"/>
      <w:numFmt w:val="bullet"/>
      <w:start w:val="1"/>
    </w:lvl>
  </w:abstractNum>
  <w:abstractNum w:abstractNumId="28">
    <w:nsid w:val="2463B9EA"/>
    <w:multiLevelType w:val="hybridMultilevel"/>
    <w:lvl w:ilvl="0">
      <w:lvlJc w:val="left"/>
      <w:lvlText w:val="%1."/>
      <w:numFmt w:val="decimal"/>
      <w:start w:val="1"/>
    </w:lvl>
  </w:abstractNum>
  <w:abstractNum w:abstractNumId="29">
    <w:nsid w:val="5E884ADC"/>
    <w:multiLevelType w:val="hybridMultilevel"/>
    <w:lvl w:ilvl="0">
      <w:lvlJc w:val="left"/>
      <w:lvlText w:val="%1."/>
      <w:numFmt w:val="decimal"/>
      <w:start w:val="2"/>
    </w:lvl>
  </w:abstractNum>
  <w:abstractNum w:abstractNumId="30">
    <w:nsid w:val="51EAD36B"/>
    <w:multiLevelType w:val="hybridMultilevel"/>
    <w:lvl w:ilvl="0">
      <w:lvlJc w:val="left"/>
      <w:lvlText w:val="(%1)"/>
      <w:numFmt w:val="lowerLetter"/>
      <w:start w:val="1"/>
    </w:lvl>
  </w:abstractNum>
  <w:abstractNum w:abstractNumId="31">
    <w:nsid w:val="2D517796"/>
    <w:multiLevelType w:val="hybridMultilevel"/>
    <w:lvl w:ilvl="0">
      <w:lvlJc w:val="left"/>
      <w:lvlText w:val="(%1)"/>
      <w:numFmt w:val="lowerLetter"/>
      <w:start w:val="1"/>
    </w:lvl>
  </w:abstractNum>
  <w:abstractNum w:abstractNumId="32">
    <w:nsid w:val="580BD78F"/>
    <w:multiLevelType w:val="hybridMultilevel"/>
    <w:lvl w:ilvl="0">
      <w:lvlJc w:val="left"/>
      <w:lvlText w:val="%1."/>
      <w:numFmt w:val="decimal"/>
      <w:start w:val="3"/>
    </w:lvl>
  </w:abstractNum>
  <w:abstractNum w:abstractNumId="33">
    <w:nsid w:val="153EA438"/>
    <w:multiLevelType w:val="hybridMultilevel"/>
    <w:lvl w:ilvl="0">
      <w:lvlJc w:val="left"/>
      <w:lvlText w:val="%1."/>
      <w:numFmt w:val="decimal"/>
      <w:start w:val="6"/>
    </w:lvl>
  </w:abstractNum>
  <w:abstractNum w:abstractNumId="34">
    <w:nsid w:val="3855585C"/>
    <w:multiLevelType w:val="hybridMultilevel"/>
    <w:lvl w:ilvl="0">
      <w:lvlJc w:val="left"/>
      <w:lvlText w:val="%1"/>
      <w:numFmt w:val="decimal"/>
      <w:start w:val="1"/>
    </w:lvl>
    <w:lvl w:ilvl="1">
      <w:lvlJc w:val="left"/>
      <w:lvlText w:val="(%2)"/>
      <w:numFmt w:val="lowerLetter"/>
      <w:start w:val="1"/>
    </w:lvl>
    <w:lvl w:ilvl="2">
      <w:lvlJc w:val="left"/>
      <w:lvlText w:val="(%3)"/>
      <w:numFmt w:val="lowerRoman"/>
      <w:start w:val="1"/>
    </w:lvl>
  </w:abstractNum>
  <w:abstractNum w:abstractNumId="35">
    <w:nsid w:val="70A64E2A"/>
    <w:multiLevelType w:val="hybridMultilevel"/>
    <w:lvl w:ilvl="0">
      <w:lvlJc w:val="left"/>
      <w:lvlText w:val="(%1)"/>
      <w:numFmt w:val="decimal"/>
      <w:start w:val="1"/>
    </w:lvl>
    <w:lvl w:ilvl="1">
      <w:lvlJc w:val="left"/>
      <w:lvlText w:val="%2"/>
      <w:numFmt w:val="lowerLetter"/>
      <w:start w:val="1"/>
    </w:lvl>
    <w:lvl w:ilvl="2">
      <w:lvlJc w:val="left"/>
      <w:lvlText w:val="%3"/>
      <w:numFmt w:val="lowerRoman"/>
      <w:start w:val="1"/>
    </w:lvl>
  </w:abstractNum>
  <w:abstractNum w:abstractNumId="36">
    <w:nsid w:val="6A2342EC"/>
    <w:multiLevelType w:val="hybridMultilevel"/>
    <w:lvl w:ilvl="0">
      <w:lvlJc w:val="left"/>
      <w:lvlText w:val="%1"/>
      <w:numFmt w:val="lowerLetter"/>
      <w:start w:val="1"/>
    </w:lvl>
    <w:lvl w:ilvl="1">
      <w:lvlJc w:val="left"/>
      <w:lvlText w:val="(%2)"/>
      <w:numFmt w:val="lowerRoman"/>
      <w:start w:val="3"/>
    </w:lvl>
  </w:abstractNum>
  <w:abstractNum w:abstractNumId="37">
    <w:nsid w:val="2A487CB0"/>
    <w:multiLevelType w:val="hybridMultilevel"/>
    <w:lvl w:ilvl="0">
      <w:lvlJc w:val="left"/>
      <w:lvlText w:val="(%1)"/>
      <w:numFmt w:val="lowerLetter"/>
      <w:start w:val="2"/>
    </w:lvl>
    <w:lvl w:ilvl="1">
      <w:lvlJc w:val="left"/>
      <w:lvlText w:val="%2"/>
      <w:numFmt w:val="lowerRoman"/>
      <w:start w:val="1"/>
    </w:lvl>
  </w:abstractNum>
  <w:abstractNum w:abstractNumId="38">
    <w:nsid w:val="1D4ED43B"/>
    <w:multiLevelType w:val="hybridMultilevel"/>
    <w:lvl w:ilvl="0">
      <w:lvlJc w:val="left"/>
      <w:lvlText w:val="(%1)"/>
      <w:numFmt w:val="lowerLetter"/>
      <w:start w:val="6"/>
    </w:lvl>
  </w:abstractNum>
  <w:abstractNum w:abstractNumId="39">
    <w:nsid w:val="725A06FB"/>
    <w:multiLevelType w:val="hybridMultilevel"/>
    <w:lvl w:ilvl="0">
      <w:lvlJc w:val="left"/>
      <w:lvlText w:val="%1"/>
      <w:numFmt w:val="upperLetter"/>
      <w:start w:val="1"/>
    </w:lvl>
    <w:lvl w:ilvl="1">
      <w:lvlJc w:val="left"/>
      <w:lvlText w:val="(%2)"/>
      <w:numFmt w:val="lowerLetter"/>
      <w:start w:val="1"/>
    </w:lvl>
    <w:lvl w:ilvl="2">
      <w:lvlJc w:val="left"/>
      <w:lvlText w:val="(%3)"/>
      <w:numFmt w:val="lowerLetter"/>
      <w:start w:val="9"/>
    </w:lvl>
  </w:abstractNum>
  <w:abstractNum w:abstractNumId="40">
    <w:nsid w:val="2CD89A32"/>
    <w:multiLevelType w:val="hybridMultilevel"/>
    <w:lvl w:ilvl="0">
      <w:lvlJc w:val="left"/>
      <w:lvlText w:val="(%1)"/>
      <w:numFmt w:val="upperLetter"/>
      <w:start w:val="2"/>
    </w:lvl>
    <w:lvl w:ilvl="1">
      <w:lvlJc w:val="left"/>
      <w:lvlText w:val="(%2)"/>
      <w:numFmt w:val="lowerLetter"/>
      <w:start w:val="1"/>
    </w:lvl>
    <w:lvl w:ilvl="2">
      <w:lvlJc w:val="left"/>
      <w:lvlText w:val="(%3)"/>
      <w:numFmt w:val="lowerLetter"/>
      <w:start w:val="35"/>
    </w:lvl>
  </w:abstractNum>
  <w:abstractNum w:abstractNumId="41">
    <w:nsid w:val="57E4CCAF"/>
    <w:multiLevelType w:val="hybridMultilevel"/>
    <w:lvl w:ilvl="0">
      <w:lvlJc w:val="left"/>
      <w:lvlText w:val="%1"/>
      <w:numFmt w:val="decimal"/>
      <w:start w:val="1"/>
    </w:lvl>
    <w:lvl w:ilvl="1">
      <w:lvlJc w:val="left"/>
      <w:lvlText w:val="(%2)"/>
      <w:numFmt w:val="lowerLetter"/>
      <w:start w:val="1"/>
    </w:lvl>
  </w:abstractNum>
  <w:abstractNum w:abstractNumId="42">
    <w:nsid w:val="7A6D8D3C"/>
    <w:multiLevelType w:val="hybridMultilevel"/>
    <w:lvl w:ilvl="0">
      <w:lvlJc w:val="left"/>
      <w:lvlText w:val="(%1)"/>
      <w:numFmt w:val="decimal"/>
      <w:start w:val="6"/>
    </w:lvl>
    <w:lvl w:ilvl="1">
      <w:lvlJc w:val="left"/>
      <w:lvlText w:val="%2"/>
      <w:numFmt w:val="lowerLetter"/>
      <w:start w:val="1"/>
    </w:lvl>
  </w:abstractNum>
  <w:abstractNum w:abstractNumId="43">
    <w:nsid w:val="4B588F54"/>
    <w:multiLevelType w:val="hybridMultilevel"/>
    <w:lvl w:ilvl="0">
      <w:lvlJc w:val="left"/>
      <w:lvlText w:val="%1."/>
      <w:numFmt w:val="decimal"/>
      <w:start w:val="7"/>
    </w:lvl>
  </w:abstractNum>
  <w:abstractNum w:abstractNumId="44">
    <w:nsid w:val="542289EC"/>
    <w:multiLevelType w:val="hybridMultilevel"/>
    <w:lvl w:ilvl="0">
      <w:lvlJc w:val="left"/>
      <w:lvlText w:val="%1."/>
      <w:numFmt w:val="decimal"/>
      <w:start w:val="1"/>
    </w:lvl>
    <w:lvl w:ilvl="1">
      <w:lvlJc w:val="left"/>
      <w:lvlText w:val="%2."/>
      <w:numFmt w:val="lowerLetter"/>
      <w:start w:val="1"/>
    </w:lvl>
  </w:abstractNum>
  <w:abstractNum w:abstractNumId="45">
    <w:nsid w:val="6DE91B18"/>
    <w:multiLevelType w:val="hybridMultilevel"/>
    <w:lvl w:ilvl="0">
      <w:lvlJc w:val="left"/>
      <w:lvlText w:val="%1."/>
      <w:numFmt w:val="decimal"/>
      <w:start w:val="1"/>
    </w:lvl>
    <w:lvl w:ilvl="1">
      <w:lvlJc w:val="left"/>
      <w:lvlText w:val="%2."/>
      <w:numFmt w:val="lowerLetter"/>
      <w:start w:val="1"/>
    </w:lvl>
  </w:abstractNum>
  <w:abstractNum w:abstractNumId="46">
    <w:nsid w:val="38437FDB"/>
    <w:multiLevelType w:val="hybridMultilevel"/>
    <w:lvl w:ilvl="0">
      <w:lvlJc w:val="left"/>
      <w:lvlText w:val="(%1)"/>
      <w:numFmt w:val="decimal"/>
      <w:start w:val="1"/>
    </w:lvl>
  </w:abstractNum>
  <w:abstractNum w:abstractNumId="47">
    <w:nsid w:val="7644A45C"/>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image" Target="media/image36.png"/><Relationship Id="rId44" Type="http://schemas.openxmlformats.org/officeDocument/2006/relationships/image" Target="media/image37.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2019-12-28T20:42:58Z</dcterms:created>
  <dcterms:modified xsi:type="dcterms:W3CDTF">2019-12-28T20:42:58Z</dcterms:modified>
</cp:coreProperties>
</file>