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FISCAL YEAR ENDED DECEMBER 31, 2007</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pacing w:after="0" w:line="71" w:lineRule="exact"/>
        <w:rPr>
          <w:sz w:val="24"/>
          <w:szCs w:val="24"/>
          <w:color w:val="auto"/>
        </w:rPr>
      </w:pPr>
    </w:p>
    <w:p>
      <w:pPr>
        <w:ind w:left="580" w:right="28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7" w:lineRule="exact"/>
        <w:rPr>
          <w:sz w:val="24"/>
          <w:szCs w:val="24"/>
          <w:color w:val="auto"/>
        </w:rPr>
      </w:pPr>
    </w:p>
    <w:p>
      <w:pPr>
        <w:ind w:left="320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TO</w:t>
      </w:r>
    </w:p>
    <w:p>
      <w:pPr>
        <w:spacing w:after="0" w:line="124" w:lineRule="exact"/>
        <w:rPr>
          <w:sz w:val="24"/>
          <w:szCs w:val="24"/>
          <w:color w:val="auto"/>
        </w:rPr>
      </w:pPr>
    </w:p>
    <w:p>
      <w:pPr>
        <w:sectPr>
          <w:pgSz w:w="11900" w:h="16838" w:orient="portrait"/>
          <w:cols w:equalWidth="0" w:num="2">
            <w:col w:w="6400" w:space="720"/>
            <w:col w:w="424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color w:val="auto"/>
        </w:rPr>
        <w:t>COMMISSION FILE NUMBER 000-52008</w:t>
      </w:r>
    </w:p>
    <w:p>
      <w:pPr>
        <w:sectPr>
          <w:pgSz w:w="11900" w:h="16838" w:orient="portrait"/>
          <w:cols w:equalWidth="0" w:num="1">
            <w:col w:w="11360"/>
          </w:cols>
          <w:pgMar w:left="240" w:top="230" w:right="299" w:bottom="1440" w:gutter="0" w:footer="0" w:header="0"/>
          <w:type w:val="continuous"/>
        </w:sectPr>
      </w:pP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LUNA INNOVATIONS INCORPORATED</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54" w:lineRule="exact"/>
        <w:rPr>
          <w:sz w:val="24"/>
          <w:szCs w:val="24"/>
          <w:color w:val="auto"/>
        </w:rPr>
      </w:pPr>
    </w:p>
    <w:tbl>
      <w:tblPr>
        <w:tblLayout w:type="fixed"/>
        <w:tblInd w:w="460" w:type="dxa"/>
        <w:tblCellMar>
          <w:top w:w="0" w:type="dxa"/>
          <w:left w:w="0" w:type="dxa"/>
          <w:bottom w:w="0" w:type="dxa"/>
          <w:right w:w="0" w:type="dxa"/>
        </w:tblCellMar>
      </w:tblPr>
      <w:tr>
        <w:trPr>
          <w:trHeight w:val="220"/>
        </w:trPr>
        <w:tc>
          <w:tcPr>
            <w:tcW w:w="1840" w:type="dxa"/>
            <w:vAlign w:val="bottom"/>
          </w:tcPr>
          <w:p>
            <w:pPr>
              <w:spacing w:after="0"/>
              <w:rPr>
                <w:sz w:val="19"/>
                <w:szCs w:val="19"/>
                <w:color w:val="auto"/>
              </w:rPr>
            </w:pPr>
          </w:p>
        </w:tc>
        <w:tc>
          <w:tcPr>
            <w:tcW w:w="5000" w:type="dxa"/>
            <w:vAlign w:val="bottom"/>
            <w:gridSpan w:val="2"/>
          </w:tcPr>
          <w:p>
            <w:pPr>
              <w:jc w:val="center"/>
              <w:ind w:right="3780"/>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gridSpan w:val="2"/>
          </w:tcPr>
          <w:p>
            <w:pPr>
              <w:jc w:val="center"/>
              <w:ind w:left="442"/>
              <w:spacing w:after="0"/>
              <w:rPr>
                <w:sz w:val="20"/>
                <w:szCs w:val="20"/>
                <w:color w:val="auto"/>
              </w:rPr>
            </w:pPr>
            <w:r>
              <w:rPr>
                <w:rFonts w:ascii="Arial" w:cs="Arial" w:eastAsia="Arial" w:hAnsi="Arial"/>
                <w:sz w:val="18"/>
                <w:szCs w:val="18"/>
                <w:b w:val="1"/>
                <w:bCs w:val="1"/>
                <w:color w:val="auto"/>
                <w:w w:val="87"/>
              </w:rPr>
              <w:t>54-1560050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72"/>
        </w:trPr>
        <w:tc>
          <w:tcPr>
            <w:tcW w:w="6840" w:type="dxa"/>
            <w:vAlign w:val="bottom"/>
            <w:gridSpan w:val="3"/>
          </w:tcPr>
          <w:p>
            <w:pPr>
              <w:jc w:val="center"/>
              <w:ind w:right="1940"/>
              <w:spacing w:after="0"/>
              <w:rPr>
                <w:sz w:val="20"/>
                <w:szCs w:val="20"/>
                <w:color w:val="auto"/>
              </w:rPr>
            </w:pPr>
            <w:r>
              <w:rPr>
                <w:rFonts w:ascii="Arial" w:cs="Arial" w:eastAsia="Arial" w:hAnsi="Arial"/>
                <w:sz w:val="14"/>
                <w:szCs w:val="14"/>
                <w:b w:val="1"/>
                <w:bCs w:val="1"/>
                <w:i w:val="1"/>
                <w:iCs w:val="1"/>
                <w:color w:val="auto"/>
                <w:w w:val="85"/>
              </w:rPr>
              <w:t>(State or Other Jurisdiction of Incorporation or Organization)</w:t>
            </w:r>
          </w:p>
        </w:tc>
        <w:tc>
          <w:tcPr>
            <w:tcW w:w="2880" w:type="dxa"/>
            <w:vAlign w:val="bottom"/>
            <w:gridSpan w:val="4"/>
          </w:tcPr>
          <w:p>
            <w:pPr>
              <w:jc w:val="center"/>
              <w:ind w:right="100"/>
              <w:spacing w:after="0"/>
              <w:rPr>
                <w:sz w:val="20"/>
                <w:szCs w:val="20"/>
                <w:color w:val="auto"/>
              </w:rPr>
            </w:pPr>
            <w:r>
              <w:rPr>
                <w:rFonts w:ascii="Arial" w:cs="Arial" w:eastAsia="Arial" w:hAnsi="Arial"/>
                <w:sz w:val="14"/>
                <w:szCs w:val="14"/>
                <w:b w:val="1"/>
                <w:bCs w:val="1"/>
                <w:i w:val="1"/>
                <w:iCs w:val="1"/>
                <w:color w:val="auto"/>
                <w:w w:val="86"/>
              </w:rPr>
              <w:t>(I.R.S. Employer Identification Number)</w:t>
            </w:r>
          </w:p>
        </w:tc>
      </w:tr>
      <w:tr>
        <w:trPr>
          <w:trHeight w:val="270"/>
        </w:trPr>
        <w:tc>
          <w:tcPr>
            <w:tcW w:w="1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860" w:type="dxa"/>
            <w:vAlign w:val="bottom"/>
          </w:tcPr>
          <w:p>
            <w:pPr>
              <w:jc w:val="center"/>
              <w:ind w:left="620"/>
              <w:spacing w:after="0"/>
              <w:rPr>
                <w:sz w:val="20"/>
                <w:szCs w:val="20"/>
                <w:color w:val="auto"/>
              </w:rPr>
            </w:pPr>
            <w:r>
              <w:rPr>
                <w:rFonts w:ascii="Arial" w:cs="Arial" w:eastAsia="Arial" w:hAnsi="Arial"/>
                <w:sz w:val="18"/>
                <w:szCs w:val="18"/>
                <w:b w:val="1"/>
                <w:bCs w:val="1"/>
                <w:color w:val="auto"/>
                <w:w w:val="88"/>
              </w:rPr>
              <w:t>1 Riverside Circle, Suite 400</w:t>
            </w:r>
          </w:p>
        </w:tc>
        <w:tc>
          <w:tcPr>
            <w:tcW w:w="1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20"/>
        </w:trPr>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60" w:type="dxa"/>
            <w:vAlign w:val="bottom"/>
          </w:tcPr>
          <w:p>
            <w:pPr>
              <w:jc w:val="center"/>
              <w:ind w:left="600"/>
              <w:spacing w:after="0"/>
              <w:rPr>
                <w:sz w:val="20"/>
                <w:szCs w:val="20"/>
                <w:color w:val="auto"/>
              </w:rPr>
            </w:pPr>
            <w:r>
              <w:rPr>
                <w:rFonts w:ascii="Arial" w:cs="Arial" w:eastAsia="Arial" w:hAnsi="Arial"/>
                <w:sz w:val="18"/>
                <w:szCs w:val="18"/>
                <w:b w:val="1"/>
                <w:bCs w:val="1"/>
                <w:color w:val="auto"/>
                <w:w w:val="87"/>
              </w:rPr>
              <w:t>Roanoke, VA 24016</w:t>
            </w:r>
          </w:p>
        </w:tc>
        <w:tc>
          <w:tcPr>
            <w:tcW w:w="1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72"/>
        </w:trPr>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jc w:val="center"/>
              <w:ind w:left="620"/>
              <w:spacing w:after="0"/>
              <w:rPr>
                <w:sz w:val="20"/>
                <w:szCs w:val="20"/>
                <w:color w:val="auto"/>
              </w:rPr>
            </w:pPr>
            <w:r>
              <w:rPr>
                <w:rFonts w:ascii="Arial" w:cs="Arial" w:eastAsia="Arial" w:hAnsi="Arial"/>
                <w:sz w:val="14"/>
                <w:szCs w:val="14"/>
                <w:b w:val="1"/>
                <w:bCs w:val="1"/>
                <w:i w:val="1"/>
                <w:iCs w:val="1"/>
                <w:color w:val="auto"/>
                <w:w w:val="84"/>
              </w:rPr>
              <w:t>(Address of Principal Executive Offices)</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73"/>
        </w:trPr>
        <w:tc>
          <w:tcPr>
            <w:tcW w:w="6840" w:type="dxa"/>
            <w:vAlign w:val="bottom"/>
            <w:gridSpan w:val="3"/>
          </w:tcPr>
          <w:p>
            <w:pPr>
              <w:jc w:val="center"/>
              <w:ind w:left="3576"/>
              <w:spacing w:after="0"/>
              <w:rPr>
                <w:sz w:val="20"/>
                <w:szCs w:val="20"/>
                <w:color w:val="auto"/>
              </w:rPr>
            </w:pPr>
            <w:r>
              <w:rPr>
                <w:rFonts w:ascii="Arial" w:cs="Arial" w:eastAsia="Arial" w:hAnsi="Arial"/>
                <w:sz w:val="18"/>
                <w:szCs w:val="18"/>
                <w:b w:val="1"/>
                <w:bCs w:val="1"/>
                <w:color w:val="auto"/>
                <w:w w:val="89"/>
              </w:rPr>
              <w:t>(540) 769-8400</w:t>
            </w:r>
          </w:p>
        </w:tc>
        <w:tc>
          <w:tcPr>
            <w:tcW w:w="15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72"/>
        </w:trPr>
        <w:tc>
          <w:tcPr>
            <w:tcW w:w="1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60" w:type="dxa"/>
            <w:vAlign w:val="bottom"/>
          </w:tcPr>
          <w:p>
            <w:pPr>
              <w:jc w:val="center"/>
              <w:ind w:left="620"/>
              <w:spacing w:after="0"/>
              <w:rPr>
                <w:sz w:val="20"/>
                <w:szCs w:val="20"/>
                <w:color w:val="auto"/>
              </w:rPr>
            </w:pPr>
            <w:r>
              <w:rPr>
                <w:rFonts w:ascii="Arial" w:cs="Arial" w:eastAsia="Arial" w:hAnsi="Arial"/>
                <w:sz w:val="14"/>
                <w:szCs w:val="14"/>
                <w:b w:val="1"/>
                <w:bCs w:val="1"/>
                <w:i w:val="1"/>
                <w:iCs w:val="1"/>
                <w:color w:val="auto"/>
                <w:w w:val="84"/>
              </w:rPr>
              <w:t>(Registrant’s Telephone Number, Including Area Code)</w:t>
            </w: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82"/>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20" w:type="dxa"/>
            <w:vAlign w:val="bottom"/>
            <w:gridSpan w:val="2"/>
          </w:tcPr>
          <w:p>
            <w:pPr>
              <w:jc w:val="center"/>
              <w:ind w:right="802"/>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2"/>
        </w:trPr>
        <w:tc>
          <w:tcPr>
            <w:tcW w:w="18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60" w:type="dxa"/>
            <w:vAlign w:val="bottom"/>
          </w:tcPr>
          <w:p>
            <w:pPr>
              <w:spacing w:after="0"/>
              <w:rPr>
                <w:sz w:val="20"/>
                <w:szCs w:val="20"/>
                <w:color w:val="auto"/>
              </w:rPr>
            </w:pPr>
          </w:p>
        </w:tc>
        <w:tc>
          <w:tcPr>
            <w:tcW w:w="2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120" w:type="dxa"/>
            <w:vAlign w:val="bottom"/>
          </w:tcPr>
          <w:p>
            <w:pPr>
              <w:spacing w:after="0"/>
              <w:rPr>
                <w:sz w:val="20"/>
                <w:szCs w:val="20"/>
                <w:color w:val="auto"/>
              </w:rPr>
            </w:pPr>
          </w:p>
        </w:tc>
      </w:tr>
      <w:tr>
        <w:trPr>
          <w:trHeight w:val="222"/>
        </w:trPr>
        <w:tc>
          <w:tcPr>
            <w:tcW w:w="684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87"/>
              </w:rPr>
              <w:t>Common Stock, par value $0.001 per share</w:t>
            </w:r>
          </w:p>
        </w:tc>
        <w:tc>
          <w:tcPr>
            <w:tcW w:w="28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283"/>
        </w:trPr>
        <w:tc>
          <w:tcPr>
            <w:tcW w:w="1840" w:type="dxa"/>
            <w:vAlign w:val="bottom"/>
          </w:tcPr>
          <w:p>
            <w:pPr>
              <w:spacing w:after="0"/>
              <w:rPr>
                <w:sz w:val="24"/>
                <w:szCs w:val="24"/>
                <w:color w:val="auto"/>
              </w:rPr>
            </w:pPr>
          </w:p>
        </w:tc>
        <w:tc>
          <w:tcPr>
            <w:tcW w:w="6560" w:type="dxa"/>
            <w:vAlign w:val="bottom"/>
            <w:gridSpan w:val="3"/>
          </w:tcPr>
          <w:p>
            <w:pPr>
              <w:jc w:val="center"/>
              <w:ind w:left="199"/>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7"/>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297"/>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r>
    </w:tbl>
    <w:p>
      <w:pPr>
        <w:spacing w:after="0" w:line="55" w:lineRule="exact"/>
        <w:rPr>
          <w:sz w:val="24"/>
          <w:szCs w:val="24"/>
          <w:color w:val="auto"/>
        </w:rPr>
      </w:pPr>
    </w:p>
    <w:p>
      <w:pPr>
        <w:ind w:right="22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200" w:firstLine="456"/>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60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000" w:type="dxa"/>
            <w:vAlign w:val="bottom"/>
          </w:tcPr>
          <w:p>
            <w:pPr>
              <w:ind w:left="10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5"/>
        </w:trPr>
        <w:tc>
          <w:tcPr>
            <w:tcW w:w="60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00" w:type="dxa"/>
            <w:vAlign w:val="bottom"/>
          </w:tcPr>
          <w:p>
            <w:pPr>
              <w:ind w:left="1000"/>
              <w:spacing w:after="0"/>
              <w:rPr>
                <w:sz w:val="20"/>
                <w:szCs w:val="20"/>
                <w:color w:val="auto"/>
              </w:rPr>
            </w:pPr>
            <w:r>
              <w:rPr>
                <w:rFonts w:ascii="Arial" w:cs="Arial" w:eastAsia="Arial" w:hAnsi="Arial"/>
                <w:sz w:val="18"/>
                <w:szCs w:val="18"/>
                <w:color w:val="auto"/>
                <w:w w:val="92"/>
              </w:rPr>
              <w:t>Smaller reporting company</w:t>
            </w:r>
          </w:p>
        </w:tc>
        <w:tc>
          <w:tcPr>
            <w:tcW w:w="2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90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No</w:t>
            </w:r>
          </w:p>
        </w:tc>
        <w:tc>
          <w:tcPr>
            <w:tcW w:w="240" w:type="dxa"/>
            <w:vAlign w:val="bottom"/>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firstLine="456"/>
        <w:spacing w:after="0" w:line="255" w:lineRule="auto"/>
        <w:rPr>
          <w:sz w:val="20"/>
          <w:szCs w:val="20"/>
          <w:color w:val="auto"/>
        </w:rPr>
      </w:pPr>
      <w:r>
        <w:rPr>
          <w:rFonts w:ascii="Arial" w:cs="Arial" w:eastAsia="Arial" w:hAnsi="Arial"/>
          <w:sz w:val="18"/>
          <w:szCs w:val="18"/>
          <w:color w:val="auto"/>
        </w:rPr>
        <w:t>The aggregate market value of the voting stock held by non-affiliates of the registrant on June 30, 2007, based upon the closing price of Common Stock on such date as reported by the NASDAQ Global Market, was approximately $21.6 million. Shares of voting stock held by each officer and director of the registrant as well as each entity or person that, to the knowledge of the registrant, owned 10% or more of a class of the registrant’s securities as of June 30, 2007, have been excluded in that such persons or entities may be deemed to be affiliates. This assumption regarding affiliate status is not necessarily a conclusive determination for other purposes.</w:t>
      </w:r>
    </w:p>
    <w:p>
      <w:pPr>
        <w:spacing w:after="0" w:line="6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March 3, 2008 there were 10,786,716 shares of the registrant’s common stock outstanding.</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96" w:lineRule="exact"/>
        <w:rPr>
          <w:sz w:val="24"/>
          <w:szCs w:val="24"/>
          <w:color w:val="auto"/>
        </w:rPr>
      </w:pPr>
    </w:p>
    <w:p>
      <w:pPr>
        <w:ind w:firstLine="456"/>
        <w:spacing w:after="0" w:line="332" w:lineRule="auto"/>
        <w:rPr>
          <w:sz w:val="20"/>
          <w:szCs w:val="20"/>
          <w:color w:val="auto"/>
        </w:rPr>
      </w:pPr>
      <w:r>
        <w:rPr>
          <w:rFonts w:ascii="Arial" w:cs="Arial" w:eastAsia="Arial" w:hAnsi="Arial"/>
          <w:sz w:val="16"/>
          <w:szCs w:val="16"/>
          <w:color w:val="auto"/>
        </w:rPr>
        <w:t>Specified portions of the registrant’s Proxy Statement with respect to its 2008 Annual Meeting of stockholders, anticipated to be filed within 120 days after the end of its fiscal year ended December 31, 2007,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LUNA INNOVATIONS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DECEMBER 31, 2007</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4"/>
        </w:trPr>
        <w:tc>
          <w:tcPr>
            <w:tcW w:w="182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1.</w:t>
            </w:r>
          </w:p>
        </w:tc>
        <w:tc>
          <w:tcPr>
            <w:tcW w:w="8660" w:type="dxa"/>
            <w:vAlign w:val="bottom"/>
            <w:gridSpan w:val="21"/>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20"/>
        </w:trPr>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1A.</w:t>
            </w:r>
          </w:p>
        </w:tc>
        <w:tc>
          <w:tcPr>
            <w:tcW w:w="866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Unresolved Staff Comments</w:t>
              </w:r>
            </w:hyperlink>
          </w:p>
        </w:tc>
        <w:tc>
          <w:tcPr>
            <w:tcW w:w="6660" w:type="dxa"/>
            <w:vAlign w:val="bottom"/>
            <w:gridSpan w:val="1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2.</w:t>
            </w:r>
          </w:p>
        </w:tc>
        <w:tc>
          <w:tcPr>
            <w:tcW w:w="866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Properties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37">
              <w:r>
                <w:rPr>
                  <w:rFonts w:ascii="Arial" w:cs="Arial" w:eastAsia="Arial" w:hAnsi="Arial"/>
                  <w:sz w:val="18"/>
                  <w:szCs w:val="18"/>
                  <w:color w:val="0000EE"/>
                  <w:w w:val="85"/>
                </w:rPr>
                <w:t>Legal Proceedings</w:t>
              </w:r>
            </w:hyperlink>
          </w:p>
        </w:tc>
        <w:tc>
          <w:tcPr>
            <w:tcW w:w="7360" w:type="dxa"/>
            <w:vAlign w:val="bottom"/>
            <w:gridSpan w:val="1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4.</w:t>
            </w:r>
          </w:p>
        </w:tc>
        <w:tc>
          <w:tcPr>
            <w:tcW w:w="866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Submission of Matters to a Vote of Security Holders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28"/>
        </w:trPr>
        <w:tc>
          <w:tcPr>
            <w:tcW w:w="182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4"/>
        </w:trPr>
        <w:tc>
          <w:tcPr>
            <w:tcW w:w="182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5.</w:t>
            </w:r>
          </w:p>
        </w:tc>
        <w:tc>
          <w:tcPr>
            <w:tcW w:w="8660" w:type="dxa"/>
            <w:vAlign w:val="bottom"/>
            <w:gridSpan w:val="21"/>
          </w:tcPr>
          <w:p>
            <w:pPr>
              <w:spacing w:after="0" w:line="184"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Market for Registrant’s Common Equity, Related Stockholder Matters and Issuer Purchases of Equity Securities</w:t>
              </w:r>
            </w:hyperlink>
          </w:p>
        </w:tc>
        <w:tc>
          <w:tcPr>
            <w:tcW w:w="940" w:type="dxa"/>
            <w:vAlign w:val="bottom"/>
          </w:tcPr>
          <w:p>
            <w:pPr>
              <w:spacing w:after="0"/>
              <w:rPr>
                <w:sz w:val="15"/>
                <w:szCs w:val="15"/>
                <w:color w:val="auto"/>
              </w:rPr>
            </w:pPr>
          </w:p>
        </w:tc>
      </w:tr>
      <w:tr>
        <w:trPr>
          <w:trHeight w:val="377"/>
        </w:trPr>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184"/>
        </w:trPr>
        <w:tc>
          <w:tcPr>
            <w:tcW w:w="182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6.</w:t>
            </w:r>
          </w:p>
        </w:tc>
        <w:tc>
          <w:tcPr>
            <w:tcW w:w="8660" w:type="dxa"/>
            <w:vAlign w:val="bottom"/>
            <w:gridSpan w:val="21"/>
          </w:tcPr>
          <w:p>
            <w:pPr>
              <w:spacing w:after="0" w:line="184" w:lineRule="exact"/>
              <w:rPr>
                <w:rFonts w:ascii="Arial" w:cs="Arial" w:eastAsia="Arial" w:hAnsi="Arial"/>
                <w:sz w:val="18"/>
                <w:szCs w:val="18"/>
                <w:color w:val="0000EE"/>
              </w:rPr>
            </w:pPr>
            <w:hyperlink w:anchor="page42">
              <w:r>
                <w:rPr>
                  <w:rFonts w:ascii="Arial" w:cs="Arial" w:eastAsia="Arial" w:hAnsi="Arial"/>
                  <w:sz w:val="18"/>
                  <w:szCs w:val="18"/>
                  <w:color w:val="0000EE"/>
                </w:rPr>
                <w:t>Selected Financial Data</w:t>
              </w:r>
            </w:hyperlink>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40</w:t>
            </w:r>
          </w:p>
        </w:tc>
      </w:tr>
      <w:tr>
        <w:trPr>
          <w:trHeight w:val="20"/>
        </w:trPr>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7.</w:t>
            </w:r>
          </w:p>
        </w:tc>
        <w:tc>
          <w:tcPr>
            <w:tcW w:w="866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spacing w:after="0"/>
              <w:rPr>
                <w:sz w:val="17"/>
                <w:szCs w:val="17"/>
                <w:color w:val="auto"/>
              </w:rPr>
            </w:pPr>
          </w:p>
        </w:tc>
      </w:tr>
      <w:tr>
        <w:trPr>
          <w:trHeight w:val="377"/>
        </w:trPr>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84"/>
        </w:trPr>
        <w:tc>
          <w:tcPr>
            <w:tcW w:w="182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7A.</w:t>
            </w:r>
          </w:p>
        </w:tc>
        <w:tc>
          <w:tcPr>
            <w:tcW w:w="8660" w:type="dxa"/>
            <w:vAlign w:val="bottom"/>
            <w:gridSpan w:val="21"/>
          </w:tcPr>
          <w:p>
            <w:pPr>
              <w:spacing w:after="0" w:line="184"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53</w:t>
            </w: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4420" w:type="dxa"/>
            <w:vAlign w:val="bottom"/>
            <w:gridSpan w:val="6"/>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9.</w:t>
            </w:r>
          </w:p>
        </w:tc>
        <w:tc>
          <w:tcPr>
            <w:tcW w:w="8660" w:type="dxa"/>
            <w:vAlign w:val="bottom"/>
            <w:gridSpan w:val="2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940" w:type="dxa"/>
            <w:vAlign w:val="bottom"/>
          </w:tcPr>
          <w:p>
            <w:pPr>
              <w:spacing w:after="0"/>
              <w:rPr>
                <w:sz w:val="17"/>
                <w:szCs w:val="17"/>
                <w:color w:val="auto"/>
              </w:rPr>
            </w:pPr>
          </w:p>
        </w:tc>
      </w:tr>
      <w:tr>
        <w:trPr>
          <w:trHeight w:val="377"/>
        </w:trPr>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84"/>
        </w:trPr>
        <w:tc>
          <w:tcPr>
            <w:tcW w:w="182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9A. (T)</w:t>
            </w:r>
          </w:p>
        </w:tc>
        <w:tc>
          <w:tcPr>
            <w:tcW w:w="8660" w:type="dxa"/>
            <w:vAlign w:val="bottom"/>
            <w:gridSpan w:val="21"/>
          </w:tcPr>
          <w:p>
            <w:pPr>
              <w:spacing w:after="0" w:line="184" w:lineRule="exact"/>
              <w:rPr>
                <w:rFonts w:ascii="Arial" w:cs="Arial" w:eastAsia="Arial" w:hAnsi="Arial"/>
                <w:sz w:val="18"/>
                <w:szCs w:val="18"/>
                <w:color w:val="0000EE"/>
              </w:rPr>
            </w:pPr>
            <w:hyperlink w:anchor="page77">
              <w:r>
                <w:rPr>
                  <w:rFonts w:ascii="Arial" w:cs="Arial" w:eastAsia="Arial" w:hAnsi="Arial"/>
                  <w:sz w:val="18"/>
                  <w:szCs w:val="18"/>
                  <w:color w:val="0000EE"/>
                </w:rPr>
                <w:t>Controls and Procedures</w:t>
              </w:r>
            </w:hyperlink>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75</w:t>
            </w: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6940" w:type="dxa"/>
            <w:vAlign w:val="bottom"/>
            <w:gridSpan w:val="1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28"/>
        </w:trPr>
        <w:tc>
          <w:tcPr>
            <w:tcW w:w="1820" w:type="dxa"/>
            <w:vAlign w:val="bottom"/>
            <w:gridSpan w:val="2"/>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4"/>
        </w:trPr>
        <w:tc>
          <w:tcPr>
            <w:tcW w:w="182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line="184"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Directors, Executive Officers and Corporate Governance</w:t>
              </w:r>
            </w:hyperlink>
          </w:p>
        </w:tc>
        <w:tc>
          <w:tcPr>
            <w:tcW w:w="4660" w:type="dxa"/>
            <w:vAlign w:val="bottom"/>
            <w:gridSpan w:val="7"/>
          </w:tcPr>
          <w:p>
            <w:pPr>
              <w:spacing w:after="0"/>
              <w:rPr>
                <w:sz w:val="15"/>
                <w:szCs w:val="15"/>
                <w:color w:val="auto"/>
              </w:rPr>
            </w:pPr>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76</w:t>
            </w: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Executive Compensation</w:t>
              </w:r>
            </w:hyperlink>
          </w:p>
        </w:tc>
        <w:tc>
          <w:tcPr>
            <w:tcW w:w="6900" w:type="dxa"/>
            <w:vAlign w:val="bottom"/>
            <w:gridSpan w:val="1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12.</w:t>
            </w:r>
          </w:p>
        </w:tc>
        <w:tc>
          <w:tcPr>
            <w:tcW w:w="866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 Matters</w:t>
              </w:r>
            </w:hyperlink>
          </w:p>
        </w:tc>
        <w:tc>
          <w:tcPr>
            <w:tcW w:w="940" w:type="dxa"/>
            <w:vAlign w:val="bottom"/>
          </w:tcPr>
          <w:p>
            <w:pPr>
              <w:spacing w:after="0"/>
              <w:rPr>
                <w:sz w:val="17"/>
                <w:szCs w:val="17"/>
                <w:color w:val="auto"/>
              </w:rPr>
            </w:pPr>
          </w:p>
        </w:tc>
      </w:tr>
      <w:tr>
        <w:trPr>
          <w:trHeight w:val="377"/>
        </w:trPr>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84"/>
        </w:trPr>
        <w:tc>
          <w:tcPr>
            <w:tcW w:w="182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6"/>
          </w:tcPr>
          <w:p>
            <w:pPr>
              <w:spacing w:after="0" w:line="184"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Certain Relationships and Related Transactions, and Director Independence</w:t>
              </w:r>
            </w:hyperlink>
          </w:p>
        </w:tc>
        <w:tc>
          <w:tcPr>
            <w:tcW w:w="3340" w:type="dxa"/>
            <w:vAlign w:val="bottom"/>
            <w:gridSpan w:val="5"/>
          </w:tcPr>
          <w:p>
            <w:pPr>
              <w:spacing w:after="0"/>
              <w:rPr>
                <w:sz w:val="15"/>
                <w:szCs w:val="15"/>
                <w:color w:val="auto"/>
              </w:rPr>
            </w:pPr>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76</w:t>
            </w:r>
          </w:p>
        </w:tc>
      </w:tr>
      <w:tr>
        <w:trPr>
          <w:trHeight w:val="196"/>
        </w:trPr>
        <w:tc>
          <w:tcPr>
            <w:tcW w:w="182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Item 14.</w:t>
            </w:r>
          </w:p>
        </w:tc>
        <w:tc>
          <w:tcPr>
            <w:tcW w:w="866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Accounting Fees and Services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28"/>
        </w:trPr>
        <w:tc>
          <w:tcPr>
            <w:tcW w:w="182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4"/>
        </w:trPr>
        <w:tc>
          <w:tcPr>
            <w:tcW w:w="1820" w:type="dxa"/>
            <w:vAlign w:val="bottom"/>
            <w:gridSpan w:val="2"/>
          </w:tcPr>
          <w:p>
            <w:pPr>
              <w:ind w:left="440"/>
              <w:spacing w:after="0" w:line="184" w:lineRule="exact"/>
              <w:rPr>
                <w:sz w:val="20"/>
                <w:szCs w:val="20"/>
                <w:color w:val="auto"/>
              </w:rPr>
            </w:pPr>
            <w:r>
              <w:rPr>
                <w:rFonts w:ascii="Arial" w:cs="Arial" w:eastAsia="Arial" w:hAnsi="Arial"/>
                <w:sz w:val="18"/>
                <w:szCs w:val="18"/>
                <w:color w:val="auto"/>
              </w:rPr>
              <w:t>Item 15.</w:t>
            </w:r>
          </w:p>
        </w:tc>
        <w:tc>
          <w:tcPr>
            <w:tcW w:w="8660" w:type="dxa"/>
            <w:vAlign w:val="bottom"/>
            <w:gridSpan w:val="21"/>
          </w:tcPr>
          <w:p>
            <w:pPr>
              <w:spacing w:after="0" w:line="184" w:lineRule="exact"/>
              <w:rPr>
                <w:rFonts w:ascii="Arial" w:cs="Arial" w:eastAsia="Arial" w:hAnsi="Arial"/>
                <w:sz w:val="18"/>
                <w:szCs w:val="18"/>
                <w:color w:val="0000EE"/>
              </w:rPr>
            </w:pPr>
            <w:hyperlink w:anchor="page79">
              <w:r>
                <w:rPr>
                  <w:rFonts w:ascii="Arial" w:cs="Arial" w:eastAsia="Arial" w:hAnsi="Arial"/>
                  <w:sz w:val="18"/>
                  <w:szCs w:val="18"/>
                  <w:color w:val="0000EE"/>
                </w:rPr>
                <w:t>Exhibits, Financial Statement Schedules</w:t>
              </w:r>
            </w:hyperlink>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77</w:t>
            </w:r>
          </w:p>
        </w:tc>
      </w:tr>
      <w:tr>
        <w:trPr>
          <w:trHeight w:val="196"/>
        </w:trPr>
        <w:tc>
          <w:tcPr>
            <w:tcW w:w="1820" w:type="dxa"/>
            <w:vAlign w:val="bottom"/>
            <w:gridSpan w:val="2"/>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10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This Annual Report on Form 10-K, including the “Management’s Discussion and Analysis of Financial Condition and Results of Operation” section in Item 7 of this report, and other materials accompanying this Annual Report on Form 10-K contain forward-looking statements within the meaning of Section 21E of the Securities Exchange Act of 1934, as amended, and Section 27A of the Securities Act of 1933, as amended. We attempt, whenever possible, to identify these forward- looking statements by words such as “intends,” “will,” “plans,” “anticipates,” “expects,” “may,” “estimates,” “believes,” “should,” “projects,” or “continue,” or the negative of those words and other comparable words. Similarly, statements that describe our business strategy, goals, prospects, opportunities, outlook, objectives, plans or intentions are also forward-looking statements. These statements may relate to, but are not limited to, expectations of future operating results or financial performance, capital expenditures, introduction of new products, regulatory compliance, plans for growth and future operations, as well as assumptions relating to the foregoing.</w:t>
      </w:r>
    </w:p>
    <w:p>
      <w:pPr>
        <w:spacing w:after="0" w:line="118"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i w:val="1"/>
          <w:iCs w:val="1"/>
          <w:color w:val="auto"/>
        </w:rPr>
        <w:t>These statements are based on current expectations and assumptions regarding future events and business performance and involve known and unknown risks, uncertainties and other factors that may cause actual events or results to be materially different from any future events or results expressed or implied by these statements. These factors include those set forth in the following discussion and within Item 1A “Risk Factors” of this Annual Report on Form 10-K and elsewhere within this report.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You should not place undue reliance on these forward-looking statements, which apply only as of the date of this Annual Report on Form 10-K. You should carefully review the risk factors described in other documents that we file from time to time with the U.S. Securities and Exchange Commission, or SEC. Except as required by applicable law, including the rules and regulations of the SEC, we do not plan to publicly update or revise any forward-looking statements, whether as a result of any new information, future events or otherwise, other than through the filing of periodic reports in accordance with the Securities Exchange Act of 1934, as amended.</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research, develop and commercialize innovative technologies in two primary areas of focus:</w:t>
      </w:r>
    </w:p>
    <w:p>
      <w:pPr>
        <w:spacing w:after="0" w:line="90"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Test &amp; measurement, sensing, and instrumentation products;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 care products.</w:t>
      </w:r>
    </w:p>
    <w:p>
      <w:pPr>
        <w:spacing w:after="0" w:line="171"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We have a disciplined and integrated business model that is designed to accelerate the process of bringing new and innovative products to market. We identify technologies that can fulfill large and unmet market needs and then take these technologies from the applied research stage through commercialization. Although revenues from product sales currently represent less than half of our total revenues, we continue to invest in product development and commercialization, which we anticipate will lead to increased product sales growth. In the future, we expect that revenues from product sales will represent a larger proportion of our total revenues. In addition, we anticipate that these revenues will reflect a broader and more diversified mix of products as we develop and commercialize new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96"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We have developed a disciplined and integrated process to accelerate the development and commercialization of innovative technologies. Our business model employs a market-driven approach and provides the infrastructure, resources and know-how throughout the process of developing and commercializing</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new products. To manage a diverse set of products effectively across a range of development stages, we are organized into two main groups: our Technology Development Division and our Products Division. These groups work together through all product development stages, including:</w:t>
      </w:r>
    </w:p>
    <w:p>
      <w:pPr>
        <w:spacing w:after="0" w:line="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Searching for emerging technologies based on market needs;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applied research;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commercializing innovative products;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Applying proven technologies and products to new market opportunities.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strength of our business model is exemplified by our track record in taking innovative technologies from the applied research stage through product development and ultimately to the creation of independent businesses. For example, we have created five companies in our areas of focus, two of which were sold to industry leaders in their fields and two of which were financed by private venture capital. In addition, we have developed more than a dozen products serving several industries including energy, telecommunications, life sciences and defense.</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commercialization strategy leverages opportunity teams which are cross-staffed with professionals from both our Products Division and our Technology Development Division. The objective of these opportunity teams is to identify technologies that have demonstrated proof of concept and that are ready for further development. Each opportunity team includes personnel with a mix of intellectual property, technical and business backgrounds, including individuals who have experience with venture capital-backed companies and others who have successfully run major divisions of large corporations. In addition, we plan to consult with members of our advisory board with respect to product development matters from time to time. We believe that this combination of skills and experience is critical to the success of the product development process.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this end, we have rigorous processes to evaluate the merits of further developing any given technology. Investment proposals to develop technologies that have demonstrated proof-of-concept are submitted for consideration to our internal investment committee. These proposals have the basic elements of a business plan, including market, competition, distribution, financing and intellectual property analyses. Our internal investment committee, which is composed of key members of our senior management team, evaluates the merits of each proposal and makes investment decisions. It is at this stage that we first consider investing our own funds to finance continued development. Once qualified opportunities are approved, our internal investment committee regularly reviews progress and evaluates whether or not to continue funding development of individual projects.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principal products and product candidates are organized into two broad classes—test &amp; measurement, sensing, and instrumentation products and health care products, all of which are managed by our Products Division. Our Products Division is supported by our Technology Development Division, which provides applied research services to our government and corporate customers. The Technology Development Division seeks to continuously supply our Products Division with new opportunities. Our primary product lines and technology development services are described in more detail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 &amp; Measurement, Sensing, and Instrumentation Products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Luna Technologies Division</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cornerstone of our test &amp; measurement, sensing and instrumentation business is our Luna Technologies division, which we reacquired in September 2005. Our acquisition of Luna Technologies has significantly enhanced our development and production of optical fiber test &amp; measurement and instrumentation products, as described more fully below.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Test and Measurement Equipment for Fiber Optic Components and Sub-Assemblies</w:t>
      </w:r>
    </w:p>
    <w:p>
      <w:pPr>
        <w:spacing w:after="0" w:line="9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test and measurement products monitor the integrity of fiber optic network components and subassemblies. These products are designed for manufacturers and suppliers of optical components and sub-assemblies and allow them to reduce costs and improve the quality of their products. Most manufacturers and suppliers of optical components and modules currently use a combination of different types of optical test equipment to identify and measure failures in optical networks, such as bad splices, bends, crimps and other reflective and non-reflective events. Our optical test equipment products replace the need for these multiple test products and address all stages of the end user’s product development life cycle including: design verification, component qualification, assembly process verification and failure analysis.</w:t>
      </w:r>
    </w:p>
    <w:p>
      <w:pPr>
        <w:spacing w:after="0" w:line="120"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Our Luna Technologies Division has two flagship product lines—our Optical Vector Analyzer, or OVA, and our Optical Backscattering Reflectometer, or OBR. Our award winning OVA platform allows manufacturers and suppliers of optical components and sub-assemblies to reduce costs and time-to-market by replacing multiple, time consuming and expensive measurement platforms with a single, integrated and easy-to-use instrument. Our most recent version of OVA operating software provides customers with faster testing times, advanced data analysis options and an extended dynamic range relative to previous versions.</w:t>
      </w:r>
    </w:p>
    <w:p>
      <w:pPr>
        <w:spacing w:after="0" w:line="9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OBR is a highly sensitive diagnostic device that allows data and telecommunications companies and the service providers who maintain their own fiber optic networks to reduce test time and improve product quality. Our OBR introduces the ability to inspect metropolitan fiber networks with higher resolution and better sensitivity than previously possible. Its user-friendly graphical user interface also makes the OBR product suitable for both research and manufacturing applications. The OBR gives end users a very high resolution view that is similar to an “X-Ray” into the inner workings of a fiber optic network. The OBR also has a feature that allows users to turn standard optical fiber into a continuous thermometer that could be used in a variety of applications including power generation, civil structure monitoring and industrial process control. We expect to increase sales of our optical test equipment products by expanding our customer base beyond the telecommunications industry into avionics, defense and academic research laboratories. In July 2007, the OBR with distributed sensing received a 2007 R&amp;D 100 Award from the editors of R&amp;D Magazine as one of the 100 most technologically significant new products introduced into the marketplace in the last year.</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An upgraded version of the instrument, the OBR 4400, was announced in March 2007 and further enhanced the capabilities of the ultra-high resolution optical time domain reflectometer (OTDR) in a more compact design and more powerful platform. With an increased range and millimeters of resolution, users can monitor the effects from component-level heating in optical amplifiers to strain and load redistribution in aircraft harnesses. Other applications include temperature monitoring inside telecommunications cabinets and enclosures, and a feature that allows users to identify the location in fiber assemblies simply by touching the fiber.</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Integrated Sensing</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have significant knowledge and experience in distributed sensing systems, or DSS, which are products comprised of multiple sensors whose input is integrated through a fiber optic network and software. Our DSS products use fiber optic sensing technology with an innovative monitoring system that allows several thousand sensors to be networked along a single optical fiber. Some key applications, markets and technical advantages of our DSS are described below.</w:t>
      </w:r>
    </w:p>
    <w:p>
      <w:pPr>
        <w:spacing w:after="0" w:line="1" w:lineRule="exact"/>
        <w:rPr>
          <w:sz w:val="20"/>
          <w:szCs w:val="20"/>
          <w:color w:val="auto"/>
        </w:rPr>
      </w:pPr>
    </w:p>
    <w:p>
      <w:pPr>
        <w:ind w:left="900" w:right="20" w:hanging="446"/>
        <w:spacing w:after="0" w:line="26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Distributed Strain. </w:t>
      </w:r>
      <w:r>
        <w:rPr>
          <w:rFonts w:ascii="Arial" w:cs="Arial" w:eastAsia="Arial" w:hAnsi="Arial"/>
          <w:sz w:val="18"/>
          <w:szCs w:val="18"/>
          <w:color w:val="auto"/>
        </w:rPr>
        <w:t>Potential markets for our DSS products include the airframe industry, integrated structural monitoring on civil structures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space applications. For example, a major air frame manufacturer deployed our DSS products during fatigue tests to measure strain through a network of sensors distributed throughout an aircraft.</w:t>
      </w:r>
    </w:p>
    <w:p>
      <w:pPr>
        <w:spacing w:after="0" w:line="51" w:lineRule="exact"/>
        <w:rPr>
          <w:rFonts w:ascii="Arial" w:cs="Arial" w:eastAsia="Arial" w:hAnsi="Arial"/>
          <w:sz w:val="18"/>
          <w:szCs w:val="18"/>
          <w:color w:val="auto"/>
        </w:rPr>
      </w:pPr>
    </w:p>
    <w:p>
      <w:pPr>
        <w:ind w:left="900" w:right="120" w:hanging="446"/>
        <w:spacing w:after="0" w:line="27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Distributed Temperature. </w:t>
      </w:r>
      <w:r>
        <w:rPr>
          <w:rFonts w:ascii="Arial" w:cs="Arial" w:eastAsia="Arial" w:hAnsi="Arial"/>
          <w:sz w:val="18"/>
          <w:szCs w:val="18"/>
          <w:color w:val="auto"/>
        </w:rPr>
        <w:t>Our DSS product also enables the direct monitoring of temperature. Potential markets include industrial process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and electrical system monitoring. For example, we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have sold a network of distributed temperature sensors to a major manufacturer of electrical generators, which use our sensors to increase operational efficiency and prolong generator life. We have also sold our DSS temperature sensors to NASA for both ultra-cold and extremely high-temperature measurements.</w:t>
      </w:r>
    </w:p>
    <w:p>
      <w:pPr>
        <w:spacing w:after="0" w:line="67" w:lineRule="exact"/>
        <w:rPr>
          <w:sz w:val="20"/>
          <w:szCs w:val="20"/>
          <w:color w:val="auto"/>
        </w:rPr>
      </w:pPr>
    </w:p>
    <w:p>
      <w:pPr>
        <w:jc w:val="both"/>
        <w:ind w:left="900" w:right="140" w:hanging="446"/>
        <w:spacing w:after="0" w:line="339"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 xml:space="preserve">Distributed Shape. </w:t>
      </w:r>
      <w:r>
        <w:rPr>
          <w:rFonts w:ascii="Arial" w:cs="Arial" w:eastAsia="Arial" w:hAnsi="Arial"/>
          <w:sz w:val="15"/>
          <w:szCs w:val="15"/>
          <w:color w:val="auto"/>
        </w:rPr>
        <w:t>A derivation of our distributed strain measurement technology is being utilized to enable three-dimensional shape and position</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 We are developing this technology for use in robotic tethers, flexible structures used by the US Navy for undersea systems, and other applications. We have also previously sold shape-sensing probes to a major aircraft manufacturer for measuring shape on an aerodynamic surface.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Tunable Lasers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December 2006, we acquired the rights to manufacture an existing line of swept tunable lasers from a major laser manufacturer. We acquired this technology and related manufacturing assets to allow us to compete more effectively in our existing fiber optic test and measurement as well as sensing markets. This laser went into initial production in October 2007. We are integrating this technology into current and new products to help us provide our customers with faster and more flexible and cost-effective test and measurement products. With this technology in hand, we have been aggressively pursuing business opportunities in new markets such as industrial and medical sensing.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Test and Measurement Equipment for Non-Destructive Industrial Testing</w:t>
      </w:r>
    </w:p>
    <w:p>
      <w:pPr>
        <w:spacing w:after="0" w:line="90"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In addition to our fiber optic based products described above, we are developing a number of new devices that use high frequency sound, or ultrasonic, waves to evaluate the physical properties of materials. In general, our devices can determine the physical condition of an object by analyzing numerical measurements taken from ultrasonic waves that interact with the object. Our quantitative ultrasonic signal processing technology is designed to be extremely sensitive, detecting changes in the physical properties of the object studied. Our instruments report a numerical signature, not an image that is subject to interpretation and sometimes requires an expert consultant. Our technology thus provides information that cannot be obtained by traditional non-quantitative ultrasonic methodologies. Our quantitative ultrasonic technology has applications in non-destructive industrial testing.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Medical Devices for Non-Invasive Monitoring and Diagnosis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Ultrasound is an important, non-invasive tool for diagnosis of some medical conditions. All of our ultrasound medical products are built around a common platform, yet have customized processing and interfaces specific to each application. The pathway to market for medical diagnostic devices requires pre-clearance by government agencies, for example, certification for safety through international standards as well as approval from the Food and Drug Administration, or FDA, through a 510(k) registration.</w:t>
      </w:r>
    </w:p>
    <w:p>
      <w:pPr>
        <w:spacing w:after="0" w:line="17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6"/>
          <w:szCs w:val="16"/>
          <w:color w:val="auto"/>
        </w:rPr>
        <w:t>Our lead product in this field is our Emboli Detection and Classification (EDAC</w:t>
      </w:r>
      <w:r>
        <w:rPr>
          <w:rFonts w:ascii="Arial" w:cs="Arial" w:eastAsia="Arial" w:hAnsi="Arial"/>
          <w:sz w:val="20"/>
          <w:szCs w:val="20"/>
          <w:color w:val="auto"/>
          <w:vertAlign w:val="superscript"/>
        </w:rPr>
        <w:t>®</w:t>
      </w:r>
      <w:r>
        <w:rPr>
          <w:rFonts w:ascii="Arial" w:cs="Arial" w:eastAsia="Arial" w:hAnsi="Arial"/>
          <w:sz w:val="16"/>
          <w:szCs w:val="16"/>
          <w:color w:val="auto"/>
        </w:rPr>
        <w:t>) QUANTIFIER product. The EDAC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QUANTIFIER is a noninvasive medical device that uses quantitative ultrasound technology to count emboli in ex-vivo blood circuits in real-time. Emboli can be air bubbles or solid matter (lipids or blood clots) and can enter the blood circuit during critical and invasive medical procedures such as cardio-pulmonary bypass surgery. Emboli can be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dangerous and are believed to be the cause of neurological or neuropsychological post-operative deficits and, in some cases, fatalities. The EDAC</w:t>
      </w:r>
      <w:r>
        <w:rPr>
          <w:rFonts w:ascii="Arial" w:cs="Arial" w:eastAsia="Arial" w:hAnsi="Arial"/>
          <w:sz w:val="22"/>
          <w:szCs w:val="22"/>
          <w:color w:val="auto"/>
          <w:vertAlign w:val="superscript"/>
        </w:rPr>
        <w:t>®</w:t>
      </w:r>
      <w:r>
        <w:rPr>
          <w:rFonts w:ascii="Arial" w:cs="Arial" w:eastAsia="Arial" w:hAnsi="Arial"/>
          <w:sz w:val="18"/>
          <w:szCs w:val="18"/>
          <w:color w:val="auto"/>
        </w:rPr>
        <w:t>system uses advanced ultrasound technology to detect individual microemboli at rates up to 1000 per second. Employing complex algorithms originally developed for the defense industry, the system is designed to provide cardiothoracic surgeons, perfusionists and anesthesiologists with an accurate rate of emboli in the blood circuit during heart-lung bypass and other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launched the EDAC</w:t>
      </w:r>
      <w:r>
        <w:rPr>
          <w:rFonts w:ascii="Arial" w:cs="Arial" w:eastAsia="Arial" w:hAnsi="Arial"/>
          <w:sz w:val="22"/>
          <w:szCs w:val="22"/>
          <w:color w:val="auto"/>
          <w:vertAlign w:val="superscript"/>
        </w:rPr>
        <w:t>®</w:t>
      </w:r>
      <w:r>
        <w:rPr>
          <w:rFonts w:ascii="Arial" w:cs="Arial" w:eastAsia="Arial" w:hAnsi="Arial"/>
          <w:sz w:val="18"/>
          <w:szCs w:val="18"/>
          <w:color w:val="auto"/>
        </w:rPr>
        <w:t>QUANTIFIER in May 2006. We received FDA clearance of our 510(k) application for this product in May 2007.</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September 2007, we entered into a joint marketing alliance agreement with Terumo Cardiovascular Systems Corporation (Terumo CVS). Under the</w:t>
      </w:r>
    </w:p>
    <w:p>
      <w:pPr>
        <w:spacing w:after="0" w:line="46" w:lineRule="exact"/>
        <w:rPr>
          <w:sz w:val="20"/>
          <w:szCs w:val="20"/>
          <w:color w:val="auto"/>
        </w:rPr>
      </w:pPr>
    </w:p>
    <w:p>
      <w:pPr>
        <w:ind w:right="480"/>
        <w:spacing w:after="0" w:line="221" w:lineRule="auto"/>
        <w:rPr>
          <w:sz w:val="20"/>
          <w:szCs w:val="20"/>
          <w:color w:val="auto"/>
        </w:rPr>
      </w:pPr>
      <w:r>
        <w:rPr>
          <w:rFonts w:ascii="Arial" w:cs="Arial" w:eastAsia="Arial" w:hAnsi="Arial"/>
          <w:sz w:val="18"/>
          <w:szCs w:val="18"/>
          <w:color w:val="auto"/>
        </w:rPr>
        <w:t>terms of this agreement, Luna and Terumo CVS will market Luna’s EDAC</w:t>
      </w:r>
      <w:r>
        <w:rPr>
          <w:rFonts w:ascii="Arial" w:cs="Arial" w:eastAsia="Arial" w:hAnsi="Arial"/>
          <w:sz w:val="22"/>
          <w:szCs w:val="22"/>
          <w:color w:val="auto"/>
          <w:vertAlign w:val="superscript"/>
        </w:rPr>
        <w:t>®</w:t>
      </w:r>
      <w:r>
        <w:rPr>
          <w:rFonts w:ascii="Arial" w:cs="Arial" w:eastAsia="Arial" w:hAnsi="Arial"/>
          <w:sz w:val="18"/>
          <w:szCs w:val="18"/>
          <w:color w:val="auto"/>
        </w:rPr>
        <w:t>; QUANTIFIER for clinical use in the United States. Terumo CVS is the one of world's leading suppliers of products for cardiopulmonary bypass.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Medical Devices for Minimally Invasive Diagnostics, Surgery, and Therapy</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During 2007, we made significant progress in applying our award winning distributed fiber optic sensing technology to enhance medical devices used for minimally invasive procedures for diagnostics, surgery, or therapy. This technology can be applied to measure the position and shape of an instrument inside the body, as well as pressure and temperature. It is particularly beneficial to aid the navigation of robotic surgical devices in that it can provide real-time feedback of the shape, position, and location of the device. Similarly, it can provide the same benefits to non-robotic devices such as endoscopes.</w:t>
      </w:r>
    </w:p>
    <w:p>
      <w:pPr>
        <w:spacing w:after="0" w:line="113" w:lineRule="exact"/>
        <w:rPr>
          <w:sz w:val="20"/>
          <w:szCs w:val="20"/>
          <w:color w:val="auto"/>
        </w:rPr>
      </w:pPr>
    </w:p>
    <w:p>
      <w:pPr>
        <w:jc w:val="both"/>
        <w:ind w:right="100" w:firstLine="456"/>
        <w:spacing w:after="0" w:line="281" w:lineRule="auto"/>
        <w:rPr>
          <w:sz w:val="20"/>
          <w:szCs w:val="20"/>
          <w:color w:val="auto"/>
        </w:rPr>
      </w:pPr>
      <w:r>
        <w:rPr>
          <w:rFonts w:ascii="Arial" w:cs="Arial" w:eastAsia="Arial" w:hAnsi="Arial"/>
          <w:sz w:val="16"/>
          <w:szCs w:val="16"/>
          <w:color w:val="auto"/>
        </w:rPr>
        <w:t>In June 2007, we announced that we had entered into an intellectual property licensing, development, and supply agreement with Intuitive Surgical, Inc., a technology leader in robotic-assisted minimally invasive surgery. Under the terms of the multi-year agreement, we will develop and supply a fiber optic-based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shape sensing and position tracking system for integration into Intuitive Surgical’s products, which includes the da Vinci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Surgical System.</w:t>
      </w:r>
    </w:p>
    <w:p>
      <w:pPr>
        <w:spacing w:after="0" w:line="152" w:lineRule="exact"/>
        <w:rPr>
          <w:sz w:val="20"/>
          <w:szCs w:val="20"/>
          <w:color w:val="auto"/>
        </w:rPr>
      </w:pPr>
    </w:p>
    <w:p>
      <w:pPr>
        <w:ind w:right="480" w:firstLine="456"/>
        <w:spacing w:after="0" w:line="323" w:lineRule="auto"/>
        <w:rPr>
          <w:sz w:val="20"/>
          <w:szCs w:val="20"/>
          <w:color w:val="auto"/>
        </w:rPr>
      </w:pPr>
      <w:r>
        <w:rPr>
          <w:rFonts w:ascii="Arial" w:cs="Arial" w:eastAsia="Arial" w:hAnsi="Arial"/>
          <w:sz w:val="15"/>
          <w:szCs w:val="15"/>
          <w:color w:val="auto"/>
        </w:rPr>
        <w:t>We expect that this agreement with Intuitive Surgical will allow us to expand our presence within the medical devices market. Our shape sensing and position tracking system promises to provide real-time position measurements to help surgeons navigate through the body. The system consists of software, instrumentation and disposable optical sensing fiber. Our technology is unique and designed to provide the user with an accurate, direct and continuous measurement of device location with no adverse effect from line of sight limitations and without introducing electrical signals or radiation into the body.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Nanomaterial-based Medical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nanomaterial manufacturing and research and development team is developing advanced carbon nanomaterials, which are molecular structures</w:t>
      </w:r>
    </w:p>
    <w:p>
      <w:pPr>
        <w:spacing w:after="0" w:line="46"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consisting of carbon atoms in distinctive geometric shapes. Such materials include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nanomaterials, a new class of materials that we describe in more detail below; fullerenes, which are carbon spheres that resemble a soccer ball; and carbon nanotubes, which are carbon rings shaped like a cylinder.</w:t>
      </w:r>
    </w:p>
    <w:p>
      <w:pPr>
        <w:spacing w:after="0" w:line="19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5"/>
          <w:szCs w:val="15"/>
          <w:color w:val="auto"/>
        </w:rPr>
        <w:t>A Trimetasphere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nanomaterial is a carbon sphere with three metal atoms and a nitrogen atom enclosed inside. Using different combinations of a group of 17 rare earth metals, we can develop thousands of different types of Trimetasphere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nanomaterials, each with distinctive properties and performance characteristics and each potentially marketable as a separate product. Each type of Trimetasphere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nanomaterial has distinctive chemical, physical or biological properties due to the properties of the metals enclosed in its carbon cage. We can further customize Trimetasphere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nanomaterials for specific applications by</w:t>
      </w:r>
    </w:p>
    <w:p>
      <w:pPr>
        <w:spacing w:after="0" w:line="3" w:lineRule="exact"/>
        <w:rPr>
          <w:sz w:val="20"/>
          <w:szCs w:val="20"/>
          <w:color w:val="auto"/>
        </w:rPr>
      </w:pPr>
    </w:p>
    <w:p>
      <w:pPr>
        <w:ind w:right="240"/>
        <w:spacing w:after="0" w:line="238" w:lineRule="auto"/>
        <w:rPr>
          <w:sz w:val="20"/>
          <w:szCs w:val="20"/>
          <w:color w:val="auto"/>
        </w:rPr>
      </w:pPr>
      <w:r>
        <w:rPr>
          <w:rFonts w:ascii="Arial" w:cs="Arial" w:eastAsia="Arial" w:hAnsi="Arial"/>
          <w:sz w:val="16"/>
          <w:szCs w:val="16"/>
          <w:color w:val="auto"/>
        </w:rPr>
        <w:t>attaching different atoms or molecules to the surface of their carbon spheres. In some cases, the knowledge we gain from customizing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nanomaterials for specific applications may provide us with new intellectual property covering Trimetasphere nanomaterials and may also provide us with new</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intellectual property covering carbon nanomaterials other than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nanomaterials, further expanding our inventory of potential new products. Through</w:t>
      </w:r>
    </w:p>
    <w:p>
      <w:pPr>
        <w:spacing w:after="0" w:line="225" w:lineRule="auto"/>
        <w:rPr>
          <w:sz w:val="20"/>
          <w:szCs w:val="20"/>
          <w:color w:val="auto"/>
        </w:rPr>
      </w:pPr>
      <w:r>
        <w:rPr>
          <w:rFonts w:ascii="Arial" w:cs="Arial" w:eastAsia="Arial" w:hAnsi="Arial"/>
          <w:sz w:val="16"/>
          <w:szCs w:val="16"/>
          <w:color w:val="auto"/>
        </w:rPr>
        <w:t>our collaborative relationship with Virginia Tech, we have obtained an exclusive license to commercialize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nanomaterials under an issued 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patent and pending U.S. applications.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To date, we have won a number of government contracts funding new applications of nanotechnology. These contracts have a value of approximately $9.9 million, of which approximately $3.0 million in revenue resulted from contracts entered into since January 2007. These contracts are partially funding our development of manufacturing processes to produce nanomaterials in commercial quantities. Furthermore, we are researching and developing new applications exploring the physical properties of nanomaterials. We plan to continue to invest our own funds in these activities as well as competing for additional research contracts to support these programs.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Medical Imaging</w:t>
      </w:r>
    </w:p>
    <w:p>
      <w:pPr>
        <w:spacing w:after="0" w:line="96" w:lineRule="exact"/>
        <w:rPr>
          <w:sz w:val="20"/>
          <w:szCs w:val="20"/>
          <w:color w:val="auto"/>
        </w:rPr>
      </w:pPr>
    </w:p>
    <w:p>
      <w:pPr>
        <w:ind w:right="220" w:firstLine="456"/>
        <w:spacing w:after="0" w:line="291" w:lineRule="auto"/>
        <w:rPr>
          <w:sz w:val="20"/>
          <w:szCs w:val="20"/>
          <w:color w:val="auto"/>
        </w:rPr>
      </w:pPr>
      <w:r>
        <w:rPr>
          <w:rFonts w:ascii="Arial" w:cs="Arial" w:eastAsia="Arial" w:hAnsi="Arial"/>
          <w:sz w:val="15"/>
          <w:szCs w:val="15"/>
          <w:color w:val="auto"/>
        </w:rPr>
        <w:t>A potential market application of our nanomaterial technology is magnetic resonance imaging, or MRI. MRI has been established as the imaging technology of choice for a broad range of applications, including the identification and diagnosis of a variety of medical disorders. MRI provides three-dimensional images that enable physicians to diagnose and manage disease in a minimally invasive manner. MRI contrast agents, used in about 30% of MRI procedures, improve the resolution of images by enhancing the contrast in the organ or tissue in the body where the contrast agent circulates. We anticipate that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our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nanomaterial contrast agents will offer two primary advantages over existing contrast agents: lower risk of toxicity and higher image contrast.</w:t>
      </w:r>
    </w:p>
    <w:p>
      <w:pPr>
        <w:spacing w:after="0" w:line="17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Most of the contrast agents approved by the FDA use gadolinium, a toxic metal. To neutralize gadolinium’s toxicity, contrast agents use organic compounds called chelates that wrap around the gadolinium, shielding the patient from its toxicity. However, chelates cannot neutralize the gadolinium if it escapes from the chelate. The longer the agent circulates, the greater the risk of gadolinium escaping from the chelate and causing toxicity. As a result, the contrast agents currently in use need to be eliminated from the body quickly, making it difficult to produce high quality images. The FDA has also recently released a black box warning to the radiology community regarding the dangers of all current gadolinium-based contrast agents to patients with impaired kidney function, noting that there have been at least 90 fatal outcomes within 18 months after the patient received such contrast agents in an MRI procedure.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solve this problem, our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nanomaterial MRI contrast agents utilize a completely new approach to preventing toxicity. Due to the strength</w:t>
      </w:r>
    </w:p>
    <w:p>
      <w:pPr>
        <w:spacing w:after="0" w:line="14" w:lineRule="exact"/>
        <w:rPr>
          <w:sz w:val="20"/>
          <w:szCs w:val="20"/>
          <w:color w:val="auto"/>
        </w:rPr>
      </w:pPr>
    </w:p>
    <w:p>
      <w:pPr>
        <w:ind w:right="140"/>
        <w:spacing w:after="0" w:line="256" w:lineRule="auto"/>
        <w:rPr>
          <w:sz w:val="20"/>
          <w:szCs w:val="20"/>
          <w:color w:val="auto"/>
        </w:rPr>
      </w:pPr>
      <w:r>
        <w:rPr>
          <w:rFonts w:ascii="Arial" w:cs="Arial" w:eastAsia="Arial" w:hAnsi="Arial"/>
          <w:sz w:val="15"/>
          <w:szCs w:val="15"/>
          <w:color w:val="auto"/>
        </w:rPr>
        <w:t>of the Trimetasphere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nanomaterial’s carbon cage enclosing the gadolinium, we believe that our Trimetasphere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nanomaterial-based contrast agent can encapsulate gadolinium for a longer period of time, and therefore allow the contrast agent to remain safely in the body longer. Experiments have also shown that</w:t>
      </w:r>
    </w:p>
    <w:p>
      <w:pPr>
        <w:spacing w:after="0" w:line="1" w:lineRule="exact"/>
        <w:rPr>
          <w:sz w:val="20"/>
          <w:szCs w:val="20"/>
          <w:color w:val="auto"/>
        </w:rPr>
      </w:pPr>
    </w:p>
    <w:p>
      <w:pPr>
        <w:ind w:right="120"/>
        <w:spacing w:after="0" w:line="221" w:lineRule="auto"/>
        <w:rPr>
          <w:sz w:val="20"/>
          <w:szCs w:val="20"/>
          <w:color w:val="auto"/>
        </w:rPr>
      </w:pPr>
      <w:r>
        <w:rPr>
          <w:rFonts w:ascii="Arial" w:cs="Arial" w:eastAsia="Arial" w:hAnsi="Arial"/>
          <w:sz w:val="18"/>
          <w:szCs w:val="18"/>
          <w:color w:val="auto"/>
        </w:rPr>
        <w:t>our Trimetasphere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nanomaterials provide a stronger contrast effect than the other contrast agents currently on the market. The first compound in this program is currently in preclinical development.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addition to use as a general blood pooling agent, we are developing various modifications to the Trimetasphere</w:t>
      </w:r>
      <w:r>
        <w:rPr>
          <w:rFonts w:ascii="Arial" w:cs="Arial" w:eastAsia="Arial" w:hAnsi="Arial"/>
          <w:sz w:val="19"/>
          <w:szCs w:val="19"/>
          <w:color w:val="auto"/>
          <w:vertAlign w:val="superscript"/>
        </w:rPr>
        <w:t>®</w:t>
      </w:r>
      <w:r>
        <w:rPr>
          <w:rFonts w:ascii="Arial" w:cs="Arial" w:eastAsia="Arial" w:hAnsi="Arial"/>
          <w:sz w:val="15"/>
          <w:szCs w:val="15"/>
          <w:color w:val="auto"/>
        </w:rPr>
        <w:t xml:space="preserve"> nanomaterials to target them for specific</w:t>
      </w:r>
    </w:p>
    <w:p>
      <w:pPr>
        <w:spacing w:after="0" w:line="25" w:lineRule="exact"/>
        <w:rPr>
          <w:sz w:val="20"/>
          <w:szCs w:val="20"/>
          <w:color w:val="auto"/>
        </w:rPr>
      </w:pPr>
    </w:p>
    <w:p>
      <w:pPr>
        <w:ind w:right="420"/>
        <w:spacing w:after="0" w:line="214" w:lineRule="auto"/>
        <w:rPr>
          <w:sz w:val="20"/>
          <w:szCs w:val="20"/>
          <w:color w:val="auto"/>
        </w:rPr>
      </w:pPr>
      <w:r>
        <w:rPr>
          <w:rFonts w:ascii="Arial" w:cs="Arial" w:eastAsia="Arial" w:hAnsi="Arial"/>
          <w:sz w:val="18"/>
          <w:szCs w:val="18"/>
          <w:color w:val="auto"/>
        </w:rPr>
        <w:t>tissues or physiological conditions. We believe that, using the Trimetasphere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nanomaterials, additional disease-targeting diagnostic agents can be created to enhance the capabilities of MRI and significantly expand its applications.</w:t>
      </w:r>
    </w:p>
    <w:p>
      <w:pPr>
        <w:spacing w:after="0" w:line="18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Medical contrast agents for human use must be approved by the FDA or similar foreign regulatory agencies before they can be marketed, which we do not expect for several years. Please see the section titled “Government Regulation” below for more information about the regulatory approval process for our medical products.</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are also actively researching other applications for nanomaterial-based drugs based on the anti-oxidative characteristics of these materials. Such products are in the early stages of development, but if successful, would offer new market opportunities for us.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2007, our scientists, together with a team at Virginia Commonwealth University, published the discovery that carbon nanomaterials are effective at blocking allergic response in cultured human cells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laboratory animals. This published study used commercially available nanomaterials to reveal a previously unknown pathway to modulating the immune system. We have an ongoing therapeutic program studying proprietary compounds in a number of different therapeutic areas, including immunology. We have filed two new patent applications to protect our recent discoveries in therapeutics.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Development Division</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Technology Development Division provides applied research to customers in our primary areas of focus. Our Technology Development Division competes to win contracts in these areas on a fee-for-service basis. This group has a successful track record of evaluating innovative technologies to address the needs of our customers. We identify these needs by utilizing our knowledge of the markets in our areas of focus and by consulting with major government entities, leading research universities and large corporations. We also use this network to obtain favorable technology transfer agreements, contract research revenues and strategic partnerships for the products that we develop based on our applied research.</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working or have worked with over 60 corporate, academic and government collaborators, including:</w:t>
      </w:r>
    </w:p>
    <w:p>
      <w:pPr>
        <w:spacing w:after="0" w:line="84" w:lineRule="exact"/>
        <w:rPr>
          <w:sz w:val="20"/>
          <w:szCs w:val="20"/>
          <w:color w:val="auto"/>
        </w:rPr>
      </w:pPr>
    </w:p>
    <w:p>
      <w:pPr>
        <w:ind w:left="900" w:right="220" w:hanging="446"/>
        <w:spacing w:after="0" w:line="31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Universities. </w:t>
      </w:r>
      <w:r>
        <w:rPr>
          <w:rFonts w:ascii="Arial" w:cs="Arial" w:eastAsia="Arial" w:hAnsi="Arial"/>
          <w:sz w:val="16"/>
          <w:szCs w:val="16"/>
          <w:color w:val="auto"/>
        </w:rPr>
        <w:t>The College of William and Mary, Duke University, Georgia Institute of Technology, North Dakota State University, The Ohio State</w:t>
      </w:r>
      <w:r>
        <w:rPr>
          <w:rFonts w:ascii="Arial" w:cs="Arial" w:eastAsia="Arial" w:hAnsi="Arial"/>
          <w:sz w:val="16"/>
          <w:szCs w:val="16"/>
          <w:b w:val="1"/>
          <w:bCs w:val="1"/>
          <w:color w:val="auto"/>
        </w:rPr>
        <w:t xml:space="preserve"> </w:t>
      </w:r>
      <w:r>
        <w:rPr>
          <w:rFonts w:ascii="Arial" w:cs="Arial" w:eastAsia="Arial" w:hAnsi="Arial"/>
          <w:sz w:val="16"/>
          <w:szCs w:val="16"/>
          <w:color w:val="auto"/>
        </w:rPr>
        <w:t>University, The Pennsylvania State University, University of California, San Diego, University of Pittsburgh, University of Virginia, Washington University in St. Louis, University of Wyoming, and Virginia Polytechnic Institute and State University, or Virginia Tech;</w:t>
      </w:r>
    </w:p>
    <w:p>
      <w:pPr>
        <w:spacing w:after="0" w:line="16" w:lineRule="exact"/>
        <w:rPr>
          <w:rFonts w:ascii="Arial" w:cs="Arial" w:eastAsia="Arial" w:hAnsi="Arial"/>
          <w:sz w:val="16"/>
          <w:szCs w:val="16"/>
          <w:color w:val="auto"/>
        </w:rPr>
      </w:pPr>
    </w:p>
    <w:p>
      <w:pPr>
        <w:ind w:left="900" w:hanging="446"/>
        <w:spacing w:after="0" w:line="301"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Government entities. </w:t>
      </w:r>
      <w:r>
        <w:rPr>
          <w:rFonts w:ascii="Arial" w:cs="Arial" w:eastAsia="Arial" w:hAnsi="Arial"/>
          <w:sz w:val="16"/>
          <w:szCs w:val="16"/>
          <w:color w:val="auto"/>
        </w:rPr>
        <w:t>Defense Advanced Research Projects Agency, Defense Threat Reduction Agency, Environmental Protection Agency, 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Aeronautics and Space Administration, National Institutes of Health, National Institute of Standards and Technology, National Science Foundation, United States Air Force, United States Army, United States Department of Agriculture, United States Department of Commerce, United States Department of Defense, United States Department of Energy, United States Department of Transportation and United States Navy; and</w:t>
      </w:r>
    </w:p>
    <w:p>
      <w:pPr>
        <w:spacing w:after="0" w:line="22" w:lineRule="exact"/>
        <w:rPr>
          <w:rFonts w:ascii="Arial" w:cs="Arial" w:eastAsia="Arial" w:hAnsi="Arial"/>
          <w:sz w:val="16"/>
          <w:szCs w:val="16"/>
          <w:color w:val="auto"/>
        </w:rPr>
      </w:pPr>
    </w:p>
    <w:p>
      <w:pPr>
        <w:ind w:left="900" w:right="200" w:hanging="446"/>
        <w:spacing w:after="0" w:line="27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Corporations. </w:t>
      </w:r>
      <w:r>
        <w:rPr>
          <w:rFonts w:ascii="Arial" w:cs="Arial" w:eastAsia="Arial" w:hAnsi="Arial"/>
          <w:sz w:val="18"/>
          <w:szCs w:val="18"/>
          <w:color w:val="auto"/>
        </w:rPr>
        <w:t>Anteon International Corporation, Applied Research Associates, Inc., Dana Corporation, Northrop Grumman Corporation, Boeing,</w:t>
      </w:r>
      <w:r>
        <w:rPr>
          <w:rFonts w:ascii="Arial" w:cs="Arial" w:eastAsia="Arial" w:hAnsi="Arial"/>
          <w:sz w:val="18"/>
          <w:szCs w:val="18"/>
          <w:b w:val="1"/>
          <w:bCs w:val="1"/>
          <w:color w:val="auto"/>
        </w:rPr>
        <w:t xml:space="preserve"> </w:t>
      </w:r>
      <w:r>
        <w:rPr>
          <w:rFonts w:ascii="Arial" w:cs="Arial" w:eastAsia="Arial" w:hAnsi="Arial"/>
          <w:sz w:val="18"/>
          <w:szCs w:val="18"/>
          <w:color w:val="auto"/>
        </w:rPr>
        <w:t>Raytheon, Lockheed Martin, General Dynamics, Sherwin-Williams and International Paint.</w:t>
      </w:r>
    </w:p>
    <w:p>
      <w:pPr>
        <w:spacing w:after="0" w:line="12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seek to continue to maximize the benefits we derive from our contract research business, including revenue generation and identification of promising technologies for further development. We focus primarily on opportunities where we can retain partial or full rights to the intellectual property developed and proactively target projects that we believe have the highest commercialization potential. Also, we take a disciplined approach to contract research to try to ensure that the costs of any contract we undertake are fully covered. This approach enables us to cover the costs of riskier stage technology development with third-party funding. We believe that this model is cost efficient and reduces our risk significantly.</w:t>
      </w:r>
    </w:p>
    <w:p>
      <w:pPr>
        <w:spacing w:after="0" w:line="11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of December 31, 2007, our Technology Development Division was engaged in 106 separate active contracts. Such contracts typically last from six months to three years. These projects span a wide range of applications across our areas of focus.</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Although we conduct our applied research on a fee-for-service basis for third parties, we seek to retain full or partial rights to the technologies and patents developed under those contracts and to continuously enlarge and strengthen our intellectual property portfolio. Often, a new technology that we develop complements existing technologies and enables us to develop applications and products that were not previously possible. In addition, the technologies we develop are often applicable to commercial markets beyond what was originally contemplated in the contract research of such technologies and we endeavor to capture the value of those opportunities.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31, 2007, our Technology Development Division team consisted of 125 full time employees, including 42 with Ph.D.s and 63 with other advanced degrees. Our Technology Development Division also utilizes the knowledge and experience of researchers employed through the academic institutions, corporations and government agencies with which we subcontract. The Technology Development Division is organized into subgroups according to the area of technology, with each subgroup managed by its own director responsible for its financial performance. In addition, our Technology Development Division has in place disciplined processes designed to ensure quality control of proposal preparation, program reviews, pipeline reviews, revenue tracking and financial reporting.</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Technology Development Division has a high historical success rate in winning bids for U.S. Government SBIR contracts, and we have won three National Tibbett’s Awards from the Small Business Administration for outstanding SBIR performance. SBIR contracts include Phase I feasibility contracts of up to $100,000 and Phase II proof-of-concept contracts, which can be as high as $750,000. We also have been successful at winning contracts outside the SBIR program from corporations and government entities. Such contracts have no financial limit and typically have a longer duration, ranging from 12 to 24 months. As we continue to grow, one of our goals is to derive a larger portion of our contract research revenues from contracts outside the SBIR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Technologies in Development</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Through our Technology Development Division, we have also developed expertise with advanced materials for industrial, commercial and military applications. Examples of product candidates in our pipeline that have demonstrated proof-of-concept include multi-functional protective coating systems and blast and ballistic resistant materials.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Multi-Functional Protective Coating Systems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exploring developing a family of multi-functional protective coating products to meet numerous market opportunities. Our approach involves the combination of innovative resin systems with commercially available and proprietary additives to create high performance primers and topcoats. Our engineered coating systems are designed to have a variety of key performance attributes, including anti-corrosion, self-healing, rapid cure, non-skid, and tailored dielectric properties. In addition to coatings, we are also developing other complementary products, such as surface cleaners and pretreatments that will improve the performance of the entire coating system.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Blast and Ballistic Resistant Materials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developing a variety of blast and ballistic resistant coatings, materials and composites for critical defense and homeland security applications. We combine resins, polymers, fibers, fabrics and composites that we have developed with commercially-available components to create high strength, lightweight and flexible materials that range in application from soldiers to ships. Specific examples of potential applications include a new ammunition packaging system to protect both ordnance and soldiers; a flexible blast resistant polymer to improve the integrity of ship deck coating systems and to prevent interior shrapnel in the event of an explosive blast; and lightweight, transparent, ballistic resistant polymers for use in next generation military 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the following key strategies to achieve our goal of accelerating the development and commercialization of innovative technologies and to create successful products in our areas of focus:</w:t>
      </w:r>
    </w:p>
    <w:p>
      <w:pPr>
        <w:spacing w:after="0" w:line="45" w:lineRule="exact"/>
        <w:rPr>
          <w:sz w:val="20"/>
          <w:szCs w:val="20"/>
          <w:color w:val="auto"/>
        </w:rPr>
      </w:pPr>
    </w:p>
    <w:p>
      <w:pPr>
        <w:ind w:left="900" w:hanging="446"/>
        <w:spacing w:after="0" w:line="262"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Continue to expand our portfolio of innovative products. </w:t>
      </w:r>
      <w:r>
        <w:rPr>
          <w:rFonts w:ascii="Arial" w:cs="Arial" w:eastAsia="Arial" w:hAnsi="Arial"/>
          <w:sz w:val="18"/>
          <w:szCs w:val="18"/>
          <w:color w:val="auto"/>
        </w:rPr>
        <w:t>We intend to build and commercialize a growing portfolio of high value-added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innovative technologies and utilize our existing relationships to identify, prioritize and allocate resources to respond rapidly to market needs and shorten the time to market for new products.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9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Transition our mix of revenues to a higher percentage of product and license revenues. </w:t>
      </w:r>
      <w:r>
        <w:rPr>
          <w:rFonts w:ascii="Arial" w:cs="Arial" w:eastAsia="Arial" w:hAnsi="Arial"/>
          <w:sz w:val="16"/>
          <w:szCs w:val="16"/>
          <w:color w:val="auto"/>
        </w:rPr>
        <w:t>We plan to commercialize a growing number of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in order to increase the amount of revenues that we generate from product sales and license payments. To this end, we will seek to expand our distribution network and our ability to service our customers. We will also seek to allocate resources to improve our ability to manufacture and shorten the cycle time from idea to market and to monetize our intellectual property portfolio by licensing our technologies. As a result, we believe that product sales and license revenues will comprise a greater portion of our total revenues in the future.</w:t>
      </w:r>
    </w:p>
    <w:p>
      <w:pPr>
        <w:spacing w:after="0" w:line="26" w:lineRule="exact"/>
        <w:rPr>
          <w:rFonts w:ascii="Arial" w:cs="Arial" w:eastAsia="Arial" w:hAnsi="Arial"/>
          <w:sz w:val="16"/>
          <w:szCs w:val="16"/>
          <w:color w:val="auto"/>
        </w:rPr>
      </w:pPr>
    </w:p>
    <w:p>
      <w:pPr>
        <w:ind w:left="900" w:right="20" w:hanging="446"/>
        <w:spacing w:after="0" w:line="296"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Continue to strengthen our Technology Development Division and actively pursue non-SBIR contracts. </w:t>
      </w:r>
      <w:r>
        <w:rPr>
          <w:rFonts w:ascii="Arial" w:cs="Arial" w:eastAsia="Arial" w:hAnsi="Arial"/>
          <w:sz w:val="16"/>
          <w:szCs w:val="16"/>
          <w:color w:val="auto"/>
        </w:rPr>
        <w:t>We will seek to strengthen our</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Technology Development Division through increased resource allocation and hiring and by expanding our network of relationships with federal laboratories, major research universities and industry leaders. These steps will provide us the opportunity to grow our applied research business, remain informed of the latest technological advances and increase the quality and volume of high potential technologies that will support our product pipeline. We are also actively bidding on new non-SBIR contracts to increase our backlog of non-SBIR contract revenue.</w:t>
      </w:r>
    </w:p>
    <w:p>
      <w:pPr>
        <w:spacing w:after="0" w:line="26" w:lineRule="exact"/>
        <w:rPr>
          <w:rFonts w:ascii="Arial" w:cs="Arial" w:eastAsia="Arial" w:hAnsi="Arial"/>
          <w:sz w:val="16"/>
          <w:szCs w:val="16"/>
          <w:color w:val="auto"/>
        </w:rPr>
      </w:pPr>
    </w:p>
    <w:p>
      <w:pPr>
        <w:ind w:left="900" w:hanging="446"/>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Expand our intellectual property portfolio in our areas of focus. </w:t>
      </w:r>
      <w:r>
        <w:rPr>
          <w:rFonts w:ascii="Arial" w:cs="Arial" w:eastAsia="Arial" w:hAnsi="Arial"/>
          <w:sz w:val="18"/>
          <w:szCs w:val="18"/>
          <w:color w:val="auto"/>
        </w:rPr>
        <w:t>We will seek to expand our intellectual property portfolio by applying our</w:t>
      </w:r>
      <w:r>
        <w:rPr>
          <w:rFonts w:ascii="Arial" w:cs="Arial" w:eastAsia="Arial" w:hAnsi="Arial"/>
          <w:sz w:val="18"/>
          <w:szCs w:val="18"/>
          <w:b w:val="1"/>
          <w:bCs w:val="1"/>
          <w:color w:val="auto"/>
        </w:rPr>
        <w:t xml:space="preserve"> </w:t>
      </w:r>
      <w:r>
        <w:rPr>
          <w:rFonts w:ascii="Arial" w:cs="Arial" w:eastAsia="Arial" w:hAnsi="Arial"/>
          <w:sz w:val="18"/>
          <w:szCs w:val="18"/>
          <w:color w:val="auto"/>
        </w:rPr>
        <w:t>disciplined processes to generate know-how and intellectual property through our network of relationships and our own research and development efforts. By continuing to expand our intellectual property portfolio, we will seek to enhance our competitive position and develop additional products in these areas.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seek patent protection on inventions that we consider important to the development of our business. We rely on a combination of patent, trademark, copyright and trade secret laws in the United States and other jurisdictions, as well as confidentiality procedures and contractual provisions to protect our proprietary technology and our brand. We control access to our proprietary technology and enter into confidentiality and invention assignment agreements with our employees and consultants and confidentiality agreements with other third parties.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success depends in part on our ability to develop patentable products and obtain, maintain and enforce patent and trade secret protection for our products, as well as successfully defend these patents against third party challenges both in the United States and in other countries. We will only be able to protect our technologies from unauthorized use by third parties to the extent that we own or have licensed valid and enforceable patents or trade secrets that cover them. Furthermore, the degree of future protection of our proprietary rights is uncertain because legal means afford only limited protection and may not adequately protect our rights or permit us to gain or keep our competitive advantage.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Currently, we own or license numerous U.S. patents and patent applications, and we intend to file, or request that our licensors file, additional patent applications for patents covering our products. However, patents may not be issued for any pending or future pending patent applications owned by or licensed to us. Claims allowed under any issued patent or future issued patent owned or licensed by us may not be valid or sufficiently broad to protect our technologies. Any issued patents owned by or licensed to us now or in the future may be challenged, invalidated or circumvented, and, in addition, the rights under such patents may not provide us with competitive advantages. In addition, competitors may design around our technology or develop competing technologies. Intellectual property rights may also be unavailable or limited in some foreign countries, which could make it easier for competitors to capture or increase their market share with respect to related technologies.</w:t>
      </w:r>
    </w:p>
    <w:p>
      <w:pPr>
        <w:spacing w:after="0" w:line="118"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could incur substantial costs to defend ourselves in suits brought against us or in suits in which we may assert our patent rights against others. An unfavorable outcome of any such litigation could have a material adverse effect on our business and results of operations.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following table sets forth certain summary information concerning our senior executive officers. Additional information concerning our executive officers and directors may be found in our 2008 Proxy Statement, which is incorporated by reference in Item 10 of Part II in this Annual Report on Form 10-K.</w:t>
      </w:r>
    </w:p>
    <w:p>
      <w:pPr>
        <w:spacing w:after="0" w:line="8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Kent A. Murphy, Ph.D.</w:t>
      </w:r>
      <w:r>
        <w:rPr>
          <w:rFonts w:ascii="Arial" w:cs="Arial" w:eastAsia="Arial" w:hAnsi="Arial"/>
          <w:sz w:val="16"/>
          <w:szCs w:val="16"/>
          <w:color w:val="auto"/>
        </w:rPr>
        <w:t>, our founder, has served as our President, Chief Executive Officer and Chairman of the Board since 1992. Dr. Murphy received his</w:t>
      </w:r>
      <w:r>
        <w:rPr>
          <w:rFonts w:ascii="Arial" w:cs="Arial" w:eastAsia="Arial" w:hAnsi="Arial"/>
          <w:sz w:val="16"/>
          <w:szCs w:val="16"/>
          <w:i w:val="1"/>
          <w:iCs w:val="1"/>
          <w:color w:val="auto"/>
        </w:rPr>
        <w:t xml:space="preserve"> </w:t>
      </w:r>
      <w:r>
        <w:rPr>
          <w:rFonts w:ascii="Arial" w:cs="Arial" w:eastAsia="Arial" w:hAnsi="Arial"/>
          <w:sz w:val="16"/>
          <w:szCs w:val="16"/>
          <w:color w:val="auto"/>
        </w:rPr>
        <w:t>Ph.D. in Electrical Engineering from Virginia Polytechnic Institute and State University and is formerly a tenured professor in Virginia Tech’s Bradley Department of Engineering, where he filed for over 35 patents. In 2001, he was named SBIR Entrepreneur of the Year and in 2004 was named Outstanding Industrialist of the Year by Virginia’s Governor Warner. Dr. Murphy is the founding member of The Accelerating Innovation Foundation, a non-profit organization whose goal is to promote and facilitate development of a technology innovation cluster in the Mid-Atlantic region. Dr. Murphy is not related to Edward G. Murphy, M.D., a member of our board of directors.</w:t>
      </w:r>
    </w:p>
    <w:p>
      <w:pPr>
        <w:spacing w:after="0" w:line="12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 xml:space="preserve">Dale E. Messick </w:t>
      </w:r>
      <w:r>
        <w:rPr>
          <w:rFonts w:ascii="Arial" w:cs="Arial" w:eastAsia="Arial" w:hAnsi="Arial"/>
          <w:sz w:val="18"/>
          <w:szCs w:val="18"/>
          <w:color w:val="auto"/>
        </w:rPr>
        <w:t>has served as our Chief Financial Officer since August 2006. Prior to joining the company, Mr. Messick served in various capacities,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Chief Financial Officer at Worldspan, a provider of transaction processing and information technology services to the global travel industry. At Worldspan, Mr. Messick managed a staff of 160 throughout the United States, Mexico, and Europe and was responsible for accounting, financial reporting, budgeting, financial planning and analysis, and internal audit operations. Mr. Messick received a B.B.A. in Accounting from The College of William and Mary and is a certified public accountant.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Scott A. Graeff </w:t>
      </w:r>
      <w:r>
        <w:rPr>
          <w:rFonts w:ascii="Arial" w:cs="Arial" w:eastAsia="Arial" w:hAnsi="Arial"/>
          <w:sz w:val="16"/>
          <w:szCs w:val="16"/>
          <w:color w:val="auto"/>
        </w:rPr>
        <w:t>has served as our Chief Commercialization Officer since August 2006 and previously served as our Chief Financial Officer since July 2005.</w:t>
      </w:r>
      <w:r>
        <w:rPr>
          <w:rFonts w:ascii="Arial" w:cs="Arial" w:eastAsia="Arial" w:hAnsi="Arial"/>
          <w:sz w:val="16"/>
          <w:szCs w:val="16"/>
          <w:i w:val="1"/>
          <w:iCs w:val="1"/>
          <w:color w:val="auto"/>
        </w:rPr>
        <w:t xml:space="preserve"> </w:t>
      </w:r>
      <w:r>
        <w:rPr>
          <w:rFonts w:ascii="Arial" w:cs="Arial" w:eastAsia="Arial" w:hAnsi="Arial"/>
          <w:sz w:val="16"/>
          <w:szCs w:val="16"/>
          <w:color w:val="auto"/>
        </w:rPr>
        <w:t>Mr. Graeff was also a member of our Board of Directors from August 2005 until March 2006. From December 1999 to June 2001, Mr. Graeff served as Chief Financial Officer of Liquidity Link, a software development company. From June 2001 to August 2002, Mr. Graeff served as President and Chief Financial Officer of Autumn Investments. From August 2002 until July 2005, Mr. Graeff served as a Managing Director for Gryphon Capital Partners, a venture capital investment group. From August 2003 until July 2005, Mr. Graeff also served as the Acting Chief Financial Officer of Luna Technologies, Inc. Mr. Graeff is presently a member of the Board of Directors of Provox Technologies Corporation, a provider of speech recognition-based medical documentation and workflow management systems, a position he has held since June 2004. Mr. Graeff holds a B.S. in Commerce from the University of Virginia.</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Scott A. Meller </w:t>
      </w:r>
      <w:r>
        <w:rPr>
          <w:rFonts w:ascii="Arial" w:cs="Arial" w:eastAsia="Arial" w:hAnsi="Arial"/>
          <w:sz w:val="16"/>
          <w:szCs w:val="16"/>
          <w:color w:val="auto"/>
        </w:rPr>
        <w:t>has served as our President, Contract Research Group, since September 2005. From May 2004 to September 2005, Mr. Meller served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From October 2002 to May 2004, Mr. Meller served as our Vice President of Research and Development and previously served as Director of Engineering from September 2000 to October 2002. Mr. Meller joined Luna Innovations in 1996 and was a major contributor to early research that led to spin-offs and new products, including Luna Technologies, Inc. Mr. Meller holds a B.S. in Electrical Engineering from Clemson University, a M.S. in Electrical Engineering from Virginia Tech, and is a licensed Professional Engineer. He also holds three patents in optical fiber sensors and devices.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Kenneth D. Ferris </w:t>
      </w:r>
      <w:r>
        <w:rPr>
          <w:rFonts w:ascii="Arial" w:cs="Arial" w:eastAsia="Arial" w:hAnsi="Arial"/>
          <w:sz w:val="16"/>
          <w:szCs w:val="16"/>
          <w:color w:val="auto"/>
        </w:rPr>
        <w:t>has served as President of Advanced Systems (part of our Products Division) since December 2005. Ken previously worked with one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spin-out ventures, Luna i-Monitoring. Prior to joining i-Monitoring in 2002, Ken worked for Carrier Access, where as VP and General Manger of Broadband Terminal Products, he was responsible for product development and product management activities. Ken joined Carrier Access in August of 2000 when Carrier acquired Millennia Systems, a company he co-founded. Prior to 1998, Ken was a Vice President for FiberCom, as part of the team who developed the company from infancy to maturity. Mr. Ferris holds a B.S. in Electrical Engineering from VirginiaTech.</w:t>
      </w:r>
    </w:p>
    <w:p>
      <w:pPr>
        <w:spacing w:after="0" w:line="116"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i w:val="1"/>
          <w:iCs w:val="1"/>
          <w:color w:val="auto"/>
        </w:rPr>
        <w:t xml:space="preserve">Brian J. Soller, PhD </w:t>
      </w:r>
      <w:r>
        <w:rPr>
          <w:rFonts w:ascii="Arial" w:cs="Arial" w:eastAsia="Arial" w:hAnsi="Arial"/>
          <w:sz w:val="18"/>
          <w:szCs w:val="18"/>
          <w:color w:val="auto"/>
        </w:rPr>
        <w:t>has served as President of the Products Division since January 2008. Prior to this position, Dr. Soller served as Vice-President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of the Luna Technologies Division since 2001. Dr. Soller is a Goldwater Scholar who conducted his doctoral studies as a National Defense Science and Engineering Graduate Fellow in optical science at the University of Rochester.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Robert P. Lenk, Ph.D. </w:t>
      </w:r>
      <w:r>
        <w:rPr>
          <w:rFonts w:ascii="Arial" w:cs="Arial" w:eastAsia="Arial" w:hAnsi="Arial"/>
          <w:sz w:val="18"/>
          <w:szCs w:val="18"/>
          <w:color w:val="auto"/>
        </w:rPr>
        <w:t>has served as President of our Luna nanoWorks Division since August 2005. Prior to joining Luna Innovations, Dr. Lenk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Oncovector Inc., a biopharmaceutical company since December 2003 and a member of its board of directors since May 2003. From July 1999 to September 2003, Dr. Lenk was President and Chief Executive Officer of Therapeutics 2000, an inhalation pharmaceutical research company. Lenk holds a Ph.D. in Cell Biology from the Massachusetts Institute of Technology.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our executive officers described above, the following is a summary of some of our other key technical personnel.</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Mark Froggatt, Ph.D. </w:t>
      </w:r>
      <w:r>
        <w:rPr>
          <w:rFonts w:ascii="Arial" w:cs="Arial" w:eastAsia="Arial" w:hAnsi="Arial"/>
          <w:sz w:val="18"/>
          <w:szCs w:val="18"/>
          <w:color w:val="auto"/>
        </w:rPr>
        <w:t>has been our Chief Technology Officer since September 2005. He co-founded Luna Technologies in the fall of 2000 to develop</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instrumentation for fiber optic devices. Dr. Froggatt is the primary inventor of the technology used in the OVA and a leading expert in the field of interferometric measurement. Before joining Luna Technologies, Dr. Froggatt worked at the NASA Langley Research Center developing ultrasonic and optical instrumentation for which he received eight patents. He received his B.S. and M.S. degrees in Electrical Engineering from Virginia Tech and a Ph.D. from the University of Rochester Institute of Optics.</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Joseph S. Heyman, Ph.D. </w:t>
      </w:r>
      <w:r>
        <w:rPr>
          <w:rFonts w:ascii="Arial" w:cs="Arial" w:eastAsia="Arial" w:hAnsi="Arial"/>
          <w:sz w:val="18"/>
          <w:szCs w:val="18"/>
          <w:color w:val="auto"/>
        </w:rPr>
        <w:t>has served as our Chief Scientific Officer since May 2003. Dr. Heyman has over 30 patents and the distinction of winning four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IR-100 awards as one of the 100 most significant technology developments of the year. Dr. Heyman served as Vice President and Chief Technology Officer of Nascent Technology Solutions from July 2001 to May 2003. He had a 36 year career at the NASA Langley Research Center, retiring as the Langley Chief Technologist for the Director. Dr Heyman is an Adjunct Professor of Physics and Applied Science at The College of William and Mary. He received his B.A. in Physics from Northeastern University and his M.A. in Solid State Physics and Physical Acoustics and his Ph.D. in Solid State Physics and Ultrasonics at Washington University.</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Kenneth L. Walker, Ph.D. </w:t>
      </w:r>
      <w:r>
        <w:rPr>
          <w:rFonts w:ascii="Arial" w:cs="Arial" w:eastAsia="Arial" w:hAnsi="Arial"/>
          <w:sz w:val="18"/>
          <w:szCs w:val="18"/>
          <w:color w:val="auto"/>
        </w:rPr>
        <w:t>has served as Executive Vice President of our nanomanufacturing group since May 2005. Dr. Walker founded a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photonic devices business within Lucent Technologies Inc. which grew from a concept to a business with over $200 million in revenues. Upon the divestiture of this business to Furukawa Co., Ltd., Dr. Walker continued as President of the division. Dr. Walker received his undergraduate degree from the California Institute of Technology and his Ph.D. degree from Stanford University.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Our Technology Development Division competes for government, university and corporate research contracts relating to a broad range of technologies. Competition for contract research is intense and the industry has few barriers to entry. We compete against a number of in-house research and development departments of major corporations, as well as a number of small, limited-service contract research providers. The contract research industry continues to experience consolidation, which has resulted in greater competition for clients. Increased competition might lead to price and other forms of competition that could harm our operating results. We compete for contract research on the basis of a number of factors, including reliability, past performance, expertise and experience in specific areas, scope of service offerings, technological capabilities and price.</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also compete, or will compete, with a variety of companies in several different product markets. The products that we have developed or are currently developing will compete with other technologically innovative products, as well as products incorporating conventional materials and technologies. We expect that our products will compete with companies in a wide range of industries, including semiconductors, electronics, biotechnology, textiles, alternative energy, military, defense, healthcare, telecommunications, industrial measurement, security applications and consumer electronics. Although there can be no assurance that we will continue to do so, we believe that we compete favorably in these areas. If we are unable to effectively compete in these areas in the future, we could lose business to our competitors, which could harm our operating results.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Qualification for Small Business Innovation Research Grants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presently derive a significant portion of our revenue from the U.S. Government’s Small Business Innovation Research, or SBIR, program administered by the U.S. Small Business Administration, or SBA. SBIR is a highly competitive program that encourages small businesses to explore their technological potential and provides them incentive to profit from the commercialization of technologies. Each year, U.S. government federal agencies and departments are required to set aside a portion of their grant awards for SBIR-qualified organizations. SBIR contracts include Phase I feasibility contracts of up to $100,000 and Phase II proof-of-concept contracts, which can be as high as $750,000. Several of our research contracts have used this program as a key source of project funding to develop new technologies.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continue to qualify for the SBIR program in order to be eligible to receive future SBIR awards. The eligibility requirements are:</w:t>
      </w:r>
    </w:p>
    <w:p>
      <w:pPr>
        <w:spacing w:after="0" w:line="84" w:lineRule="exact"/>
        <w:rPr>
          <w:sz w:val="20"/>
          <w:szCs w:val="20"/>
          <w:color w:val="auto"/>
        </w:rPr>
      </w:pPr>
    </w:p>
    <w:p>
      <w:pPr>
        <w:ind w:left="900" w:right="40" w:hanging="446"/>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Ownership. </w:t>
      </w:r>
      <w:r>
        <w:rPr>
          <w:rFonts w:ascii="Arial" w:cs="Arial" w:eastAsia="Arial" w:hAnsi="Arial"/>
          <w:sz w:val="18"/>
          <w:szCs w:val="18"/>
          <w:color w:val="auto"/>
        </w:rPr>
        <w:t>The company must be at least 51 percent owned and controlled by U.S. citizens or permanent resident aliens, or owned by an entity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itself at least 51 percent owned and controlled by U.S. citizens or permanent resident aliens; and</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Size. </w:t>
      </w:r>
      <w:r>
        <w:rPr>
          <w:rFonts w:ascii="Arial" w:cs="Arial" w:eastAsia="Arial" w:hAnsi="Arial"/>
          <w:sz w:val="18"/>
          <w:szCs w:val="18"/>
          <w:color w:val="auto"/>
        </w:rPr>
        <w:t>The company, including its affiliates, cannot have more than 500 employees.</w:t>
      </w:r>
    </w:p>
    <w:p>
      <w:pPr>
        <w:spacing w:after="0" w:line="17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These requirements are set forth in the SBA’s regulations and are interpreted by the SBA’s Office of Hearings and Appeals. In determining whether we satisfy the 51% equity ownership requirement, agreements to merge, stock options, convertible debt and other similar instruments are given “present effect” by the SBA as though the underlying security were actually issued unless the exercisability or conversion of such securities is speculative, remote or beyond the control of the security holder. We therefore believe our outstanding options and warrants held by eligible individuals may be counted as outstanding equity for purposes of meeting the 51% equity ownership requirement. As of December 31, 2007, giving present effect to our outstanding options, we estimate that at least 60% of our equity is owned by U.S. citizens or permanent residents.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be eligible for SBIR contracts, the number of our employees, including those of any entities that are considered to be affiliated with us, cannot exceed 500. As of December 31, 2007, we, including all of our divisions, had 217 full and part-time employees. In determining whether we have 500 or fewer employees, the SBA may count the number of employees of entities that are large stockholders who are “affiliated”, or have the power to control us. In determining whether two or more firms are affiliated, the SBA will look at factors such as stock ownership or common management, but ultimately will make its determination based on the “totality of the circumstances.” The SBA presumes that a large stockholder of ours has the power to control us absent evidence rebutting that presumption. With respect to Carilion Clinic (formerly Carilion Health System), our largest institutional stockholder, we believe we would not be required to count the employees of Carilion Clinic. We believe the relative beneficial ownership of our individual stockholders rebuts the presumption of control by Carilion Clinic because the shares held by our officers and directors constitute the controlling voting interest in us. Eligibility protests can be raised to the SBA by a competitor or by the awarding contracting agency. Accordingly, a company can be declared ineligible for a contract award as a result of a competitor’s protest to the SBA or as a result of questioning by the awarding contracting agency. We believe that we are currently in compliance with the SBIR eligibility criteria, but we cannot provide assurance that the SBA will interpret its regulations in our favor. As we grow larger, and as our ownership becomes more diversified, we may no longer qualify for the SBIR program, and we may be required to seek alternative sources and partnerships to fund some of our research and development costs. Additional information regarding these risks may be found in Part I, Item 1A of this Annual Report on Form 10-K—“Risk Factors”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Regulation of Products</w:t>
      </w:r>
    </w:p>
    <w:p>
      <w:pPr>
        <w:spacing w:after="0" w:line="117" w:lineRule="exact"/>
        <w:rPr>
          <w:sz w:val="20"/>
          <w:szCs w:val="20"/>
          <w:color w:val="auto"/>
        </w:rPr>
      </w:pPr>
    </w:p>
    <w:p>
      <w:pPr>
        <w:ind w:right="340" w:firstLine="456"/>
        <w:spacing w:after="0" w:line="221" w:lineRule="auto"/>
        <w:rPr>
          <w:sz w:val="20"/>
          <w:szCs w:val="20"/>
          <w:color w:val="auto"/>
        </w:rPr>
      </w:pPr>
      <w:r>
        <w:rPr>
          <w:rFonts w:ascii="Arial" w:cs="Arial" w:eastAsia="Arial" w:hAnsi="Arial"/>
          <w:sz w:val="18"/>
          <w:szCs w:val="18"/>
          <w:color w:val="auto"/>
        </w:rPr>
        <w:t>Some of the products that we are developing are subject to regulation under the Food Drug and Cosmetic (FDC) Act. In particular, our Trimetasphere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nanomaterial-based MRI contrast agent and our ultrasound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diagnostic devices for measuring certain medical conditions will be considered a drug and medical devices, respectively, under the FDC Act. Both the statutes and regulations promulgated under the FDC Act govern, among other things, the testing, manufacturing, safety efficacy, labeling, storage, recordkeeping, advertising and other promotional practices involving the regulation of drug and devices.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Medical Devices</w:t>
      </w:r>
    </w:p>
    <w:p>
      <w:pPr>
        <w:spacing w:after="0" w:line="117" w:lineRule="exact"/>
        <w:rPr>
          <w:sz w:val="20"/>
          <w:szCs w:val="20"/>
          <w:color w:val="auto"/>
        </w:rPr>
      </w:pPr>
    </w:p>
    <w:p>
      <w:pPr>
        <w:ind w:right="80" w:firstLine="456"/>
        <w:spacing w:after="0" w:line="244" w:lineRule="auto"/>
        <w:rPr>
          <w:sz w:val="20"/>
          <w:szCs w:val="20"/>
          <w:color w:val="auto"/>
        </w:rPr>
      </w:pPr>
      <w:r>
        <w:rPr>
          <w:rFonts w:ascii="Arial" w:cs="Arial" w:eastAsia="Arial" w:hAnsi="Arial"/>
          <w:sz w:val="17"/>
          <w:szCs w:val="17"/>
          <w:color w:val="auto"/>
        </w:rPr>
        <w:t>Our existing and future health care products, including our EDAC</w:t>
      </w:r>
      <w:r>
        <w:rPr>
          <w:rFonts w:ascii="Arial" w:cs="Arial" w:eastAsia="Arial" w:hAnsi="Arial"/>
          <w:sz w:val="21"/>
          <w:szCs w:val="21"/>
          <w:color w:val="auto"/>
          <w:vertAlign w:val="superscript"/>
        </w:rPr>
        <w:t>®</w:t>
      </w:r>
      <w:r>
        <w:rPr>
          <w:rFonts w:ascii="Arial" w:cs="Arial" w:eastAsia="Arial" w:hAnsi="Arial"/>
          <w:sz w:val="17"/>
          <w:szCs w:val="17"/>
          <w:color w:val="auto"/>
        </w:rPr>
        <w:t xml:space="preserve"> product, are regulated by the FDA as medical devices. The nature of the requirements applicable to devices depends on their classification by the FDA. A device developed by us would be automatically classified as a Class III device, requiring pre-market approval, unless the device is substantially equivalent to an existing device that has been classified in Class I or Class II or to a pre-1976 device that has not yet been classified or we convince the FDA. Class I or Class II devices require registration through the 510(k) exemption. If we were unable to demonstrate such substantial equivalence and unable to obtain reclassification, we would be required to undertake the costly and time-consuming process, comparable to that for new drugs, of conducting preclinical studies, obtaining an investigational device exemption to conduct clinical tests, filing a pre-market approval application, and obtaining FDA approval.</w:t>
      </w:r>
    </w:p>
    <w:p>
      <w:pPr>
        <w:spacing w:after="0" w:line="1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the device were a Class I product, the general controls of the Federal Food, Drug, and Cosmetic Act, chiefly adulteration, misbranding and good manufacturing practice requirements, would nevertheless apply. If substantial equivalence to a Class II device could be shown, the general controls plus special controls, such as performance standards, guidelines for safety and effectiveness, and post-market surveillance, would apply. While demonstrating substantial equivalence to a Class I or Class II product is not as costly or time-consuming as the pre-market approval process for Class III devices, it can in some cases also involve conducting clinical tests to demonstrate that any differences between the new device and devices already on the market do no affect safety or effectiveness. If substantial equivalence to a pre-1976 device that has not yet been classified has been shown, it is possible that the FDA would subsequently classify the device as a Class III device and call for the filing of pre-market approval applications at that time. If the FDA took that step, then filing an application acceptable to the FDA would be a prerequisite to remaining on the market.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Drug Development</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nanomaterial based drug candidates, including our MRI contrast agent product candidates, are regulated by the FDA as pharmaceuticals. Obtaining FDA approval for a new drug has historically been a costly and time consuming process. Generally, in order to gain FDA premarket approval, a developer first must conduct preclinical studies in the laboratory and in animal model systems to gain preliminary information on an agent’s efficacy and to identify any safety problems. The results of these studies are submitted as a part of an investigational new drug, or IND, application which the FDA must review before human clinical trials of an investigational drug can start. The IND application includes a detailed description of the clinical investigations to be undertaken. In order to commercialize any drug, we must sponsor and file an IND application and be responsible for initiating and overseeing the clinical studies to demonstrate the safety, efficacy and potency that are necessary to obtain FDA approval of any of the products. We will be required to select qualified investigators to supervise the administration of the products and ensure that the investigations are conducted and monitored in accordance with FDA regulations. Clinical trials are normally done in three phases, although the phases may overlap. Phase I trials are concerned primarily with the safety and preliminary effectiveness of the drug, involve fewer than 100 subjects and may take from six months to over one year. Phase II trials typically involve a few hundred patients and are designed primarily to demonstrate effectiveness in treating or diagnosing the disease or condition for which the drug is intended, although short-term side effects and risks in people whose health is impaired may also be examined. Phase III trials are expanded clinical trials with larger numbers of patients which are intended to evaluate the overall benefit-risk relationship of the drug and to gather additional information for proper dosage and labeling of the drug. The process of clinical trials generally takes two to five years to complete, but may take longer. The FDA receives reports on the progress of each phase of clinical testing, and it may require the modification, suspension or termination of clinical trials if it concludes that an unwarranted risk is presented to patients.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If clinical trials of a new product are completed successfully, the sponsor of the product may seek FDA marketing approval. If the product is regulated as a drug, the FDA will require the submission and approval of a new drug application, or NDA, before commercial marketing of the drug. The NDA must include detailed information about the drug and its manufacture and the results of product development, preclinical studies and clinical trials. The testing and approval processes require substantial time and effort, and we cannot guarantee that any approval will be granted on a timely basis, if at all. If questions arise during the FDA review process, approval can take more than five years. Even with the submissions of relevant data, the FDA may ultimately decide that the NDA does not satisfy its regulatory criteria for approval and deny approval or require additional clinical studies. In addition, the FDA may condition marketing approval on the conduct of specific post-marketing studies to further evaluate safety and effectiveness. Even if FDA regulatory clearances are obtained, a marketed product is subject to continual review. Later discovery of previously unknown problems or failure to comply with the applicable regulatory requirements may result in restrictions on the marketing of a product or withdrawal of the product from the market as well as possible civil or criminal sanctions.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foreign and domestic laws and regulations relating to health and safety, protection of the environment, product labeling and product take back, and the storage, use, disposal of, and exposure to, hazardous materials and wastes. We could incur costs, fines and civil and criminal penalties, personal injury and third party property damage claims, or we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Further, violations of present and future environmental laws could restrict our ability to expand facilities, pursue certain technologies, and could require us to acquire costly equipment, or to incur potentially significant costs to comply with environmental regulations.</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European Union Directive 2002/96/EC on Waste Electrical and Electronic Equipment, known as the “WEEE Directive,” requires producers of certain electrical and electronic equipment, including monitoring instruments, to be financially responsible for specified collection, recycling, treatment and disposal of past and present covered products placed on the market in the European Union. As a manufacturer of covered products, we may be required to register as a producer in some European Union countries, and we may incur some financial responsibility for the collection, recycling, treatment and disposal of both new products sold, and products already sold prior to the WEEE Directive’s enforcement date, including the products of other manufacturers where these are replaced by our own products. European Union Directive 2002/95/EC on the Restriction of the Use of Hazardous Substances in electrical and electronic equipment, known as the “RoHS Directive,” restricts the use of certain hazardous substances, including mercury, lead and cadmium in specified covered products; however, the RoHS Directive currently exempts monitoring instruments from its requirements. If the European Commission were to remove this exemption in the future, we would be required to change our manufacturing processes, and redesign products regulated under the RoHS Directive in order to be able to continue to offer them for sale within the European Union. For some products, substituting certain components containing regulated hazardous substances may be difficult or costly, or result in production delays. We will continue to review the applicability and impact of both directives on the sale of our products within the European Union. Although we cannot currently estimate the extent of such impact, they are likely to result in additional costs, and could require us to redesign or change how we manufacture our products, any of which could adversely affect our operating results. Failure to comply with the directives could result in the imposition of fines and penalties, inability to sell covered products in the European Union and loss of revenues.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made, and will continue to make, expenditures to comply with current and future environmental laws. We anticipate that we could incur additional capital and operating costs in the future to comply with existing environmental laws and new requirements arising from new or amended statutes and regulations. In addition, because the applicable regulatory agencies have not yet promulgated final standards for some existing environmental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2007, we had 200 full time employees, 53 of which hold Ph.D.s and 90 of which hold other advanced degrees. None of our employees are covered by a collective bargaining agreement, and we consider our relationship with our employees to be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For segment information with respect to our geographic markers, see Note 14 to our Consolidated Financial Statements in Part II, Item 8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Board</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To assist us in executing our commercialization business model, we have assembled an advisory board of leaders with backgrounds in government, academia and industry with which we consult on a formal and informal basis regarding strategic and technical matters. In connection with their appointment to and as consideration for their service on the advisory board, each advisor receives a stock option grant to purchase shares of our common stock.</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advisory board members currently include the following:</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Frank Bonsal, Jr. </w:t>
      </w:r>
      <w:r>
        <w:rPr>
          <w:rFonts w:ascii="Arial" w:cs="Arial" w:eastAsia="Arial" w:hAnsi="Arial"/>
          <w:sz w:val="18"/>
          <w:szCs w:val="18"/>
          <w:color w:val="auto"/>
        </w:rPr>
        <w:t>is co-founder of the venture capital firm New Enterprise Associates, or NEA, where he has focused on the development of its early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He is also a co-founder of Red Abbey Venture Partners in Lutherville, Maryland and he is a special limited partner of Amadeus Capital Partners, Boulder Ventures, Novak Biddle Venture Partners, Trellis Ventures and Windward Ventures. Mr. Bonsal’s current board memberships include Advertising.com, Inc., CeraTech and Cibernet Corporation. Mr. Bonsal is also a member on the Johns Hopkins Hospital Endowment Board. Prior to founding NEA, Mr. Bonsal was a general partner of Alex. Brown &amp; Sons Inc.</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Terry Brady </w:t>
      </w:r>
      <w:r>
        <w:rPr>
          <w:rFonts w:ascii="Arial" w:cs="Arial" w:eastAsia="Arial" w:hAnsi="Arial"/>
          <w:sz w:val="18"/>
          <w:szCs w:val="18"/>
          <w:color w:val="auto"/>
        </w:rPr>
        <w:t>was most recently employed by Oridion Systems Ltd. to launch a new division in the United States. Prior to joining Oridion Systems Ltd.,</w:t>
      </w:r>
      <w:r>
        <w:rPr>
          <w:rFonts w:ascii="Arial" w:cs="Arial" w:eastAsia="Arial" w:hAnsi="Arial"/>
          <w:sz w:val="18"/>
          <w:szCs w:val="18"/>
          <w:i w:val="1"/>
          <w:iCs w:val="1"/>
          <w:color w:val="auto"/>
        </w:rPr>
        <w:t xml:space="preserve"> </w:t>
      </w:r>
      <w:r>
        <w:rPr>
          <w:rFonts w:ascii="Arial" w:cs="Arial" w:eastAsia="Arial" w:hAnsi="Arial"/>
          <w:sz w:val="18"/>
          <w:szCs w:val="18"/>
          <w:color w:val="auto"/>
        </w:rPr>
        <w:t>Mr. Brady founded Array Medical, Inc., where he served as President and Chief Executive Officer. Before founding Array Medical, Inc., Mr. Brady was President of International Technidyne Corporation Commercial Group.</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 xml:space="preserve">Ronald E. Carrier, Ph.D. </w:t>
      </w:r>
      <w:r>
        <w:rPr>
          <w:rFonts w:ascii="Arial" w:cs="Arial" w:eastAsia="Arial" w:hAnsi="Arial"/>
          <w:sz w:val="16"/>
          <w:szCs w:val="16"/>
          <w:color w:val="auto"/>
        </w:rPr>
        <w:t>is currently president emeritus of James Madison University, where he served previously as President for 27 years. During his</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presidency, James Madison University changed from a teachers’ college to a major comprehensive university. Dr. Carrier has been active on a number of national and state commissions and has been a board member of several companies that have been acquired by Fortune 200 companies.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John F. Hay </w:t>
      </w:r>
      <w:r>
        <w:rPr>
          <w:rFonts w:ascii="Arial" w:cs="Arial" w:eastAsia="Arial" w:hAnsi="Arial"/>
          <w:sz w:val="16"/>
          <w:szCs w:val="16"/>
          <w:color w:val="auto"/>
        </w:rPr>
        <w:t>is currently a principal with P3 Consulting, LLC in Washington, D.C. Mr. Hay has over 40 years of experience in the national security arena</w:t>
      </w:r>
      <w:r>
        <w:rPr>
          <w:rFonts w:ascii="Arial" w:cs="Arial" w:eastAsia="Arial" w:hAnsi="Arial"/>
          <w:sz w:val="16"/>
          <w:szCs w:val="16"/>
          <w:i w:val="1"/>
          <w:iCs w:val="1"/>
          <w:color w:val="auto"/>
        </w:rPr>
        <w:t xml:space="preserve"> </w:t>
      </w:r>
      <w:r>
        <w:rPr>
          <w:rFonts w:ascii="Arial" w:cs="Arial" w:eastAsia="Arial" w:hAnsi="Arial"/>
          <w:sz w:val="16"/>
          <w:szCs w:val="16"/>
          <w:color w:val="auto"/>
        </w:rPr>
        <w:t>having served twelve years as an industry executive and thirty one years in uniform with the Department of the Navy. In 2000, Mr. Hay was appointed to the Bush-Cheney Transition Advisory Committee and subsequently served as an advisor to the Secretary of Defense and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NASA Administrator. He currently serves as an advisor to the Secretary of the Army and is a member of the Army Science Board. During his time in industry, Mr. Hay was Senior Vice President, Corporate and International Affairs for Westinghouse Electric and CBS Corporation. Before joining Westinghouse, Mr. Hay spent five years as a Congressional Affairs Officer in the Office of the Secretary of the Army. During the previous twenty-six years, his military service included serving in the Chief of Staff of the Army’s Office and a series of command and staff assignments in Infantry, Special Operations, Intelligence and Military Police units. Mr. Hay received his bachelor’s degree from the University of Nebraska, his master’s degree from Wichita State University and is a graduate of the U.S. Army Command and Staff College and the FBI National Academy.</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Charles Edward Hamner, Jr. DVM, Ph.D. </w:t>
      </w:r>
      <w:r>
        <w:rPr>
          <w:rFonts w:ascii="Arial" w:cs="Arial" w:eastAsia="Arial" w:hAnsi="Arial"/>
          <w:sz w:val="16"/>
          <w:szCs w:val="16"/>
          <w:color w:val="auto"/>
        </w:rPr>
        <w:t>is currently the President and CEO of Hamner Advisory Service; he specializes in management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and health care industries and academic administration. From 1988-2002 Dr. Hamner served as President and CEO of the North Carolina Biotechnology Center, and was a Research Professor in the OB/GYN Department at the University of North Carolina at Chapel Hill. He has also worked as Associate Vice President for Health Affairs at the University of Virginia Medical Center (1978-1988), and served as Interim Executive Director for the Center in 1981. Dr. Hamner received his bachelor’s degree in Animal Science from Virginia Tech and his master’s degree in Chemistry, DVM in Veterinary Medicine and Ph.D. in Bio-Chemistry from the University of Georgia.</w:t>
      </w:r>
    </w:p>
    <w:p>
      <w:pPr>
        <w:spacing w:after="0" w:line="12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i w:val="1"/>
          <w:iCs w:val="1"/>
          <w:color w:val="auto"/>
        </w:rPr>
        <w:t xml:space="preserve">Sir Harold W. Kroto </w:t>
      </w:r>
      <w:r>
        <w:rPr>
          <w:rFonts w:ascii="Arial" w:cs="Arial" w:eastAsia="Arial" w:hAnsi="Arial"/>
          <w:sz w:val="18"/>
          <w:szCs w:val="18"/>
          <w:color w:val="auto"/>
        </w:rPr>
        <w:t>is one of the co-recipients of the 1996 Nobel Prize in Chemistry. Dr. Kroto’s Nobel Prize was based on his co-discovery of</w:t>
      </w:r>
      <w:r>
        <w:rPr>
          <w:rFonts w:ascii="Arial" w:cs="Arial" w:eastAsia="Arial" w:hAnsi="Arial"/>
          <w:sz w:val="18"/>
          <w:szCs w:val="18"/>
          <w:i w:val="1"/>
          <w:iCs w:val="1"/>
          <w:color w:val="auto"/>
        </w:rPr>
        <w:t xml:space="preserve"> </w:t>
      </w:r>
      <w:r>
        <w:rPr>
          <w:rFonts w:ascii="Arial" w:cs="Arial" w:eastAsia="Arial" w:hAnsi="Arial"/>
          <w:sz w:val="18"/>
          <w:szCs w:val="18"/>
          <w:color w:val="auto"/>
        </w:rPr>
        <w:t>buckminsterfullerene, a form of pure carbon better known as “buckyballs.” Dr. Kroto earned his Doctorate in chemistry from the University of Sheffield. He started his academic career at the University of Sussex at Brighton in 1967, where he became a professor in 1985 and, in 1991 was made a Royal Society Research Professor.</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The Honorable John O. Marsh Jr. </w:t>
      </w:r>
      <w:r>
        <w:rPr>
          <w:rFonts w:ascii="Arial" w:cs="Arial" w:eastAsia="Arial" w:hAnsi="Arial"/>
          <w:sz w:val="16"/>
          <w:szCs w:val="16"/>
          <w:color w:val="auto"/>
        </w:rPr>
        <w:t>is currently a Senior Fellow at the National Center for Technology and Law and a Distinguished Adjunct Professor at the</w:t>
      </w:r>
      <w:r>
        <w:rPr>
          <w:rFonts w:ascii="Arial" w:cs="Arial" w:eastAsia="Arial" w:hAnsi="Arial"/>
          <w:sz w:val="16"/>
          <w:szCs w:val="16"/>
          <w:i w:val="1"/>
          <w:iCs w:val="1"/>
          <w:color w:val="auto"/>
        </w:rPr>
        <w:t xml:space="preserve"> </w:t>
      </w:r>
      <w:r>
        <w:rPr>
          <w:rFonts w:ascii="Arial" w:cs="Arial" w:eastAsia="Arial" w:hAnsi="Arial"/>
          <w:sz w:val="16"/>
          <w:szCs w:val="16"/>
          <w:color w:val="auto"/>
        </w:rPr>
        <w:t>George Mason University School of Law. Prior to that, Mr. Marsh served in the U.S. House of Representatives for Virginia, as Secretary of the Army for eight years, and as National Security Advisor to Vice President and, later, President Gerald R. Ford. Mr. Marsh is also the former Chairman and interim Chief Executive Officer of Novavax, Inc., a specialty biopharmaceutical company. Mr. Marsh received his law degree from Washington and Lee University.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John B. Noftsinger, Jr., Ph.D. </w:t>
      </w:r>
      <w:r>
        <w:rPr>
          <w:rFonts w:ascii="Arial" w:cs="Arial" w:eastAsia="Arial" w:hAnsi="Arial"/>
          <w:sz w:val="16"/>
          <w:szCs w:val="16"/>
          <w:color w:val="auto"/>
        </w:rPr>
        <w:t>is currently the Associate Vice President of Academic Affairs for Research and Program Innovation, the Executive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Institute for Infrastructure and Information Assurance, and an Associate Professor of Integrated Science and Technology and Education at James Madison University, where he specializes in interdisciplinary program and grant development. Dr. Noftsinger is also the Co-Chair of the Virginia Research and Technology Advisory Committee and the Chair of the Virginia Technology Alliance.</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Jerre Stead </w:t>
      </w:r>
      <w:r>
        <w:rPr>
          <w:rFonts w:ascii="Arial" w:cs="Arial" w:eastAsia="Arial" w:hAnsi="Arial"/>
          <w:sz w:val="18"/>
          <w:szCs w:val="18"/>
          <w:color w:val="auto"/>
        </w:rPr>
        <w:t>is currently Chairman of IHS, Inc. and is the former Chairman and Chief Executive Officer of Ingram Micro Inc. He previously served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Legent Corporation, Chairman and Chief Executive Officer of AT&amp;T Global Information Solutions, and Chairman, President, and Chief Executive Officer of Square D Company. Mr. Stead also serves on the board of directors of TBG, Armstrong World Industries, Inc., Brightpoint, Inc., Conexant Systems, Inc., Mindspeed Technologies, Inc., and Mobility Electronics, Inc.</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G. Kim Wincup </w:t>
      </w:r>
      <w:r>
        <w:rPr>
          <w:rFonts w:ascii="Arial" w:cs="Arial" w:eastAsia="Arial" w:hAnsi="Arial"/>
          <w:sz w:val="16"/>
          <w:szCs w:val="16"/>
          <w:color w:val="auto"/>
        </w:rPr>
        <w:t>is senior vice president of Science Applications International Corporation. Mr. Wincup previously served as counsel to the U.S. House of</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Armed Services Committee and U.S. House of Representatives Veterans Affairs Committee, as staff director of the U.S. House of Representatives Armed Services Committee and the Joint Committee on the Organization of Congress, and as Assistant Secretary of both the Air Force and the Army. Mr. Wincup has a bachelor’s degree in Political Science from DePauw University, and received a law degree from the University of Illinois School of Law.</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General Larry D. Welch </w:t>
      </w:r>
      <w:r>
        <w:rPr>
          <w:rFonts w:ascii="Arial" w:cs="Arial" w:eastAsia="Arial" w:hAnsi="Arial"/>
          <w:sz w:val="18"/>
          <w:szCs w:val="18"/>
          <w:color w:val="auto"/>
        </w:rPr>
        <w:t>was formally the U.S. Air Force Chief of Staff. As Chief, he served as the senior uniformed Air Force Officer responsible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training and equipage of a combined active duty,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Guard, Reserve and civilian force serving at locations in the United States and overseas. As a member of the Joint Chiefs of Staff, he and the other service chiefs functioned as the principal military advisers to the secretary of defense, National Security Council and the President. General Welch received a bachelor’s degree in Business Administration from the University of Maryland and a Masters Degree in International Relations from the George Washington University. General Welch completed Armed Forces Staff College at Norfolk, Va., in 1967, and National War College at Fort Lesley J. McNair, Washington, D.C., in 1972.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Reports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We make our periodic and current reports available, free of charge, on our website as soon as practicable after such material is electronically filed with the Securities and Exchange Commission. Our website address is </w:t>
      </w:r>
      <w:r>
        <w:rPr>
          <w:rFonts w:ascii="Arial" w:cs="Arial" w:eastAsia="Arial" w:hAnsi="Arial"/>
          <w:sz w:val="18"/>
          <w:szCs w:val="18"/>
          <w:i w:val="1"/>
          <w:iCs w:val="1"/>
          <w:color w:val="auto"/>
        </w:rPr>
        <w:t>www.lunainnovations.com</w:t>
      </w:r>
      <w:r>
        <w:rPr>
          <w:rFonts w:ascii="Arial" w:cs="Arial" w:eastAsia="Arial" w:hAnsi="Arial"/>
          <w:sz w:val="18"/>
          <w:szCs w:val="18"/>
          <w:color w:val="auto"/>
        </w:rPr>
        <w:t xml:space="preserve"> and such reports are filed under “SEC Filings” on the Investor Relations portion of our website. Further, a copy of this annual report as well as our other periodic and current reports may be obtained from the SEC, located at the SEC’s public reference room at 100 F Street, NE, Washington, D.C. 20549. Information on the operation of the Public Reference Room can be obtained by calling the SEC at 1-800-SEC-0330. The SEC maintains an Internet site that contains reports, proxy and information statements, and other information regarding our filings at www.sec.gov.</w:t>
      </w: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You should carefully consider the risks described below before deciding whether to invest in our common stock. The risks described below are not the only ones we face. Additional risks not presently known to us or that we currently believe are immaterial may also impair our business operations and financial results. If any of the following risks actually occurs, our business, financial condition or results of operations could be adversely affected. In such case, the trading price of our common stock could decline and you could lose all or part of your investment. Our filings with Securities and Exchange Commission also contain forward-looking statements that involve risks or uncertainties. Our actual results could differ materially from those anticipated in these forward-looking statements as a result of certain factors, including the risks we face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effectively, our revenue and net loss could be adversely affected.</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While historically we have developed and commercialized only a few products at a time, we plan to grow by developing and commercializing multiple products concurrently across many industries, technologies and markets. Our ability to grow by developing and commercializing multiple products simultaneously requires that we manage a diverse range of projects, and expand our personnel resources. Our inability to do any of these could prevent us from successfully implementing our growth strategy, and our revenues and profits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 advance the development of multiple promising potential products concurrently, we need to manage effectively the logistics of maintaining the requisite corporate, operational, administrative and financing functions for each of these product opportunities. Potentially expanding our operations into new geographic areas and relying on multiple facilities to develop and manufacture different products concurrently pose additional challenges. We have little experience in managing these functions simultaneously for multiple projects in development or in building new infrastructure and integrating the operations of various facilities. If we cannot manage this process successfully, we may be subject to operating difficulties, additional expenditures and limited revenue growth.</w:t>
      </w:r>
    </w:p>
    <w:p>
      <w:pPr>
        <w:spacing w:after="0" w:line="11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need to expand our personnel resources to grow our business effectively. We believe that sustained growth at a higher rate will place a strain on our management, as well as on our other human resources. To manage this growth, we must continue to attract and retain qualified management, professional, scientific and technical and operating personnel. During 2007, the labor market, particularly for highly-specialized scientists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 engineers remained tight. If we are unable to recruit a sufficient number of qualified personnel, we may be unable to staff and manage projects adequately, which may slow the rate of growth of our contract research revenue or our product development efforts.</w:t>
      </w:r>
    </w:p>
    <w:p>
      <w:pPr>
        <w:spacing w:after="0" w:line="2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If we cannot successfully transition our revenue mix from contract research revenues to product sales and license revenues, we may not be able to fully execute our business model or grow our business.</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business model and future growth depend on our ability to transition to a revenues mix that contains significantly larger product sales and license revenues components. Product sales and license revenues potentially offer greater scalability than services-based contract research revenues. Our current plan is to increase our portfolio of commercial products and, accordingly, we expect that our future product sales and license revenues will represent a larger percentage of total revenues. However, if we are unable to develop and grow our product sales and license revenues to augment our contract research revenues, our ability to execute our business model or grow our business could suffer.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identifying market needs for new technologies and developing new products to meet those needs.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success of our business model depends on our ability to identify correctly market needs for new technologies. We intend to identify new market needs, but we may not always have success in doing so, in part, because our contract research largely centers on identification and development of unproven technologies, often for new or emerging markets. Furthermore, we must identify the most promising technologies from a sizable pool of projects. If our commercialization strategy process fails to identify projects with commercial potential or if management does not ensure that such projects advance to the commercialization stage, we may not successfully commercialize new products and grow our revenues.</w:t>
      </w:r>
    </w:p>
    <w:p>
      <w:pPr>
        <w:spacing w:after="0" w:line="116" w:lineRule="exact"/>
        <w:rPr>
          <w:sz w:val="20"/>
          <w:szCs w:val="20"/>
          <w:color w:val="auto"/>
        </w:rPr>
      </w:pPr>
    </w:p>
    <w:p>
      <w:pPr>
        <w:ind w:right="140" w:firstLine="456"/>
        <w:spacing w:after="0" w:line="300" w:lineRule="auto"/>
        <w:rPr>
          <w:sz w:val="20"/>
          <w:szCs w:val="20"/>
          <w:color w:val="auto"/>
        </w:rPr>
      </w:pPr>
      <w:r>
        <w:rPr>
          <w:rFonts w:ascii="Arial" w:cs="Arial" w:eastAsia="Arial" w:hAnsi="Arial"/>
          <w:sz w:val="15"/>
          <w:szCs w:val="15"/>
          <w:color w:val="auto"/>
        </w:rPr>
        <w:t>Our growth strategy requires that we not only identify new technologies that meet market needs, but that we also develop successful commercial products that address those needs. We face several challenges in developing successful new products. Many of our existing products and those currently under</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development—including our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carbon nanomaterials, which are nanomaterials in the form of a carbon sphere with three metal atoms enclosed inside—are technologically innovative and require significant and lengthy product development efforts. These efforts include planning, designing, developing and testing at the technological, product and manufacturing-process levels. These activities require us to make significant investments. Although there are many potential applications for our technologies, our resource constraints require us to focus on specific products and to forgo other opportunities. We expect that one or more of the potential products we choose to develop will not be technologically feasible or will not achieve commercial acceptance, and we cannot predict which, if any, of our products we will successfully develop or commercialize. The technologies we research and develop are new and steadily changing and advancing. The products that are derived from these technologies may not be applicable or compatible with the state of technology or demands in existing markets. Our existing products and technologies may become uncompetitive or obsolete if our competitors adapt more quickly than we do to new technologies and changes in customers’ requirements. Furthermore, we may not be able to identify if and when new markets will open for our products given that future applications of any given product may not be readily determinable, and we cannot reasonably estimate the size of any markets that may develop. If we are not able to successfully develop new products, we may be unable to increase our product revenues.</w:t>
      </w:r>
    </w:p>
    <w:p>
      <w:pPr>
        <w:spacing w:after="0" w:line="25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have incurred recent losses, and because our strategy for expansion may be costly to implement, we may experience continuing losses which may be significant.</w:t>
      </w:r>
    </w:p>
    <w:p>
      <w:pPr>
        <w:spacing w:after="0" w:line="51"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We incurred consolidated net losses of approximately $9.4 million and $7.8 million for the years ended December 31, 2006 and 2007, respectively. We expect to continue to incur significant additional expenses as we expand our business, including increased expenses for research and development, sales and marketing, manufacturing, finance and accounting personnel and expenses associated with being a public company. We may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that we may likely continue to incur losses for the foreseeable future, and these losses could be substantial.</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Because of the numerous risks and uncertainties associated with our business and our expansion strategy, we are unable to predict when or if we will be able to achieve profitability again. If our revenues do not increase, or if our expenses increase at a greater rate than our revenues, we will continue to experience losses. Even if we do achieve profitability, we may not be able to sustain or increase our profitability on a quarterly or annual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train and retain skilled employees would adversely affect our business and operating results.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availability of highly trained and skilled technical and professional personnel is critical to our future growth and profitability. Competition for scientists, engineers, technicians and professional personnel is intense and competitors aggressively recruit key employees. We have recently experienced difficulties in recruiting and hiring these personnel as a result of the tight labor market in certain fields. This fact, combined with our growth strategy and future needs for additional experienced personnel, particularly in highly specialized areas such as nanomaterial manufacturing and innovative ultrasound technologies, may make it more difficult to meet all of our needs for these employees in a timely manner. Although we intend to continue to devote significant resources to recruit, train and retain qualified employees, we may not be able to attract and retain these employees, especially in technical fields where the supply of experienced qualified candidates is limited. Any failure to do so would have an adverse effect on our business.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our future success depends in a large part upon the continued service of key members of our senior management team. In particular, our Chairman, CEO and founder, Kent A. Murphy, Ph.D., is essential to our overall management as well as the development of our technologies, our culture and our strategic direction. All of our executive officers and key employees are at-will employees, and, except with respect to Kent A. Murphy, Ph.D., we do not maintain any key-person life insurance policies. The loss of any of our management or key personnel could seriously harm our business.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rely and will continue to rely on contract research, including government-funded research contracts, for a significant portion of our revenues. A decline in government funding of existing or future government research contracts, including Small Business Innovation Research (or SBIR) revenues, could adversely affect our revenues and cash flows and our ability to fund our growth.</w:t>
      </w:r>
    </w:p>
    <w:p>
      <w:pPr>
        <w:spacing w:after="0" w:line="5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Technology development revenue, which consists primarily of government-funded research, accounted for approximately 79.8% and 69.3% of our total consolidated total revenues for the years ended December 31, 2006 and 2007, respectively. As a result, we are vulnerable to adverse changes in our revenues and cash flows if a significant number of our government research contracts and subcontracts are simultaneously delayed or canceled for budgetary, performance or other reasons. The U.S. government may cancel these contracts at any time without cause and without penalty or may change its requirements, programs or contract budget, any of which could reduce our revenues and cash flows from U.S. government research contracts. Our revenues and cash flows from U.S. government research contracts could also be reduced by declines or other changes in U.S. defense, homeland security and other federal agency budgets. In addition, we compete as a small business for some of these contracts, and in order to maintain our eligibility to compete as a small business, we (together with any affiliates) must continue to meet size and revenue limitations established by the U.S. government.</w:t>
      </w:r>
    </w:p>
    <w:p>
      <w:pPr>
        <w:spacing w:after="0" w:line="118"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In addition to contract cancellations and changes in agency budgets, our future financial results may be adversely affected by curtailment of the U.S. government’s use of contract research providers, including curtailment due to government budget reductions and related fiscal matters. These or other factors could cause U.S. defense and other federal agencies to conduct research internally rather than through commercial research</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organizations, to reduce their overall contract research requirements or to exercise their rights to terminate contracts. Any of these actions could limit our ability to obtain new contract awards and adversely affect our revenues and cash flows and our ability to fund our growth.</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also derive a significant portion of our technology development revenues from SBIR contracts. SBIR revenues accounted for approximately 61% and 47% of our consolidated total revenues for the year ended December 31, 2006 and 2007, respectively. Contract research, including SBIR, may or may not remain a significant portion of our consolidated total revenues, depending on the success of our products and our ability to qualify for SBIR programs. Our strategy for developing innovative technologies and products depends in large part on our ability to continue to enter into and generate revenues from non-SBIR contract research.</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contract research customer base includes government agencies, corporations and academic institutions. Our customers are not obligated to extend their agreements with us. In addition, we may not be successful in securing future contracts. Our customers’ priorities regarding funding for certain projects may change and funding resources may no longer be available at previous levels.</w:t>
      </w:r>
    </w:p>
    <w:p>
      <w:pPr>
        <w:spacing w:after="0" w:line="22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We rely and will continue to rely on contracts and grants awarded under the SBIR program for a significant portion of our revenues. A finding by the Small Business Administration, or SBA, that we no longer qualify to receive SBIR funding could adversely affect our business.</w:t>
      </w:r>
    </w:p>
    <w:p>
      <w:pPr>
        <w:spacing w:after="0" w:line="4"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may not qualify to participate in the Small Business Administration’s, or SBA’s, SBIR program or receive new SBIR awards from federal agencies in the future. In order to qualify for SBIR contracts and grants, at least 51% of our equity must be owned and controlled by U.S. citizens or permanent resident aliens, or by another entity that is at least 51% owned or controlled by U.S. citizens or permanent resident aliens, and we must have 500 or fewer employees. These eligibility criteria are applied as of the time of the award of a contract or grant. In determining whether we satisfy the 51% equity ownership requirement, agreements to merge, stock options, convertible debt and other similar instruments are given “present effect” by the SBA, as though the underlying securities were actually issued unless the exercisability or conversion of such securities is speculative, remote or beyond the control of the security holder. We therefore believe our outstanding options and warrants held by eligible individuals may be counted as, and our convertible debt may be excluded from, outstanding equity for purposes of meeting the 51% equity ownership requirement.</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we are currently in compliance with the SBIR eligibility criteria but we cannot provide assurance that the SBA will interpret its regulations in our favor. We believe that over 60% of our equity is owned or controlled by U.S. citizens, and that we currently have fewer than 500 employees. We must be able to certify that we meet the SBIR ownership and size requirements as of the time we enter into each SBIR contract or grant, and SBA may review our size status in connection with each SBIR contract or grant. As we grow our business, it is foreseeable that we will eventually exceed the SBIR eligibility limitations and we may need to find other sources to fund our research and development efforts. If we are unsuccessful in obtaining additional contracts or funding grants because we cannot meet the eligibility requirements or if our customers decide to reduce or discontinue support of our products, we may be required to seek alternative sources of revenues or capital.</w:t>
      </w:r>
    </w:p>
    <w:p>
      <w:pPr>
        <w:spacing w:after="0" w:line="19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The SBA could determine that, as a result of Carilion Clinic’s equity ownership, the number of our employees exceeds the size limitation placed on SBA contract and SBIR grant recipients, and therefore we will not be eligible to receive future SBA contracts and SBIR grants.</w:t>
      </w:r>
    </w:p>
    <w:p>
      <w:pPr>
        <w:spacing w:after="0" w:line="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U.S. ownership eligibility criteria discussed above, to be eligible for SBA contracts and SBIR grants, the number of our employees including those of any entities that are considered to be affiliated with us, cannot exceed 500. As of December 31, 2007, including all of our divisions, we had 200 full time employees. However, in determining whether we are affiliated with any other entity, the SBA analyzes whether another entity controls or has the power to control us. If the SBA determines that another entity controls or has the power to control us, it will aggregate that entity’s employees (and the employees of its subsidiaries and affiliates) with our own for purposes of applying the 500 employee test.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SBA may make an affiliation determination based on stock ownership. For example, the SBA may presume that two or more entities have the power to control a company if the entities each own, control or has the power to control, less than 50 percent of the company’s stock, such minority holdings are equal or approximately equal in size, and the aggregate of the minority holdings is large as compared to any other stock holding. However, this presumption may be rebutted by showing that such control or power to control does not in fact exist. As of December 31, 2007, Carilion Clinic held approximately 20.8% of our common stock, and Dr. Kent Murphy held approximately 24.6% of our common stock</w:t>
      </w:r>
      <w:r>
        <w:rPr>
          <w:rFonts w:ascii="Arial" w:cs="Arial" w:eastAsia="Arial" w:hAnsi="Arial"/>
          <w:sz w:val="16"/>
          <w:szCs w:val="16"/>
          <w:b w:val="1"/>
          <w:bCs w:val="1"/>
          <w:color w:val="auto"/>
        </w:rPr>
        <w:t>.</w:t>
      </w:r>
      <w:r>
        <w:rPr>
          <w:rFonts w:ascii="Arial" w:cs="Arial" w:eastAsia="Arial" w:hAnsi="Arial"/>
          <w:sz w:val="16"/>
          <w:szCs w:val="16"/>
          <w:color w:val="auto"/>
        </w:rPr>
        <w:t xml:space="preserve"> Thus, applying the criteria stated above, the SBA could find that both Carilion Clinic and Dr. Murphy own less than 50% of the stock, their percentages are roughly equal, and their respective percentages are large compared to any other stock holding. We believe that the relative beneficial ownership of our individual stockholders rebuts the presumption of control by Carilion Clinic because the shares held by our officers and directors constitute the controlling interest in us. However, if the SBA were to make a determination that we are affiliated with Carilion Clinic, we would exceed the size limitations as Carilion Clinic has over 500 employees, and we therefore would lose eligibility for new SBA contracts, public contracts, grants and other awards that are set aside for small businesses, including SBIR grants.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products or enhance our existing products, enhance our operating infrastructure, complete our development activities, build our commercial scale manufacturing facilities and acquire complementary businesses and technologies. Accordingly, we may need to engage in equity or debt financings to secure additional funds for these investments.</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we raise additional funds through issuances of equity or convertible debt securities, our existing stockholders could suffer significant dilution, and any new equity securities we issue could have rights, preferences and privileges superior to those of holders of our common stock, including shares of common stock sold in our initial public offering. Furthermore, such financings may jeopardize our ability to apply for SBIR grants or qualify for SBIR contracts or grants, and our dependence on SBIR grants may restrict our ability to raise additional outside capital. In addition, we may not be able to obtain continued SBIR funding, or other additional financing on terms favorable to us, if at all. In order to retain SBIR eligibility, we may be restricted in our ability to raise certain forms of equity capital from institutional investors. For example, in connection with the closing of our financing with Carilion Clinic on December 30, 2005, we were not able to raise all proceeds through the issuance of equity without potentially jeopardizing our SBIR eligibility. We therefore elected to issue debt in the amount of $5.0 million of the total $8.0 million raised in such financing to maintain SBIR eligibility. Under the terms of these notes, we agreed that we will not draw down any amount under our existing senior secured credit facility with First National Bank or incur additional indebtedness other than under certain limited conditions. If we are unable to obtain adequate financing or financing on terms satisfactory to us, when we require it, our ability to continue to support our business growth and to respond to business challenges could be significantly limited.</w:t>
      </w:r>
    </w:p>
    <w:p>
      <w:pPr>
        <w:spacing w:after="0" w:line="235"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b w:val="1"/>
          <w:bCs w:val="1"/>
          <w:i w:val="1"/>
          <w:iCs w:val="1"/>
          <w:color w:val="auto"/>
        </w:rPr>
        <w:t>If we are unable to secure third-party reimbursement for our health care products, including our EDAC</w:t>
      </w:r>
      <w:r>
        <w:rPr>
          <w:rFonts w:ascii="Arial" w:cs="Arial" w:eastAsia="Arial" w:hAnsi="Arial"/>
          <w:sz w:val="22"/>
          <w:szCs w:val="22"/>
          <w:b w:val="1"/>
          <w:bCs w:val="1"/>
          <w:i w:val="1"/>
          <w:iCs w:val="1"/>
          <w:color w:val="auto"/>
          <w:vertAlign w:val="superscript"/>
        </w:rPr>
        <w:t>®</w:t>
      </w:r>
      <w:r>
        <w:rPr>
          <w:rFonts w:ascii="Arial" w:cs="Arial" w:eastAsia="Arial" w:hAnsi="Arial"/>
          <w:sz w:val="18"/>
          <w:szCs w:val="18"/>
          <w:b w:val="1"/>
          <w:bCs w:val="1"/>
          <w:i w:val="1"/>
          <w:iCs w:val="1"/>
          <w:color w:val="auto"/>
        </w:rPr>
        <w:t xml:space="preserve"> QUANTIFIER, our revenue and net loss could be adversely affected.</w:t>
      </w:r>
    </w:p>
    <w:p>
      <w:pPr>
        <w:spacing w:after="0" w:line="10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both the United States and foreign markets where we intend to sell our medical products, third-party payors such as the government and health insurance companies are generally responsible for hospital and doctor reimbursement for medical products and services. Governments and insurance companies carefully review and increasingly challenge the prices charged for medical products and services. Reimbursement rates from private insurance companies vary depending on the procedure performed, the third party involved, the insurance plan involved, and other factors. In the United States, reimbursement for medical procedures under the Medicare and Medicaid programs is administered by Centers for Medicare &amp; Medicaid Services. Medicare reimburses both hospitals and physicians a pre-determined, fixed amount based on the procedure performed. This fixed amount is paid regardless of the actual costs incurred by the hospital or physician in furnishing the care and is often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unrelated to the specific devices used in that procedure. Thus, any reimbursements that hospitals or physicians obtain for using our medical products will generally have to cover any additional costs that hospitals incur in purchasing such products.</w:t>
      </w:r>
    </w:p>
    <w:p>
      <w:pPr>
        <w:spacing w:after="0" w:line="159" w:lineRule="exact"/>
        <w:rPr>
          <w:sz w:val="20"/>
          <w:szCs w:val="20"/>
          <w:color w:val="auto"/>
        </w:rPr>
      </w:pPr>
    </w:p>
    <w:p>
      <w:pPr>
        <w:ind w:right="60" w:firstLine="456"/>
        <w:spacing w:after="0" w:line="227" w:lineRule="auto"/>
        <w:rPr>
          <w:sz w:val="20"/>
          <w:szCs w:val="20"/>
          <w:color w:val="auto"/>
        </w:rPr>
      </w:pPr>
      <w:r>
        <w:rPr>
          <w:rFonts w:ascii="Arial" w:cs="Arial" w:eastAsia="Arial" w:hAnsi="Arial"/>
          <w:sz w:val="18"/>
          <w:szCs w:val="18"/>
          <w:color w:val="auto"/>
        </w:rPr>
        <w:t>Hospitals and medical centers to which we intend to sell our EDAC</w:t>
      </w:r>
      <w:r>
        <w:rPr>
          <w:rFonts w:ascii="Arial" w:cs="Arial" w:eastAsia="Arial" w:hAnsi="Arial"/>
          <w:sz w:val="22"/>
          <w:szCs w:val="22"/>
          <w:color w:val="auto"/>
          <w:vertAlign w:val="superscript"/>
        </w:rPr>
        <w:t>®</w:t>
      </w:r>
      <w:r>
        <w:rPr>
          <w:rFonts w:ascii="Arial" w:cs="Arial" w:eastAsia="Arial" w:hAnsi="Arial"/>
          <w:sz w:val="18"/>
          <w:szCs w:val="18"/>
          <w:color w:val="auto"/>
        </w:rPr>
        <w:t>QUANTIFIER product typically bill the services performed with our products to various third-party payors, such as Medicare, Medicaid and other government programs and private insurance plans. If hospitals do not obtain sufficient reimbursement from third-party payors for procedures performed with our products, or if governmental and private payors’ policies do not permit reimbursement for services performed using our products, demand for our product may be negatively impacted.</w:t>
      </w:r>
    </w:p>
    <w:p>
      <w:pPr>
        <w:spacing w:after="0" w:line="1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countries outside the United States, reimbursement is obtained from various sources, including governmental authorities, private health insurance plans and labor unions. To sell our product in foreign markets, we may need to seek international reimbursement approvals. We cannot be certain whether such required approvals will be obtained in a timely manner or at all.</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Furthermore,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have a negative effect on our product revenue and net loss.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and will face substantial competition in several different markets that may adversely affect our results of operations.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face or will face substantial competition from a variety of companies in several different markets. Our competitors in contract research include, but are not limited to, companies such as General Dynamics Corporation, Lockheed Martin Corporation, SAIC, Inc. and SRA International, Inc. In the molecular technology solutions products market, our competitors include, but are not limited to, large public manufacturers such as The Dow Chemical Company, E.I. du Pont de Nemours and Company, Rohm and Haas Company and 3M Company, as well as emerging companies. In addition, in the MRI contrast agent market our competitors include Amersham Plc, Berlex Laboratories, Inc., Bracco Diagnostics, Inc., and Mallinckrodt Inc. In the sensor solutions products market, our competitors include, but are not limited to, large companies such as Agilent Technologies, Inc., Analog Devices, Inc., Freescale Semiconductor, Inc., JDS Uniphase Corp., Robert Bosch GmbH and Silicon Sensing, as well as emerging companies.</w:t>
      </w:r>
    </w:p>
    <w:p>
      <w:pPr>
        <w:spacing w:after="0" w:line="118"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The products that we have developed or are currently developing will compete with other technologically innovative products as well as products incorporating conventional materials and technologies. We expect that our products will compete with companies in a wide range of industries, including semiconductors, electronics, biotechnology, textiles, alternative energy, military, defense, healthcare, telecommunications, industrial measurement, security applications and consumer electronics.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competitors have longer operating histories, greater name recognition, larger customer bases and significantly greater financial, sales and marketing, manufacturing, distribution, technical and other resources than we do. These competitors may be able to adapt more quickly to new or emerging technologies and changes in customer requirements. In addition, current and potential competitors have established or may establish financial or strategic relationships among themselves or with existing or potential customers or other third parties. Accordingly, new competitors or alliances among competitors could emerge and rapidly acquire significant market share. We cannot assure you that we will be able to compete successfully against current or new competitors, in which case our net revenues may fail to increase or may decline.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be obligated to repay part of the proceeds received in connection with a grant from the City of Danville, Virginia, for failing to make certain agreed upon expenditures and failing to meet certain employment obligations.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2004, we received a grant of $900,000 from the City of Danville, Virginia under a Grant Agreement to support the expansion of economic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commercial growth within the City. Under the Grant Agreement, we agreed to locate a nanomaterials manufacturing and research facility and maintain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Danville until March 25, 2009. Our obligations under this Grant Agreement require us to incur significant expenditures in order to retain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grant. Specifically, we agreed under the Grant Agreement to invest at least $5.2 million in capital equipment expenditures and $1.2 million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facilities by September 25, 2006 and to maintain such investments in our Danville facility until March 25, 2009. We also agreed to create by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25, 2006 at least 54 new full-time jobs at the Danville facility at an average annual wage of at least $39,000 plus benefits, and to maintain these jobs at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such facility until March 25, 2009. These contractual requirements obligate us to an annual payroll obligation exceeding $2.0 million until March 25, 2009.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such hiring results in salaries in excess of the required minimum wages, our annual payroll obligation could be substantially greater than $2.0 million.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September 25, 2006, and as of December 31, 2007, we had not fully met these capital expenditures and job milestones, and, as a result, we may be asked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repay the City of Danville a portion of the $900,000 in funds based on a formula of the pro rata shortfall of such expenditures and jobs falling below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levels. Because of the failure to meet these milestones and the continuing obligation to maintain our investment and employees at this location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25, 2009, we currently have classified the full amount of the grant as a liability on our balance sheet in anticipation of potentially returning the funds.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manufacturing our products in commercial quantities in a cost-effective manner, which could adversely impact our business.</w:t>
      </w:r>
    </w:p>
    <w:p>
      <w:pPr>
        <w:spacing w:after="0" w:line="1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5"/>
          <w:szCs w:val="15"/>
          <w:color w:val="auto"/>
        </w:rPr>
        <w:t>We have produced most of our products on a custom order basis rather than pursuant to large contracts that require production on a large volume basis. Accordingly, other than the commercial manufacture of products by our Luna Technologies Division, we have no experience manufacturing products in large volume. Because our experience in large scale manufacturing is limited, we may encounter unforeseen difficulties in our efforts to manufacture other products or</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materials in commercial quantities. For example, we may need to develop or in-license Trimetasphere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nanomaterial purification and isolation technology, which would result in manufacturing delays or shortfalls. We may also encounter difficulties and delays in manufacturing our products for the following reasons:</w:t>
      </w:r>
    </w:p>
    <w:p>
      <w:pPr>
        <w:spacing w:after="0" w:line="8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plan to expand our manufacturing operations, and our production processes may have to change to accommodate this growth;</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increase our manufacturing output significantly, we will have to attract and retain qualified employees, who are in short supply, for the assembly and testing operations;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have to sub-contract to outside manufacturers which might limit our control of costs and processes;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manufacturing operations may have to comply with government specifications.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are unable to keep up with demand for our products, our revenues could be impaired, market acceptance for our products could be adversely affected and our customers might instead purchase our competitors’ products. Moreover, failure to develop and maintain a U.S. market for goods developed with U.S. government-licensed technology may result in the cancellation of the relevant U.S. government licenses. Our inability to manufacture our products successfully would have a material adverse effect on our revenues.</w:t>
      </w:r>
    </w:p>
    <w:p>
      <w:pPr>
        <w:spacing w:after="0" w:line="14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Even if we are able to manufacture our products on a commercial scale, the cost of manufacturing our products may be higher than we expect. If the costs associated with manufacturing are not significantly less than the prices at which we can sell our products, we may not be able to operate at a profit.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depend on third-party vendors for specialized components in our manufacturing operations, making us vulnerable to supply shortages and price fluctuations that could harm our business.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primarily rely on third-party vendors for the manufacture of the specialized components used in our products. Although we do not have any sole source suppliers of materials, the highly specialized nature of our supply requirements poses risks that we may not be able to locate additional sources of the specialized components required in our business. For example, there are few manufacturers who produce the special lasers used in our optical test equipment. Moreover, none of these third-party vendors is obligated to continue to supply us with components. Our reliance on these vendors subjects us to a number of risks that could impact our ability to manufacture our products and harm our business, including interruption of supply. Although we are now manufacturing tunable lasers in low rate initial production, we expect our overall reliance on third-party vendors to continue.</w:t>
      </w:r>
    </w:p>
    <w:p>
      <w:pPr>
        <w:spacing w:after="0" w:line="12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Any significant delay or interruption in the supply of components, or our inability to obtain substitute components or materials from alternate sources at acceptable prices in a timely manner, could impair our ability to meet the demand of our customers and harm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nanotechnology-enabled products are new and may be, or may be perceived as being, harmful to human health or the environment.</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While we believe that none of our current products contain chemicals known by us to be hazardous or subject to environmental regulation, it is possible our current or future products, particularly carbon-based nanomaterials, may become subject to environmental regulation. We intend to develop and sell carbon-based nanomaterials as well as nanotechnology-enabled products, which are products that include nanomaterials as a component to enhance those products’ performance. Nanomaterials and nanotechnology-enabled products have a limited historical safety record. Because of their size or shape or because they may contain harmful elements, such as gadolinium and other rare-earth metals, our products could pose a safety risk to human health or the environment. These characteristics may also cause countries to adopt regulations in the future prohibiting or limiting the manufacture, distribution or use of nanomaterials or nanotechnology-enabled products. Such regulations may inhibit our ability to sell some products containing those materials and thereby harm our business or impair our ability to develop commercially viable products.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subject of nanotechnology has received negative publicity and has aroused public debate. Government authorities could, for social or other purposes, prohibit or regulate the use of nanotechnology. Ethical and other concerns about nanotechnology could adversely affect acceptance of our potential products or lead to government regulation of nanotechnology-enabled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Luna Technologies Division and our Luna nanoWorks Division currently conduct business internationally and we might considerably expand our international activities in the future. Our international business operations are subject to a variety of risks associated with conducting business internationally, including:</w:t>
      </w:r>
    </w:p>
    <w:p>
      <w:pPr>
        <w:spacing w:after="0" w:line="59" w:lineRule="exact"/>
        <w:rPr>
          <w:sz w:val="20"/>
          <w:szCs w:val="20"/>
          <w:color w:val="auto"/>
        </w:rPr>
      </w:pPr>
    </w:p>
    <w:p>
      <w:pPr>
        <w:ind w:left="900" w:right="4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having to comply with U.S. export control regulations and policies that restrict our ability to communicate with non-U.S. employees and supply foreign affiliates and customers;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or interpretations of foreign regulations that may adversely affect our ability to sell our products, perform services or repatriate profits to the United States;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imposition of tariffs;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hyperinflation or economic or political instability in foreign countries;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imposition of limitations on or increase of withholding and other taxes on remittances and other payments by foreign subsidiaries or joint ventures;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business in places where business practices and customs are unfamiliar and unknown;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imposition of restrictive trade policies;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imposition of inconsistent laws or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imposition or increase of investment and other restrictions or requirements by foreign governments;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relating to foreign laws and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having to comply with a variety of U.S. laws, including the Foreign Corrupt Practices Act;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having to comply with licensing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do not know the impact that these regulatory, geopolitical and other factors may have on our international business in the future.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unsuccessful in our litigation with Hansen Medical, Inc., our business may be materially harmed.</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22, 2007, Hansen Medical Inc., a company for whom we had conducted certain research, filed a complaint against us in the Superior Court of the State of California, County of Santa Clara alleging misappropriation of trade secrets, unfair competition, breach of contract, breach of implied covenant of good faith and fair dealing and declaratory judgment. In addition to money damages in an unspecified amount, the plaintiff company seeks, among other things, equitable relief, including an injunction against our using the allegedly misappropriated trade secrets in connection with another project of ours. We have answered the complaint and intend to defend ourselves vigorously in this matter. We also filed a counterclaim asserting claims for misappropriation of trade secrets, unfair competition under the California Business and Professional Code, breach of contract, breach of implied covenant of good faith and fair dealing and declaratory judgment. We seek money damages from the counterclaim defendant in an amount to be proven at trial and equitable, including declaratory, relief. While we believe the plaintiff’s claims are without merit, we cannot predict the ultimate outcome of this litigation.</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we do not succeed in prosecuting our claims against Hansen Medical, Inc. or if Hansen Medical, Inc. prevails on one or more of its claims, we may not recover our damages. In addition, if Hansen Medical, Inc. is successful, we may be required to pay substantial damages, and we may lose the ability to freely use certain of our intellectual property, any or all of which could materially harm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REGULATORY ENVIRONMENT</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As a provider of contract research to the U.S. government, we are subject to federal rules, regulations, audits and investigations, the violation or failure of which could adversely affect our business.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w:t>
      </w:r>
    </w:p>
    <w:p>
      <w:pPr>
        <w:spacing w:after="0" w:line="15"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contracts. Government contract laws and regulations affect how we do business with our government customers and, in some instances, impose added costs on our business. A violation of specific laws and regulations could result in the imposition of fines and penalties or the termination of our contracts or debarment from bidding on contracts. In some instances, these laws and regulations impose terms or rights that are more favorable to the government than those typically available to commercial parties in negotiated transactions. For example, the U.S. government may terminate any of our government contracts and, in general, subcontracts, at their convenience, as well as for default based on performance.</w:t>
      </w:r>
    </w:p>
    <w:p>
      <w:pPr>
        <w:spacing w:after="0" w:line="11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U.S. government agencies, including the Defense Contract Audit Agency and the Department of Labor, routinely audit and investigate government contractors. These agencies review a contractor’s performance under its contracts, cost structure and compliance with applicable laws, regulations and standards. The U.S. government also may review the adequacy of, and a contractor’s compliance with, its internal control systems and policies, including the contractor’s purchasing, property, estimating, compensation and management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information systems. Any costs found to be improperly allocated to a specific contract will not be reimbursed, while such costs already reimbursed must be refunded. If an audit uncovers improper or illegal activities, we may be subject to civil and criminal penalties and administrative sanctions, including termination of contracts, forfeiture of profits, suspension of payments, fines and suspension or prohibition from doing business with the U.S. government. In addition, our reputation could suffer serious harm if allegations of impropriety were made against us.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the risk of government audits and investigations, U.S. government contracts and grants impose requirements on contractors and grantees relating to ethics and business practices, which carry civil and criminal penalties ranging from monetary fines, assessments, loss of the ability to do business with the U.S. government and certain other criminal penalties.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also be prohibited from commercially selling certain products that we develop under our Contract Research Group or related products based on the same core technologies if the U.S. government determines that the commercial availability of those products could pose a risk to national security. For example, certain of our wireless technologies have been classified as secret by the U.S. government and as a result we cannot sell them commercially. Any of these determinations would limit our ability to generate product sales and license revenues.</w:t>
      </w:r>
    </w:p>
    <w:p>
      <w:pPr>
        <w:spacing w:after="0" w:line="224" w:lineRule="exact"/>
        <w:rPr>
          <w:sz w:val="20"/>
          <w:szCs w:val="20"/>
          <w:color w:val="auto"/>
        </w:rPr>
      </w:pPr>
    </w:p>
    <w:p>
      <w:pPr>
        <w:ind w:right="400"/>
        <w:spacing w:after="0" w:line="370" w:lineRule="auto"/>
        <w:rPr>
          <w:sz w:val="20"/>
          <w:szCs w:val="20"/>
          <w:color w:val="auto"/>
        </w:rPr>
      </w:pPr>
      <w:r>
        <w:rPr>
          <w:rFonts w:ascii="Arial" w:cs="Arial" w:eastAsia="Arial" w:hAnsi="Arial"/>
          <w:sz w:val="15"/>
          <w:szCs w:val="15"/>
          <w:b w:val="1"/>
          <w:bCs w:val="1"/>
          <w:i w:val="1"/>
          <w:iCs w:val="1"/>
          <w:color w:val="auto"/>
        </w:rPr>
        <w:t>Our health care and medical products are subject to a lengthy and uncertain domestic regulatory approval process. If we do not obtain and maintain the necessary domestic regulatory approvals or clearances, we will not be able to market and sell our products for clinical use in the United States.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of our current and potential products will require regulatory clearances or approvals prior to commercialization. In particular, our Trimetasphere</w:t>
      </w:r>
      <w:r>
        <w:rPr>
          <w:rFonts w:ascii="Arial" w:cs="Arial" w:eastAsia="Arial" w:hAnsi="Arial"/>
          <w:sz w:val="20"/>
          <w:szCs w:val="20"/>
          <w:color w:val="auto"/>
          <w:vertAlign w:val="superscript"/>
        </w:rPr>
        <w:t>®</w:t>
      </w:r>
    </w:p>
    <w:p>
      <w:pPr>
        <w:spacing w:after="0" w:line="1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nanomaterial-based MRI contrast agent and our EDAC</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ultrasound diagnostic devices for measuring certain medical conditions will be considered a drug and medical devices, respectively, under the Federal Food, Drug &amp; Cosmetic Act, or FDC Act. Drugs and some medical devices are subject to rigorous preclinical testing and other approval requirements by the Food and Drug Administration, or FDA, pursuant to the FDC Act, and regulations under the FDC Act, as well as by similar health authorities in foreign countries. Various federal statutes and regulations also govern or influence the testing, manufacturing, safety, labeling, packaging, advertising, storage, registration, listing and recordkeeping related to marketing of these products. The process of obtaining these clearances or approvals and the subsequent compliance with appropriate federal statutes and regulations require the expenditure of substantial resources. We cannot be certain that any required FDA or other regulatory approval will be granted or, if granted, will not be withdrawn. Our failure to obtain the necessary regulatory approvals, or our failure to obtain them in a timely manner, will prevent or delay our commercialization of new products and our business or our stock price could be adversely affected.</w:t>
      </w:r>
    </w:p>
    <w:p>
      <w:pPr>
        <w:spacing w:after="0" w:line="184" w:lineRule="exact"/>
        <w:rPr>
          <w:sz w:val="20"/>
          <w:szCs w:val="20"/>
          <w:color w:val="auto"/>
        </w:rPr>
      </w:pPr>
    </w:p>
    <w:p>
      <w:pPr>
        <w:ind w:right="420" w:firstLine="456"/>
        <w:spacing w:after="0" w:line="300" w:lineRule="auto"/>
        <w:rPr>
          <w:sz w:val="20"/>
          <w:szCs w:val="20"/>
          <w:color w:val="auto"/>
        </w:rPr>
      </w:pPr>
      <w:r>
        <w:rPr>
          <w:rFonts w:ascii="Arial" w:cs="Arial" w:eastAsia="Arial" w:hAnsi="Arial"/>
          <w:sz w:val="15"/>
          <w:szCs w:val="15"/>
          <w:color w:val="auto"/>
        </w:rPr>
        <w:t>In general, the FDA regulates the research, testing, manufacturing, safety, labeling, storage, record keeping, promotion, distribution and production of medical devices in the United States to ensure that medical products distributed domestically are safe and effective for their intended uses. In order for us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market our EDAC</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or other products for clinical use in the United States, we generally must first obtain clearance from the FDA pursuant to Section 510(k) of</w:t>
      </w:r>
    </w:p>
    <w:p>
      <w:pPr>
        <w:spacing w:after="0" w:line="1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Food, Drug, and Cosmetic Act, which has occurred in the case of the EDAC</w:t>
      </w:r>
      <w:r>
        <w:rPr>
          <w:rFonts w:ascii="Arial" w:cs="Arial" w:eastAsia="Arial" w:hAnsi="Arial"/>
          <w:sz w:val="21"/>
          <w:szCs w:val="21"/>
          <w:color w:val="auto"/>
          <w:vertAlign w:val="superscript"/>
        </w:rPr>
        <w:t>®</w:t>
      </w:r>
      <w:r>
        <w:rPr>
          <w:rFonts w:ascii="Arial" w:cs="Arial" w:eastAsia="Arial" w:hAnsi="Arial"/>
          <w:sz w:val="17"/>
          <w:szCs w:val="17"/>
          <w:color w:val="auto"/>
        </w:rPr>
        <w:t>. Clearance under Section 510(k) requires demonstration that a new device is substantially equivalent to another device with 510(k) clearance or grandfather status. If we significantly modify our products after they receive FDA clearance, the FDA may require us to submit a separate 510(k) or premarket approval application, or PMA, for the modified product before we are permitted to market the products in the U.S. In addition, if we develop products in the future that are not considered to be substantially equivalent to a device with 510(k) clearance or grandfather status, we will be required to obtain FDA approval by submitting a PMA.</w:t>
      </w:r>
    </w:p>
    <w:p>
      <w:pPr>
        <w:spacing w:after="0" w:line="18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FDA may not act favorably or quickly in its review of our 510(k) or PMA submissions, or we may encounter significant difficulties and costs in our efforts to obtain FDA clearance or approval, all of which could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delay or preclude sale of new products for clinical use in the United States. Furthermore, the FDA may request additional data or require us to conduct further testing, or compile more data, including clinical data and clinical studies, in support of a 510(k) submission. The FDA may also, instead of accepting a 510(k) submission, require us to submit a PMA, which is typically a much more complex and burdensome application than a 510(k). To support a PMA, the FDA would likely require that we conduct one or more clinical studies to demonstrate that the device is safe and effective. We may not be able to meet the requirements to obtain 510(k) clearance or PMA approval, or the FDA may not grant any necessary clearances or approvals. In addition, the FDA may place significant limitations upon the intended use of our products as a condition to a 510(k) clearance or PMA approval. Product applications can also be denied or withdrawn due to failure to comply with regulatory requirements or the occurrence of unforeseen problems following clearance or approval. Any delays or failure to obtain FDA clearance or approvals of new products we develop, any limitations imposed by the FDA on new product use, or the costs of obtaining FDA clearance or approvals could have a material adverse effect on our business, financial condition and results of operations.</w:t>
      </w:r>
    </w:p>
    <w:p>
      <w:pPr>
        <w:spacing w:after="0" w:line="20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Complying with FDA regulations is an expensive and time-consuming process. Our failure to comply fully with such regulations could subject us to enforcement actions.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commercially distributed medical device products will be subject to numerous post-market regulatory requirements, including the following:</w:t>
      </w:r>
    </w:p>
    <w:p>
      <w:pPr>
        <w:spacing w:after="0" w:line="113" w:lineRule="exact"/>
        <w:rPr>
          <w:sz w:val="20"/>
          <w:szCs w:val="20"/>
          <w:color w:val="auto"/>
        </w:rPr>
      </w:pPr>
    </w:p>
    <w:p>
      <w:pPr>
        <w:ind w:left="900" w:right="44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System Regulation, or QSR, which requires manufacturers to follow elaborate design, testing, control, documentation and other quality assurance procedures during the manufacturing process;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labeling regulations;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FDA’s general prohibition against false or misleading statements in the labeling or promotion of products for unapproved or “off-label” uses;</w:t>
      </w:r>
    </w:p>
    <w:p>
      <w:pPr>
        <w:spacing w:after="0" w:line="113"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Reports of Corrections and Removals regulation, which requires that manufacturers report to the FDA recalls and field corrective actions taken to reduce a risk to health or to remedy a violation of the FFDCA that may pose a risk to health; and</w:t>
      </w:r>
    </w:p>
    <w:p>
      <w:pPr>
        <w:spacing w:after="0" w:line="50" w:lineRule="exact"/>
        <w:rPr>
          <w:rFonts w:ascii="Arial" w:cs="Arial" w:eastAsia="Arial" w:hAnsi="Arial"/>
          <w:sz w:val="18"/>
          <w:szCs w:val="18"/>
          <w:color w:val="auto"/>
        </w:rPr>
      </w:pPr>
    </w:p>
    <w:p>
      <w:pPr>
        <w:ind w:left="900" w:right="26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will also become subject to inspection and marketing surveillance by the FDA to determine our compliance with regulatory requirements. If the FDA finds that we have failed to comply, it can institute a wide variety of enforcement actions, ranging from a regulatory letter to a public warning letter to more severe civil and criminal sanctions. Our failure to comply with applicable requirements could lead to an enforcement action that may have an adverse effect on our financial condition and results of operations.</w:t>
      </w:r>
    </w:p>
    <w:p>
      <w:pPr>
        <w:spacing w:after="0" w:line="22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If our manufacturing facilities do not meet Federal, State or foreign country manufacturing standards, we may be required to temporarily cease all or part of our manufacturing operations, which would result in product delivery delays and negatively impact revenue.</w:t>
      </w:r>
    </w:p>
    <w:p>
      <w:pPr>
        <w:spacing w:after="0" w:line="4"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manufacturing facilities are subject to periodic inspection by regulatory authorities and our operations will continue to be regulated by the FDA for compliance with Good Manufacturing Practice requirements contained in the FDA’s Quality System Regulations, or QSR. We are also required to comply with International Organization for Standardization, or ISO, quality system standards in order to produce products for sale in Europe. If we fail to continue to comply with Good Manufacturing Practice requirements or ISO standards, we may be required to cease all or part of our operations until we comply with these regulations. Obtaining and maintaining such compliance is difficult and costly. We cannot be certain that our facilities will be found to comply with Good Manufacturing Practice requirements or ISO standards in future inspections and audits by regulatory authorities.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Our medical products are subject to various international regulatory processes and approval requirements. If we do not obtain and maintain the necessary international regulatory approvals, we may not be able to market and sell our medical products in foreign countries.</w:t>
      </w:r>
    </w:p>
    <w:p>
      <w:pPr>
        <w:spacing w:after="0" w:line="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regulatory approval in any foreign country in which we plan to market our products, our ability to generate revenue will be harmed.</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have not yet received permission to affix the CE mark to our medical products. We do not know whether we will be able to obtain permission to affix the CE mark for new or modified products. If we are unable to obtain permission to affix the CE mark to our products, we will not be able to sell our products in member countries of the European Union.</w:t>
      </w:r>
    </w:p>
    <w:p>
      <w:pPr>
        <w:spacing w:after="0" w:line="22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significant foreign and domestic government regulations, including environmental and health and safety regulations, and failure to comply with these regulations could harm our business.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facilities and current and proposed activities involve the use of a broad range of materials that are considered hazardous under applicable laws and regulations. Accordingly, we are subject to a number of foreign, federal, state, and local laws and regulations relating to health and safety, protection of the environment, and the storage, use, disposal of, and exposure to, hazardous materials and wastes. We could incur costs, fines and civil and criminal penalties, personal injury and third party property damage claims, or could be required to incur substantial investigation or remediation costs if we were to violate or become liable under environmental, health and safety laws. Moreover, a failure to comply with environmental laws could result in fines and the revocation of environmental permits, which could prevent us from conducting our business. Liability under environmental laws can be joint and several and without regard to fault. There can be no assurance that violations of environmental health and safety laws will not occur in the future as a result of the inability to obtain permits, human error, equipment failure or other causes. Environmental laws could become more stringent over time, imposing greater compliance costs and increasing risks and penalties associated with violations, which could harm our business. Accordingly, violations of present and future environmental laws could restrict our ability to expand facilities, pursue certain technologies, and could require us to acquire costly equipment, or to incur potentially significant costs to comply with environmental regulations.</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European Union Directive 2002/96/EC on Waste Electrical and Electronic Equipment, known as the “WEEE Directive,” requires producers of certain electrical and electronic equipment, including monitoring instruments, to be financially responsible for specified collection, recycling, treatment and disposal of past and present covered products placed on the market in the European Union. As a manufacturer of covered products, we may be required to register as a producer in some European Union countries, and we may incur some financial responsibility for the collection, recycling, treatment and disposal of both new product sold, and product already sold prior to the WEEE Directive’s enforcement date, including the products of other manufacturers where these are replaced by our own products. European Union Directive 2002/95/EC on the Restriction of the use of Hazardous Substances in electrical and electronic equipment, known as the “RoHS Directive,” restricts the use of certain hazardous substances, including mercury, lead and cadmium in specified covered products; however, the RoHS Directive currently exempts monitoring instruments from its requirements. If the European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Commission were to remove this exemption in the future, we would be required to change our manufacturing processes and redesign products regulated under the RoHS Directive in order to be able to continue to offer them for sale within the European Union. For some products, substituting certain components containing regulated hazardous substances may be difficult, costly or result in production delays. We will continue to review the applicability and impact of both directives on the sale of our products within the European Union, and although we cannot currently estimate the extent of such impact, they are likely to result in additional costs and could require us to redesign or change how we manufacture our products, any of which could adversely affect our operating results. Failure to comply with the directives could result in the imposition of fines and penalties, inability to sell covered products in the European Union and loss of revenues.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Compliance with foreign, federal, state and local environmental laws and regulations represents a small part of our present budget. If we fail to comply with any such laws or regulations, however, a government entity may levy a fine on us or require us to take costly measures to ensure compliance. Any such fine or expenditure may adversely affect our development. We are committed to complying with and, to our knowledge, are in compliance with, all governmental regulations. We cannot predict the extent to which future legislation and regulation could cause us to incur additional operating expenses, capital expenditures, or restrictions and delays in the development of our products and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INTELLECTUAL PROPERTY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proprietary rights may not adequately protect our technologies.</w:t>
      </w:r>
    </w:p>
    <w:p>
      <w:pPr>
        <w:spacing w:after="0" w:line="90" w:lineRule="exact"/>
        <w:rPr>
          <w:sz w:val="20"/>
          <w:szCs w:val="20"/>
          <w:color w:val="auto"/>
        </w:rPr>
      </w:pPr>
    </w:p>
    <w:p>
      <w:pPr>
        <w:ind w:firstLine="456"/>
        <w:spacing w:after="0" w:line="270" w:lineRule="auto"/>
        <w:rPr>
          <w:sz w:val="20"/>
          <w:szCs w:val="20"/>
          <w:color w:val="auto"/>
        </w:rPr>
      </w:pPr>
      <w:r>
        <w:rPr>
          <w:rFonts w:ascii="Arial" w:cs="Arial" w:eastAsia="Arial" w:hAnsi="Arial"/>
          <w:sz w:val="16"/>
          <w:szCs w:val="16"/>
          <w:color w:val="auto"/>
        </w:rPr>
        <w:t>Our commercial success will depend in part on our obtaining and maintaining patent, trade secret, copyright and trademark protection of our technologies in the United States and other jurisdictions as well as successfully enforcing this intellectual property and defending this intellectual property against third-party challenges. We will only be able to protect our technologies from unauthorized use by third parties to the extent that valid and enforceable intellectual property protections, such as patents or trade secrets, cover them. In particular, we place considerable emphasis on obtaining patent and trade secret protection for significant new technologies, products and processes. Furthermore, the degree of future protection of our proprietary rights is uncertain because legal means afford only limited protection and may not adequately protect our rights or permit us to gain or keep our competitive advantage. The degree of future protection of</w:t>
      </w:r>
    </w:p>
    <w:p>
      <w:pPr>
        <w:spacing w:after="0" w:line="1"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our proprietary rights is also uncertain for products that are currently in the early stages of development—such as the Trimetasphere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carbon nanomaterials products—because we cannot predict which of these products will ultimately reach the commercial market or whether the commercial versions of these products will incorporate proprietary technologies.</w:t>
      </w:r>
    </w:p>
    <w:p>
      <w:pPr>
        <w:spacing w:after="0" w:line="1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patent position is highly uncertain and involves complex legal and factual questions. Accordingly, we cannot predict the breadth of claims that may be allowed or enforced in our patents or in third-party patents. For example:</w:t>
      </w:r>
    </w:p>
    <w:p>
      <w:pPr>
        <w:spacing w:after="0" w:line="5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or our licensors might not have been the first to make the inventions covered by each of our pending patent applications and issued patents;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licensors might not have been the first to file patent applications for these inventions;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is possible that none of our pending patent applications or the pending patent applications of our licensors will result in issued patents;</w:t>
      </w:r>
    </w:p>
    <w:p>
      <w:pPr>
        <w:spacing w:after="0" w:line="113"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issued patents and issued patents of our licensors may not provide a basis for commercially viable technologies, may not provide us with any competitive advantages, or may be challenged and invalidated by third parties;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0" w:lineRule="auto"/>
        <w:rPr>
          <w:sz w:val="20"/>
          <w:szCs w:val="20"/>
          <w:color w:val="auto"/>
        </w:rPr>
      </w:pPr>
      <w:r>
        <w:rPr>
          <w:rFonts w:ascii="Arial" w:cs="Arial" w:eastAsia="Arial" w:hAnsi="Arial"/>
          <w:sz w:val="15"/>
          <w:szCs w:val="15"/>
          <w:color w:val="auto"/>
        </w:rPr>
        <w:t>Patents may not be issued for any pending or future pending patent applications owned by or licensed to us, and claims allowed under any issued patent or future issued patent owned or licensed by us may not be valid or sufficiently broad to protect our technologies. Moreover, protection of certain of our intellectual</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property may be unavailable or limited in the United States or in foreign countries, and certain of our products—including our Trimetasphere</w:t>
      </w:r>
      <w:r>
        <w:rPr>
          <w:rFonts w:ascii="Arial" w:cs="Arial" w:eastAsia="Arial" w:hAnsi="Arial"/>
          <w:sz w:val="21"/>
          <w:szCs w:val="21"/>
          <w:color w:val="auto"/>
          <w:vertAlign w:val="superscript"/>
        </w:rPr>
        <w:t>®</w:t>
      </w:r>
      <w:r>
        <w:rPr>
          <w:rFonts w:ascii="Arial" w:cs="Arial" w:eastAsia="Arial" w:hAnsi="Arial"/>
          <w:sz w:val="17"/>
          <w:szCs w:val="17"/>
          <w:color w:val="auto"/>
        </w:rPr>
        <w:t xml:space="preserve"> carbon nanomaterials products—do not have foreign patent protection. Any issued patents owned by or licensed to us now or in the future may be challenged, invalidated, or circumvented, and the rights under such patents may not provide us with competitive advantages. In addition, competitors may design around our technology or develop competing technologies. Intellectual property rights may also be unavailable or limited in some foreign countries, and in the case of certain products no foreign patents were filed or can be filed. This could make it easier for competitors to capture or increase their market share with respect to related technologies. Although we are not currently involved in any legal proceedings related to intellectual property, we could incur substantial costs to bring suits in which we may assert our patent rights against others or defend ourselves in suits brought against us. An unfavorable outcome of any such litigation could have a material adverse effect on our business and results of operations.</w:t>
      </w:r>
    </w:p>
    <w:p>
      <w:pPr>
        <w:spacing w:after="0" w:line="18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also rely on trade secrets to protect our technology, especially where we believe patent protection is not appropriate or obtainable. However, trade secrets are difficult to protect. We vigorously pursue confidentiality agreements and contractual provisions with our collaborators, employees, and consultants to protect our trade secrets and proprietary know-how. These agreements may be breached and or may not have adequate remedies for such breach. While we use reasonable efforts to protect our trade secrets, our employees, consultants, contractors or scientific and other advisors, or those of our strategic partners, may unintentionally or willfully disclose our information to competitors. If we were to enforce a claim that a third party had illegally obtained and was using our trade secrets, our enforcement efforts would be expensive and time consuming, and the outcome would be unpredictable. In addition, courts outside the United States are sometimes unwilling to protect trade secrets. Moreover, if our competitors independently develop equivalent knowledge, methods and know-how, it will be more difficult for us to enforce our rights and our business could be harmed.</w:t>
      </w:r>
    </w:p>
    <w:p>
      <w:pPr>
        <w:spacing w:after="0" w:line="118"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If we are not able to defend the patent or trade secret protection position of our technologies, then we will not be able to exclude competitors from developing or marketing competing technologies, and we may not generate enough revenues from product sales to justify the cost of development of our technologies and to achieve or maintain profitability.</w:t>
      </w:r>
    </w:p>
    <w:p>
      <w:pPr>
        <w:spacing w:after="0" w:line="140"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We also rely on trademarks to establish a market identity for Luna and Luna products. To maintain the value of our trademarks, we might have to file lawsuits against third parties to prevent them from using trademarks confusingly similar to or dilutive of our registered or unregistered trademarks. Also, we might not obtain registrations for our pending trademark applications, and might have to defend our registered trademark and pending trademark applications from challenge by third parties. Enforcing or defending our registered and unregistered trademarks might result in significant litigation costs and damages, including the inability to continue using certain trademarks.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may claim that we infringe their intellectual property, and we could suffer significant litigation or licensing expense as a result.</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Various U.S. and foreign issued patents and pending patent applications, which are owned by third parties, exist in our technology areas. Such third parties may claim that we infringe their patents. Because patent applications can take several years to result in a patent issuance, there may be currently pending applications, unknown to us, which may later result in issued patents that our technologies may infringe. For example, we are aware of competitors with patents in technology areas applicable to our optical test equipment products. Such competitors may allege that we infringe these patents. There could also be existing patents of which we are not aware that our technologies may inadvertently infringe. If third parties assert claims against us alleging that we infringe their patents or other intellectual property rights—including third parties that have asserted claims against businesses that we have acquired prior to our acquisition of these businesses—we could incur substantial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costs and diversion of management resources in defending these claims, and the defense of these claims could have a material adverse effect on our business, financial condition, and results of operations. In addition, if third parties assert claims against us and we are unsuccessful in defending against these claims, these third parties may be awarded substantial damages, as well as injunctive or other equitable relief against us, which could effectively block our ability to make, use, sell, distribute, or market our products and services in the United States or abroad.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Commercial application of nanotechnologies in particular, or technologies involving nanomaterials, is new and the scope and breadth of patent protection is uncertain. Consequently, the patent positions of companies involved in nanotechnologies have not been tested and complex legal and factual questions for which important legal principles will be developed or may remain unresolved. In addition, it is not clear whether such patents will be subject to interpretations or legal doctrines that differ from conventional patent law principles. Changes in either the patent laws or in interpretations of patent laws in the United States and other countries may diminish the value of our nanotechnology-related intellectual property. Accordingly, we cannot predict the breadth of claims that may be allowed or enforced in our nanotechnology-related patents or in third party patents.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event that a claim relating to intellectual property is asserted against us, or third parties not affiliated with us hold pending or issued patents that relate to our products or technology, we may seek licenses to such intellectual property or challenge those patents. However, we may be unable to obtain these licenses on commercially reasonable terms, if at all, and our challenge of the patents may be unsuccessful. Our failure to obtain the necessary licenses or other rights could prevent the sale, manufacture, or distribution of our products and, therefore, could have a material adverse effect on our business, financial condition, and results of operations.</w:t>
      </w:r>
    </w:p>
    <w:p>
      <w:pPr>
        <w:spacing w:after="0" w:line="22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substantial portion of our technology is subject to retained rights of our licensors, and we may not be able to prevent the loss of those rights or the grant of similar rights to third parties.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substantial portion of our technology is licensed from academic institutions, corporations and government agencies. Under these licensing arrangements, a licensor may obtain rights over the technology, including the right to require us to grant a license to one or more third parties selected by the licensor or that we provide licensed technology or material to third parties for non-commercial research. The grant of a license for any of our core technologies to a third party could have a material and adverse effect on our business. In addition, some of our licensors retain certain rights under the licenses, including the right to grant additional licenses to a substantial portion of our core technology to third parties for noncommercial academic and research use. It is difficult to monitor and enforce such noncommercial academic and research uses, and we cannot predict whether the third party licensees would comply with the use restrictions of such licenses. We could incur substantial expenses to enforce our rights against them. We also may not fully control the ability to assert or defend those patents or other intellectual property which we have licensed from other entities, or which we have licensed to other entities.</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some of our licenses with academic institutions give us the right to use certain technology previously developed by researchers at these institutions. In certain cases we also have the right to practice improvements on the licensed technology to the extent they are encompassed by the licensed patents and within our field of use. Our licensors may currently own and may in the future obtain additional patents and patent applications that are necessary for the development, manufacture and commercial sale of our anticipated products. We may be unable to agree with one or more academic institutions from which we have obtained licenses that certain intellectual property developed by researchers at these academic institutions is covered by our existing licenses. In the event that the new intellectual property is not covered by our existing licenses, we would be required to negotiate a new license agreement. We may not be able to reach agreement with current or future licensors on commercially reasonable terms, if at all, or the terms may not permit us to sell our products at a profit after payment of royalties, which could harm our business.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Some of our patents may cover inventions that were conceived or first reduced to practice under, or in connection with, U.S. government contracts or other federal funding agreements. With respect to inventions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conceived or first reduced to practice under a federal funding agreement, the U.S. government may retain a nonexclusive, non-transferable, irrevocable, paid-up license to practice or have practiced for or on behalf of the United States the invention throughout the world. We may not have succeeded in our efforts to retain title in patents, maintain ownership of intellectual property or in limiting the U.S. government’s rights in our proprietary technologies and intellectual property whether such intellectual property was developed in the performance of a federal funding agreement or developed at private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has been volatile and we expect that the price of our common stock will fluctuate substantially in the future.</w:t>
      </w:r>
    </w:p>
    <w:p>
      <w:pPr>
        <w:spacing w:after="0" w:line="90"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Before our initial public offering, there was no public market for our common stock, and in the future, an active public trading market may not be sustained. The public trading price for our common stock will continue to be affected by a number of factors, including:</w:t>
      </w:r>
    </w:p>
    <w:p>
      <w:pPr>
        <w:spacing w:after="0" w:line="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earnings estimates, investors’ perceptions, recommendations by securities analysts or our failure to achieve analysts’ earning estimates;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status as an entity eligible to receive SBIR contracts and grants;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general market conditions and other factors unrelated to our operating performance or the operating performance of our competitors;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announcements by us, or our competitors, of acquisitions, new products, significant contracts, commercial relationships or capital commitments;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commencement of, or involvement in,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related to patents issued to us or our competitors and to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lack of, limited or negative industry or security analyst coverage;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the stock prices of many technology companies have experienced wide fluctuations that have often been unrelated to the operating performance of those companies. These factors may materially and adversely affect the market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there are substantial sales of our common stock, our stock price could decline.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our existing stockholders sell a large number of shares of our common stock or the public market perceives that these sales may occur, the market price of our common stock could decline.</w:t>
      </w:r>
    </w:p>
    <w:p>
      <w:pPr>
        <w:spacing w:after="0" w:line="132"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As of the date of our initial public offering, employees and former employees holding approximately 1.8 million shares of our common stock or options exercisable for our common stock had entered into an agreement to not sell more than 20.0% of such shares in any year during the five years following the effective date of our initial public offering, provided that if any shares subject to such annual limit are not sold in a given year then such shares may be sold in subsequent years. In addition, certain members of our management holding options exercisable for approximately 2.2 million shares of our common stock had entered into an agreement not to sell more than 15.0% of such shares in any year during the five years following the effective date of such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initial public offering. On January 23, 2007, certain members of our management team entered into amended and restated stock sale restriction agreements whereby such officers agreed not to sell more than a fixed number of beneficially held shares of our common stock for a two year period ending December 31, 2008. On February 27, 2008, certain members of our management team entered into a second amended and restated stock sale restriction agreement whereby such officers agreed not to sell more than a fixed number of beneficially held shares of our common stock for a two year period ending December 31, 2010. As of December 31, 2007, such officers beneficially owned an aggregate of 4,541,021 shares of our common stock, including vested and unvested options to purchase common stock, which are subject to the sale restriction agreements. We have the right to waive any of these resale restrictions for employees and management at our discretion, and in such instance, the shares would become freely tradable.</w:t>
      </w:r>
    </w:p>
    <w:p>
      <w:pPr>
        <w:spacing w:after="0" w:line="199" w:lineRule="exact"/>
        <w:rPr>
          <w:sz w:val="20"/>
          <w:szCs w:val="20"/>
          <w:color w:val="auto"/>
        </w:rPr>
      </w:pPr>
    </w:p>
    <w:p>
      <w:pPr>
        <w:ind w:right="520"/>
        <w:spacing w:after="0" w:line="357" w:lineRule="auto"/>
        <w:rPr>
          <w:sz w:val="20"/>
          <w:szCs w:val="20"/>
          <w:color w:val="auto"/>
        </w:rPr>
      </w:pPr>
      <w:r>
        <w:rPr>
          <w:rFonts w:ascii="Arial" w:cs="Arial" w:eastAsia="Arial" w:hAnsi="Arial"/>
          <w:sz w:val="15"/>
          <w:szCs w:val="15"/>
          <w:b w:val="1"/>
          <w:bCs w:val="1"/>
          <w:i w:val="1"/>
          <w:iCs w:val="1"/>
          <w:color w:val="auto"/>
        </w:rPr>
        <w:t>If our internal controls over financial reporting are found not to be effective or if we make disclosure of existing or potential significant deficiencies or material weaknesses in those controls, Investors could lose confidence in our financial reports, and our stock price may be adversely affected.</w:t>
      </w:r>
    </w:p>
    <w:p>
      <w:pPr>
        <w:ind w:right="40" w:firstLine="456"/>
        <w:spacing w:after="0" w:line="255" w:lineRule="auto"/>
        <w:rPr>
          <w:sz w:val="20"/>
          <w:szCs w:val="20"/>
          <w:color w:val="auto"/>
        </w:rPr>
      </w:pPr>
      <w:r>
        <w:rPr>
          <w:rFonts w:ascii="Arial" w:cs="Arial" w:eastAsia="Arial" w:hAnsi="Arial"/>
          <w:sz w:val="18"/>
          <w:szCs w:val="18"/>
          <w:color w:val="auto"/>
        </w:rPr>
        <w:t>Beginning with this Annual Report on Form 10-K, Section 404 of the Sarbanes-Oxley Act of 2002 requires us to include an internal control report with our Annual Report on Form 10-K. That report includes management’s assessment of the effectiveness of our internal control over financial reporting as of the end of the fiscal year. Additionally, our independent registered public accounting firm will be required to issue a report on management’s assessment of our internal control over financial reporting and a report on their evaluation of the operating effectiveness of our internal control over financial reporting beginning with our Annual Report for the year ending December 31, 2008.</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continue to evaluate our existing internal control over financial reporting against the standards adopted by the Public Company Accounting Oversight Board, or PCAOB. During the course of our ongoing evaluation of the internal controls, we may identify areas requiring improvement, and may have to design enhanced processes and controls to address issues identified through this review. Remedying any deficiencies, significant deficiencies or material weaknesses that we or our independent registered public accounting firm may identify, may require us to incur significant costs and expend significant time and management resources. We cannot assure you that any of the measures we implement to remedy any such deficiencies will effectively mitigate or remedy such deficiencies. Investors could lose confidence in our financial reports, and our stock price may be adversely affected, if our internal controls over financial reporting are found not to be effective by management or by an independent registered public accounting firm or if we make disclosure of existing or potential significant deficiencies or material weaknesses in those controls.</w:t>
      </w:r>
    </w:p>
    <w:p>
      <w:pPr>
        <w:spacing w:after="0" w:line="199" w:lineRule="exact"/>
        <w:rPr>
          <w:sz w:val="20"/>
          <w:szCs w:val="20"/>
          <w:color w:val="auto"/>
        </w:rPr>
      </w:pPr>
    </w:p>
    <w:p>
      <w:pPr>
        <w:ind w:right="500"/>
        <w:spacing w:after="0" w:line="357" w:lineRule="auto"/>
        <w:rPr>
          <w:sz w:val="20"/>
          <w:szCs w:val="20"/>
          <w:color w:val="auto"/>
        </w:rPr>
      </w:pPr>
      <w:r>
        <w:rPr>
          <w:rFonts w:ascii="Arial" w:cs="Arial" w:eastAsia="Arial" w:hAnsi="Arial"/>
          <w:sz w:val="15"/>
          <w:szCs w:val="15"/>
          <w:b w:val="1"/>
          <w:bCs w:val="1"/>
          <w:i w:val="1"/>
          <w:iCs w:val="1"/>
          <w:color w:val="auto"/>
        </w:rPr>
        <w:t>We have previously identified material weaknesses and significant deficiencies in our internal controls, and if we are unable to develop, implement and maintain appropriate controls we will not be able to comply with applicable regulatory requirements imposed on reporting companies.</w:t>
      </w:r>
    </w:p>
    <w:p>
      <w:pPr>
        <w:ind w:right="40" w:firstLine="456"/>
        <w:spacing w:after="0" w:line="259" w:lineRule="auto"/>
        <w:rPr>
          <w:sz w:val="20"/>
          <w:szCs w:val="20"/>
          <w:color w:val="auto"/>
        </w:rPr>
      </w:pPr>
      <w:r>
        <w:rPr>
          <w:rFonts w:ascii="Arial" w:cs="Arial" w:eastAsia="Arial" w:hAnsi="Arial"/>
          <w:sz w:val="18"/>
          <w:szCs w:val="18"/>
          <w:color w:val="auto"/>
        </w:rPr>
        <w:t>Although we do not believe we have material weaknesses or significant deficiencies related to our policies and procedures, we continue to perform specific tests to determine the effectiveness of key controls within these policies and procedures. We intend to monitor those policies and procedures in connection with our formally documented system of internal control.</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maintenance of appropriate internal controls will depend materially both on our successful hiring and retention of key senior accounting personnel If we are unable to retain and attract qualified personnel, to maintain financial reporting and accounting systems or if we are unable to scale these systems to our growth, we may not have adequate, accurate or timely financial information, and we may be unable to meet our reporting obligations or comply with the requirements of the SEC, the NASDAQ Global Market or the Sarbanes-Oxley Act of 2002, which could result in the imposition of sanctions, including the suspension or delisting of our common stock from the NASDAQ Global Market and the inability of registered broker dealers to make a market in our common stock, or investigation by regulatory authorities. Any such action or other negative results caused by our inability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meet our reporting requirements or comply with legal and regulatory requirements or by disclosure of an accounting, reporting or control issue could adversely affect the price of our common stock. Future determinations that there are significant deficiencies or material weaknesses in the effectiveness of our internal control over financial reporting could also reduce our ability to obtain financing or could increase the cost of any financing we obtain and require additional expenditures to comply with applicable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vary significantly from period to period, which may reduce our stock price.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Historically, our financial results have exhibited significant seasonality. For example, we typically have lower product and license revenue in the first half of the year and higher product revenue in the second half of the year. We expect such seasonality to continue. In addition, our financial results may fluctuate as a result of a number of factors, many of which are outside of our control, which may cause the market price of our common stock to fall. For these reasons, comparing our operating results on a period-to-period basis may not be meaningful, and you should not rely on our past results as an indication of our future performance. Our financial results may be negatively affected by any of the risk factors listed in this “Risk factors” section and, in particular, the following risks:</w:t>
      </w:r>
    </w:p>
    <w:p>
      <w:pPr>
        <w:spacing w:after="0" w:line="35"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reduction of contract research funding;</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decisions by government agencies, academic institutions or corporations not to exercise contract options or to modify, curtail or terminate our major contracts;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estimate or control contract costs;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related to acquisitions, mergers or joint ventures;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declines in market demand for sensing and instrumentation products;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one-time financial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of December 31, 2007, our directors and executive officers collectively controlled approximately 50 % of our outstanding common stock.</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2007, our directors and executive officers and their affiliates collectively controlled approximately 50% of our outstanding common stock. As a result, these stockholders, if they act together, will be able to influence our management and affairs and all matters requiring stockholder approval, including the election of directors and approval of significant corporate transactions. You and other stockholders will have minimal influence over these actions. This concentration of ownership may have the effect of delaying or preventing a change in control of our company and might adversely affect the market price of our common stock.</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amended and restated certificate of incorporation and bylaws and Delaware law could discourage a takeover.</w:t>
      </w:r>
    </w:p>
    <w:p>
      <w:pPr>
        <w:spacing w:after="0" w:line="11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amended and restated certificate of incorporation and bylaws and Delaware law contain provisions that might enable our management to resist a takeover. These provisions include:</w:t>
      </w:r>
    </w:p>
    <w:p>
      <w:pPr>
        <w:spacing w:after="0" w:line="51"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advance notice requirements to stockholders for matters to be brought at stockholder meetings;</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supermajority stockholder vote requirement for amending certain provisions of our amended and restated certificate of incorporation and bylaws;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right to issue preferred stock without stockholder approval, which could be used to dilute the stock ownership of a potential hostile acquirer.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provisions might discourage, delay or prevent a change in control of our company or a change in our management. The existence of these provisions could adversely affect the voting power of holders of common stock and limit the price that investors might be willing to pay in the future for shares of our common stock.</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corporate headquarters are located in Roanoke, Virginia, and are centrally located to our research, development and manufacturing facilities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Blacksburg, Charlottesville, Danville and Hampton, Virginia and our office in McLean, Virginia. These properties are summarized below:</w:t>
      </w:r>
    </w:p>
    <w:p>
      <w:pPr>
        <w:spacing w:after="0" w:line="84" w:lineRule="exact"/>
        <w:rPr>
          <w:sz w:val="20"/>
          <w:szCs w:val="20"/>
          <w:color w:val="auto"/>
        </w:rPr>
      </w:pPr>
    </w:p>
    <w:p>
      <w:pPr>
        <w:ind w:left="900" w:right="80" w:hanging="446"/>
        <w:spacing w:after="0" w:line="357" w:lineRule="auto"/>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lease approximately 24,000 square feet of space in Roanoke, Virginia, which is used for our corporate headquarters, general administrative functions, and certain research and development activities. Our administrative and technology and development segments primarily use this facility;</w:t>
      </w:r>
    </w:p>
    <w:p>
      <w:pPr>
        <w:ind w:left="900" w:right="60" w:hanging="446"/>
        <w:spacing w:after="0" w:line="306"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lease approximately 32,000 square feet of space in Blacksburg, Virginia, near Virginia Tech, which is used primarily for technology development activities and for the development and manufacturing of our medical device products and our test &amp; measurement, sensing, and instrumentation products. Our technology development and product and license segments primarily use this facility;</w:t>
      </w:r>
    </w:p>
    <w:p>
      <w:pPr>
        <w:spacing w:after="0" w:line="25" w:lineRule="exact"/>
        <w:rPr>
          <w:rFonts w:ascii="Arial" w:cs="Arial" w:eastAsia="Arial" w:hAnsi="Arial"/>
          <w:sz w:val="16"/>
          <w:szCs w:val="16"/>
          <w:color w:val="auto"/>
        </w:rPr>
      </w:pPr>
    </w:p>
    <w:p>
      <w:pPr>
        <w:ind w:left="900" w:right="6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lease approximately 16,000 square feet of space in Charlottesville, Virginia, near the University of Virginia, which is used for various technology development activities and for advanced materials research. Our technology development segment primarily uses this facility;</w:t>
      </w:r>
    </w:p>
    <w:p>
      <w:pPr>
        <w:spacing w:after="0" w:line="4"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lease a 24,000 square foot facility in Danville, Virginia for nanomaterials manufacturing and for new drug research and development. Our technology development segment and product development segments primarily use this facility;</w:t>
      </w:r>
    </w:p>
    <w:p>
      <w:pPr>
        <w:spacing w:after="0" w:line="50" w:lineRule="exact"/>
        <w:rPr>
          <w:rFonts w:ascii="Arial" w:cs="Arial" w:eastAsia="Arial" w:hAnsi="Arial"/>
          <w:sz w:val="18"/>
          <w:szCs w:val="18"/>
          <w:color w:val="auto"/>
        </w:rPr>
      </w:pPr>
    </w:p>
    <w:p>
      <w:pPr>
        <w:ind w:left="9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lease approximately 10,000 square feet of space in Hampton, Virginia, near the NASA Langley Research Center, for research and development of non-destructive evaluation and certain ultrasound products. Our technology development segment primarily uses this facility;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lease approximately 2,800 square feet of additional office space in McLean, Virginia for sales, general and administrative functions.</w:t>
      </w:r>
    </w:p>
    <w:p>
      <w:pPr>
        <w:spacing w:after="0" w:line="194"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We believe that our existing facilities are adequate for our current needs and suitable additional or substitute space will be available as needed to accommodate expansion of our operations.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From time to time, we may become involved in litigation in relation to claims arising out of our operations in the normal course of business. While management currently believes the amount of ultimate liability, if any, with respect to these actions will not materially affect our financial position, results of operations, or liquidity, the ultimate outcome of any litigation is uncertain. Were an unfavorable outcome to occur, or if protracted litigation were to ensue, the impact could be material to us.</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June 22, 2007, Hansen Medical Inc., a company for whom we had conducted certain research, filed a complaint against us in the Superior Court of the State of California, County of Santa Clara alleging misappropriation of trade secrets, unfair competition, breach of contract, breach of implied covenant of good faith and fair dealing and declaratory judgment. In addition to money damages in an unspecified amount, the plaintiff company seeks, among other things, equitable relief, including an injunction against our using the allegedly misappropriated trade secrets in connection with another project of ours. We have answered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complaint and intend to defend ourselves vigorously in this matter. We also filed a counterclaim against the plaintiff company. Our counterclaim asserts claims for misappropriation of trade secrets, unfair competition under the California Business and Professional Code, breach of contract, breach of implied covenant of good faith and fair dealing and declaratory judgment. We seek money damages from the counterclaim defendant in an amount to be proven at trial and equitable, including declaratory, relief. While we believe the plaintiff’s claims are without merit, we cannot predict the ultimate outcome of this litigation.</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May 30, 2006, we were served with a complaint filed by a former employee in the Circuit Court for the City of Roanoke, Virginia, alleging that we breached a consulting agreement with the former employee, and that we are indebted to the former employee in an unspecified amount of at least $100,000. We have answered the complaint and intend to defend ourselves vigorously in this matter. While we believe the former employee’s claims are without merit, counsel for such former employee has indicated that he may file additional claims against us. To date, no such additional claims have been filed. However, we cannot predict whether such former employee will file additional litigation against us or our subsidiaries or the ultimate outcome of any such litigation.</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On September 10, 2007, we filed a complaint against our former auditing and accounting firm in connection with the firm’s auditing and opining on the accuracy of several years of our consolidated financial statements in preparation for our registration with the Securities and Exchange Commission and our Initial Public Offering of securities. The complaint alleges that the firm breached its contract with us and committed negligence when it failed to ensure that it was independent to audit our financial statements, as required by the SEC regulations, and by failing to inform us that it was not independent to audit our financial statements. These actions, resulting in our termination of this firm and our hiring of a new independent firm, caused a delay in our IPO, thereby resulting in a lower amount of capital raised, and caused us to incur significant expenses. The case is pending in the Circuit Court for the City of Richmond, Virginia. Among other things, we seek money damages in the amount of $28 million. The defendant answered our complaint and counterclaimed alleging breach of contract, breach of implied contract and unjust enrichment. The firm’s counterclaim alleges that we failed to pay it certain fees for services performed. The firm seeks $173,000. We answered the counterclaim and, while we believe these claims are without merit and intend to defend them vigorously, we cannot predict the ultimate outcome of the litigation.</w:t>
      </w: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matters were submitted to a vote of security holders during the quarter ended December 31, 2007.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42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common stock has been traded on The NASDAQ Global Market under the symbol “LUNA” since our initial public offering on June 2, 2006. The following table sets forth the high and low closing prices of our common stock for each period indicated and are as reported by NASDAQ.</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Fiscal Period</w:t>
            </w:r>
          </w:p>
        </w:tc>
        <w:tc>
          <w:tcPr>
            <w:tcW w:w="32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4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40" w:type="dxa"/>
            <w:vAlign w:val="bottom"/>
            <w:gridSpan w:val="3"/>
            <w:vMerge w:val="continue"/>
          </w:tcPr>
          <w:p>
            <w:pPr>
              <w:spacing w:after="0"/>
              <w:rPr>
                <w:sz w:val="12"/>
                <w:szCs w:val="12"/>
                <w:color w:val="auto"/>
              </w:rPr>
            </w:pPr>
          </w:p>
        </w:tc>
        <w:tc>
          <w:tcPr>
            <w:tcW w:w="3220" w:type="dxa"/>
            <w:vAlign w:val="bottom"/>
          </w:tcPr>
          <w:p>
            <w:pPr>
              <w:spacing w:after="0"/>
              <w:rPr>
                <w:sz w:val="12"/>
                <w:szCs w:val="12"/>
                <w:color w:val="auto"/>
              </w:rPr>
            </w:pPr>
          </w:p>
        </w:tc>
        <w:tc>
          <w:tcPr>
            <w:tcW w:w="46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High</w:t>
            </w:r>
          </w:p>
        </w:tc>
        <w:tc>
          <w:tcPr>
            <w:tcW w:w="38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42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2"/>
                <w:szCs w:val="12"/>
                <w:color w:val="auto"/>
              </w:rPr>
            </w:pPr>
          </w:p>
        </w:tc>
        <w:tc>
          <w:tcPr>
            <w:tcW w:w="44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Low</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680" w:type="dxa"/>
            <w:vAlign w:val="bottom"/>
            <w:gridSpan w:val="3"/>
            <w:shd w:val="clear" w:color="auto" w:fill="CCEEFF"/>
          </w:tcPr>
          <w:p>
            <w:pPr>
              <w:jc w:val="center"/>
              <w:ind w:left="3092"/>
              <w:spacing w:after="0"/>
              <w:rPr>
                <w:sz w:val="20"/>
                <w:szCs w:val="20"/>
                <w:color w:val="auto"/>
              </w:rPr>
            </w:pPr>
            <w:r>
              <w:rPr>
                <w:rFonts w:ascii="Arial" w:cs="Arial" w:eastAsia="Arial" w:hAnsi="Arial"/>
                <w:sz w:val="18"/>
                <w:szCs w:val="18"/>
                <w:color w:val="auto"/>
                <w:w w:val="83"/>
              </w:rPr>
              <w:t>$ 4.72</w:t>
            </w:r>
          </w:p>
        </w:tc>
        <w:tc>
          <w:tcPr>
            <w:tcW w:w="80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83"/>
              </w:rPr>
              <w:t>$ 2.95</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3680" w:type="dxa"/>
            <w:vAlign w:val="bottom"/>
            <w:gridSpan w:val="3"/>
          </w:tcPr>
          <w:p>
            <w:pPr>
              <w:jc w:val="center"/>
              <w:ind w:left="3092"/>
              <w:spacing w:after="0"/>
              <w:rPr>
                <w:sz w:val="20"/>
                <w:szCs w:val="20"/>
                <w:color w:val="auto"/>
              </w:rPr>
            </w:pPr>
            <w:r>
              <w:rPr>
                <w:rFonts w:ascii="Arial" w:cs="Arial" w:eastAsia="Arial" w:hAnsi="Arial"/>
                <w:sz w:val="18"/>
                <w:szCs w:val="18"/>
                <w:color w:val="auto"/>
                <w:w w:val="83"/>
              </w:rPr>
              <w:t>$ 5.08</w:t>
            </w:r>
          </w:p>
        </w:tc>
        <w:tc>
          <w:tcPr>
            <w:tcW w:w="800" w:type="dxa"/>
            <w:vAlign w:val="bottom"/>
            <w:gridSpan w:val="2"/>
          </w:tcPr>
          <w:p>
            <w:pPr>
              <w:jc w:val="center"/>
              <w:ind w:left="296"/>
              <w:spacing w:after="0"/>
              <w:rPr>
                <w:sz w:val="20"/>
                <w:szCs w:val="20"/>
                <w:color w:val="auto"/>
              </w:rPr>
            </w:pPr>
            <w:r>
              <w:rPr>
                <w:rFonts w:ascii="Arial" w:cs="Arial" w:eastAsia="Arial" w:hAnsi="Arial"/>
                <w:sz w:val="18"/>
                <w:szCs w:val="18"/>
                <w:color w:val="auto"/>
                <w:w w:val="83"/>
              </w:rPr>
              <w:t>$ 2.91</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$ 6.22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$ 5.91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680" w:type="dxa"/>
            <w:vAlign w:val="bottom"/>
            <w:gridSpan w:val="3"/>
            <w:shd w:val="clear" w:color="auto" w:fill="CCEEFF"/>
          </w:tcPr>
          <w:p>
            <w:pPr>
              <w:jc w:val="center"/>
              <w:ind w:left="3092"/>
              <w:spacing w:after="0"/>
              <w:rPr>
                <w:sz w:val="20"/>
                <w:szCs w:val="20"/>
                <w:color w:val="auto"/>
              </w:rPr>
            </w:pPr>
            <w:r>
              <w:rPr>
                <w:rFonts w:ascii="Arial" w:cs="Arial" w:eastAsia="Arial" w:hAnsi="Arial"/>
                <w:sz w:val="18"/>
                <w:szCs w:val="18"/>
                <w:color w:val="auto"/>
                <w:w w:val="83"/>
              </w:rPr>
              <w:t>$ 5.18</w:t>
            </w:r>
          </w:p>
        </w:tc>
        <w:tc>
          <w:tcPr>
            <w:tcW w:w="80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83"/>
              </w:rPr>
              <w:t>$ 3.40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3680" w:type="dxa"/>
            <w:vAlign w:val="bottom"/>
            <w:gridSpan w:val="3"/>
          </w:tcPr>
          <w:p>
            <w:pPr>
              <w:jc w:val="center"/>
              <w:ind w:left="3092"/>
              <w:spacing w:after="0"/>
              <w:rPr>
                <w:sz w:val="20"/>
                <w:szCs w:val="20"/>
                <w:color w:val="auto"/>
              </w:rPr>
            </w:pPr>
            <w:r>
              <w:rPr>
                <w:rFonts w:ascii="Arial" w:cs="Arial" w:eastAsia="Arial" w:hAnsi="Arial"/>
                <w:sz w:val="18"/>
                <w:szCs w:val="18"/>
                <w:color w:val="auto"/>
                <w:w w:val="83"/>
              </w:rPr>
              <w:t>$ 9.53</w:t>
            </w:r>
          </w:p>
        </w:tc>
        <w:tc>
          <w:tcPr>
            <w:tcW w:w="800" w:type="dxa"/>
            <w:vAlign w:val="bottom"/>
            <w:gridSpan w:val="2"/>
          </w:tcPr>
          <w:p>
            <w:pPr>
              <w:jc w:val="center"/>
              <w:ind w:left="296"/>
              <w:spacing w:after="0"/>
              <w:rPr>
                <w:sz w:val="20"/>
                <w:szCs w:val="20"/>
                <w:color w:val="auto"/>
              </w:rPr>
            </w:pPr>
            <w:r>
              <w:rPr>
                <w:rFonts w:ascii="Arial" w:cs="Arial" w:eastAsia="Arial" w:hAnsi="Arial"/>
                <w:sz w:val="18"/>
                <w:szCs w:val="18"/>
                <w:color w:val="auto"/>
                <w:w w:val="83"/>
              </w:rPr>
              <w:t>$ 4.18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$ 4.09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2007, there were approximately 92 stockholders of record of our common stock, although we believe that there are a significantly larger number of beneficial owners of our common stock. We derived the number of stockholders of record by reviewing the listing of outstanding common stock recorded by our transfer agent as of December 31, 2007.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graph set forth below compares the cumulative total stockholder return on our common stock between our January 1, 2007 and December 31, 2007, versus the cumulative total return of the NASDAQ Composite Index and Russell 2000 Growth Index over the same period. This graph assumes the investment of $100,000 on January 1, 2007 in our common stock, the NASDAQ Composite Index and the Russell 2000 Growth Index, and assumes the reinvestment of dividends, if any. We have never paid dividends on our common stock and have no present plans to do so.</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there is no published industry or line-of-business index for our business reflective of the performance the Company nor do we believe we can reasonably identify a peer group, we measure our performance with issuers of similar market capitalization. We selected the Russell 2000 Growth Index because it measures the performance of a broad range of companies with lower market capitalization than those companies included in the S&amp;P 500 Index, and we have a low market capitalization.</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preceding Stock Performance Graph is not deemed filed with the Securities and Exchange Commission and shall not be incorporated by reference in any of our filings under the Securities Act of 1933, as amended, or the Securities Exchange Act of 1934, as amended, whether made before of after the date hereof and irrespective of any general incorporation language in any such filing.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Since our inception, we have never declared or paid any cash dividends. We currently expect to retain earnings for use in the operation and expansion of our business, and therefore do not anticipate paying any cash dividends in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information required by this item regarding equity compensation plans is set forth in Item 12 “Security Ownership of Certain Beneficial Owners and Management and Related Stockholder Matters”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 during the Three Months Ended December 31, 2007</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unregistered sales of equity securities during the three months ended December 31,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Sale of Registered Equity Securities</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June 2, 2006, our Registration Statement on Form S-1, as amended (Reg. Nos. 333-131764) was declared effective in connection with the initial public offering of our common stock, pursuant to which we registered and directly sold an aggregate of 3,500,000 shares of our common stock at a price to the public of $6.00 per share. The offering closed on June 6, 2006, and, as a result, we received net proceeds of approximately $17.87 million (after underwriters’ discounts and commissions of approximately $1.47 million and additional offering-related costs of approximately $1.66 million). The managing underwriter of the offering was ThinkEquity Partners LLC. No payments for such expenses were made directly or indirectly to (i) any of our officers or directors or their associates, (ii) any persons owning 10% or more of any class of our equity securities, or (iii) any of our affiliates.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using, or expect to use, the net proceeds of the offering principally to fund further development and expansion of our products and product candidates, in particular our nanomaterial and ultrasound-related medical product candidates, and for general working capital purposes. We may also use a portion of the net proceeds for the acquisition of, or investment in, companies, technologies, products or assets that complement our business. We have no present commitments or binding agreements to enter into any acquisitions or investments. Pending these uses, we intend to continue to invest the net proceeds of our initial public offering in short-term, investment-grade interest-bearing securities or guaranteed obligations of the U.S. government.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during the fourth quarter of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the accompanying notes and “Management’s Discussion and Analysis of Financial Condition and Results of Operations” included at Part II, Item 7 in this Annual Report on Form 10-K. The selected data in this section is not intended to replace the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1"/>
              </w:rPr>
              <w:t>Years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Division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13,835</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18,788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Products sales and licensing revenues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7,234</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development division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10,985</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Product sales and licensing costs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12,962</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7,100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8,721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3,492</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7,184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2,244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(2,512)</w:t>
            </w:r>
          </w:p>
        </w:tc>
        <w:tc>
          <w:tcPr>
            <w:tcW w:w="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(9,966)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516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(2,551)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(9,437)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(0.53)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(1.14)</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calculations: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2,843,349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2,903,022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3,735,811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8,283,074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10,219,711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2,905,849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3,561,788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3,735,811</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8,283,074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10,219,711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 (at end of Period):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610</w:t>
            </w:r>
          </w:p>
        </w:tc>
        <w:tc>
          <w:tcPr>
            <w:tcW w:w="1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12,515</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17,867</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5,497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7,747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24,134</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35,217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7,560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5,431</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5,328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We reacquired our Luna Technologies division in September 2005, having previously established Luna Technologies, Inc. in July 1998 and funding its growth by raising venture capital. Such financing activities diluted our equity ownership to as little as approximately 7% during our holding period and to approximately 10% prior to September 2005. In line with our strategy of building a growing portfolio of products, we purchased all of the stock of Luna Technologies, Inc. that we did not own in exchange for shares of our common stock in September 2005.</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Please see “Critical Accounting Policies and Estimates” included as part of Part II, Item 7 of this Annual Report on Form 10-K for further discussion of key accounting changes which occurred during the years covered in the above table. Additional information regarding business combinations and dispositions for the relevant periods above may be found in the notes accompanying our consolidated financial statements at Part II, Item 8 of this Annual Report on Form 10-K.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to those statements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this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research, develop and commercialize innovative technologies in two primary areas of focus: test &amp; measurement, sensing, and instrumentation products and health care products. We have a disciplined and integrated business model that is designed to accelerate the process of bringing new and innovative products to market. We identify technologies that can fulfill large and unmet market needs and then take these technologies from the applied research stage through commercialization. Although revenues from product sales currently represent less than half of our total revenues, we continue to invest in product development and commercialization, which we anticipate will lead to increased product sales growth. In the future, we expect that revenues from product sales will represent a larger proportion of our total revenues. In addition, we anticipate that, these revenues will reflect a broader and more diversified mix of products as we develop and commercialize new products.</w:t>
      </w:r>
    </w:p>
    <w:p>
      <w:pPr>
        <w:spacing w:after="0" w:line="118"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have developed a disciplined and integrated process to accelerate the development and commercialization of innovative technologies. Our business model employs a market-driven approach and provides the infrastructure, resources and know-how throughout the process of developing and commercializing new products. To manage a diverse set of products effectively across a range of development stages, we are organized into two main groups: our Technology Development Division and our Products Division. These groups work together through all product development stages, including:</w:t>
      </w:r>
    </w:p>
    <w:p>
      <w:pPr>
        <w:spacing w:after="0" w:line="3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Searching for emerging technologies based on market needs;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applied research;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commercializing innovative products;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Applying proven technologies and products to new market opportunities.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annual revenues were $16.5 million in 2005, $23.5 million in 2006, and $33.7 million in 2007. We generate revenues through technology development services provided under contractual arrangements, product sales and license fees. Historically, our technology development revenues have accounted for a large and growing proportion of our total revenues, and we expect that they will continue to represent a significant portion of our total revenues for the foreseeable future. Our technology development revenues grew from $15.4 million in 2005, to $18.8 million in 2006 and $23.4 million in 2007. We have historically had a backlog of contracts for which work has been scheduled, but for which a specified portion of work has not yet been completed. We define backlog as the dollar amount of obligations payable to us under negotiated contracts upon completion of a specified portion of work that has not yet been completed, exclusive of revenues previously recognized for work already performed under these contracts, if any. The approximate value of our backlog was $25.2 million at December 31, 2007.</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Revenues from product sales currently represent a smaller proportion of our total revenues, and, historically, we have derived most of these revenues from the sales of our sensing systems and products that make use of light-transmitting optical fibers, or fiber optics. Although we have been successful in licensing certain technology we do not expect license revenues to represent a significant portion of future revenues, however, over time we do intend to gradually increase such revenues. In the near term, we expect revenues from product sales to increase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primarily in areas associated with our fiber optic instrumentation and test and measurement platforms. We also expect to increase our investments in product development and commercialization, which we anticipate will lead to increased product sales growth. In the future, we expect that revenues from product sales will represent a larger proportion of our total revenues and that as we develop and commercialize new products, these revenues will reflect a broader and more diversified mix of products.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July 1998, we established Luna Technologies, and funded its growth by raising venture capital, which ultimately diluted our equity ownership to as little as approximately 7% during our holding period and to approximately 10% as of September 2005. In line with our strategy of building a growing portfolio of businesses and products, we acquired all of the outstanding shares in Luna Technologies we did not already own in exchange for issuing shares of our common stock in September 2005. Luna Technologies continues to operate as our Luna Technologies Division.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June 2005, Luna Technologies entered into a Joint Cooperation Agreement with Luna Energy, which was formerly an entity in which we held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ownership interest until 2004. Under this agreement, both parties have agreed to cooperate to develop a fiber optic sensing system product and have agreed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contribute materials, intellectual property, personnel and other resources to the development effort. Upon successful completion of product development, Luna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Energy will receive a license to certain of Luna Technologies’ intellectual property and will be required beginning in 2007 and continuing through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2017 to make payments to Luna Technologies with respect to revenues derived from products sold that utilize this intellectual property. As of December 31, 2007,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Luna Energy had not yet sold products that would entitle Luna Technologies to royalty payments under this joint cooperation agreement. However,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2007, Luna Technologies had received aggregate development milestone payments of $305,000 as of that date under this agreement and is entitled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to receive additional development milestone payments of up to $120,000 in the aggregate, subject to the satisfaction of certain conditions. Luna Technologies also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has the right to receive royalty payments from sales of products in the future. The license of certain of the intellectual property from Luna Technologies to Luna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Energy shall be an exclusive license if Luna Energy makes certain minimum royalty payments of $420,000 in the aggregate between 2007 and 2017, and shall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non-exclusive license if Luna Energy fails to make these minimum royalty payments. Either party has the right to terminate this agreement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development term upon a provision of advance written notice to the other party. However, if either party terminates the agreement for convenience or failure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meet certain development milestones, the terminating party may be required to grant license rights to the non-terminating party, including, where Luna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Technologies is the terminating party, certain non-exclusive and certain exclusive rights with respect to intellectual property of Luna Technologies was required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complete the development effort, and where Luna Energy is the terminating party, non-exclusive commercialization rights with respect to certain intellectual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property of Luna Energy. Since December 2004, we have not held an ownership interest in Luna Energy.</w:t>
      </w:r>
    </w:p>
    <w:p>
      <w:pPr>
        <w:spacing w:after="0" w:line="16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becoming a public company, we have and will continue to incur significant additional expenses such as audit fees, professional fees, increased directors’ and officers’ insurance, advisory board and board of directors compensation, and expenses related to hiring additional personnel and expanding our administrative functions. Many of these expenses were not incurred by us prior to our initial public offering. In addition, upon receiving the net proceeds from our initial public offering, we implemented a strategy for expansion that has significantly increased our operating expenses and will likely continue to result in substantial losses. We incurred consolidated net losses of approximately $9.4 million and $7.8 million for the years ended December 31, 2006 and December 31, 2007, respectively. We expect to continue to incur significant expenses as we expand our business, including increased expenses for research and development, sales and marketing, manufacturing, finance and accounting personnel and expenses associated with being a public company. We may also grow our business in part through acquisitions of additional companies and complementary technologies which could cause us to incur greater than anticipated transaction expenses, amortization or write-offs of intangible assets and other acquisition-related expenses. As a result, we expect that we may likely continue to incur losses for the foreseeable future, and these losses could be substantial.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June 2007, Luna Innovations entered into an IP licensing, development, and supply agreement with Intuitive Surgical Inc. Under the terms of the multi-year agreement, Luna will develop and supply its fiber optic-based shape sensing and position tracking system for integration into Intuitive Surgical’s products, including the da Vinci Surgical System. Pursuant to the Agreement, Intuitive agreed to pay Luna certain fees including an up-front license fee, development fees payable in quarterly installments over the initial year-and-a half period following the date of the Agreement, and certain other fees, subject to certain termination rights by Intuitive and other rights of repayment or reduction. Such fees do not include the minimum purchase requirements of Intuitive, which are subject to the successful completion of the development criteria and certain other terms and conditions.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Revenues, Costs and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generate revenues from technology development, product sales and license payments. We derive technology development revenues from providing research and development services to third parties, including government entities, academic institutions and corporations, and from achieving milestones established by some of these contracts and in collaboration agreements. In general, we complete contracted research over periods ranging from six months to three years, and recognize these revenues over the life of the contract as costs are incurred or upon the achievement of certain milestones built into the contracts. Our product revenues reflect amounts that we receive from sales of our products or development of products for third parties and currently represent approximately 30% of our total revenues. Our license revenues comprise up-front license fees paid to us in connection with licenses or sublicenses of certain patents and other intellectual property as well as royalties, which currently represent an insignificant portion of our license revenues.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Cost of revenues associated with technology development revenues consists of costs associated with performing the related research activities, including direct labor, amounts paid to subcontractors and overhead allocated to technology development activities.</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Cost of revenues associated with product sales and license revenues consists of license fees for use of certain technologies; product manufacturing costs including all direct material and direct labor costs; amounts paid to our contract manufacturers; manufacturing, shipping and handling; provisions for product warranty; and inventory obsolescence, as well as overhead allocated to these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Operating expense consists of selling, general and administrative expenses, as well as expenses related to research and development, depreciation of fixed assets and amortization of intangible assets. These expenses also include: compensation for employees in executive and operational functions including certain non-cash charges related to expenses from option grants; facilities costs; professional fees; salaries, commissions, travel expense and related benefits of personnel engaged in sales, product management and marketing activities; costs of marketing programs and promotional materials; salaries, bonuses and related benefits of personnel engaged in our own research and development beyond the scope and activities of our Technology Development Group; product development activities not provided under contracts with third parties; and overhead costs related to these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Income/Expense</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Interest expense historically related primarily to interest we paid under our senior secured revolving credit facility. As of December 31, 2007, there was no amount outstanding on our credit facility, and we do not expect to draw on that facility in the near term. In addition, the primary source of our interest expense is accrued interest on our note payable to Carilion Clinic.</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Interest income includes amounts earned on our cash deposits with financial institutions. We invested the proceeds of the Carilion transactions and the net proceeds from its initial public offering in a money market account and draws from that account as needed to fund ongoing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recognize revenue when a contract has been executed, the contract price is fixed and determinable, delivery of services or products has occurred, and collectibility of the contract price is considered probable and can be reasonably estimated. Revenue is earned under cost reimbursable, time and materials and fixed price contracts. Direct contract costs are expensed as incurred.</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Under cost reimbursable contracts, we are reimbursed for allowable costs and paid a fixed fee. Revenues on cost reimbursable contracts are recognized as costs are incurred plus an estimate of applicable fees earned. We consider fixed fees under cost reimbursable contracts to be earned in proportion to the allowable costs incurred in performance of the contract.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Revenue on time and materials contracts are recognized based on direct labor hours expended at contract billing rates and adding other billable direct costs.</w:t>
      </w:r>
    </w:p>
    <w:p>
      <w:pPr>
        <w:spacing w:after="0" w:line="2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Fixed price contracts may include either a product delivery or specific service performance throughout a period. For fixed price contracts that are based on the proportionate performance method and involve a specified number of deliverables, we recognize revenue based on the proportion of the cost of the deliverables compared to the cost of all deliverables included in the contract. For fixed price contracts that provide for the development and delivery of a specific prototype or product, revenues are recognized on under the percentage of completion method in accordance with Statement of Position (SOP) 81-1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Performance of Construction-Type and Certain Production-Type Contracts</w:t>
      </w:r>
      <w:r>
        <w:rPr>
          <w:rFonts w:ascii="Arial" w:cs="Arial" w:eastAsia="Arial" w:hAnsi="Arial"/>
          <w:sz w:val="16"/>
          <w:szCs w:val="16"/>
          <w:color w:val="auto"/>
        </w:rPr>
        <w:t>.</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contracts with agencies of the government are subject to periodic funding by the respective contracting agency. Funding for a contract may be provided in full at inception of the contract or ratably throughout the contract as the services are provided. In evaluating the probability of funding for purposes of assessing collectibility of the contract price, we consider our previous experiences with our customers, communications with our customers regarding funding status, and our knowledge of available funding for the contract or program. If funding is not assessed as probable, revenue recognition is deferred until realization is deemed probable.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Contract revenue recognition inherently involves estimation, including the contemplated level of effort to accomplish the tasks under the contract, the cost of the effort, and an ongoing assessment of progress toward completing the contract. From time to time, as part of the normal management processes, facts may change, causing revisions to estimated total costs or revenues expected. The cumulative impact of any revisions to estimates and the full impact of anticipated losses on any type of contract are recognized in the period in which they become known.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underlying bases for estimating our contract research revenues are measurable expenses such as labor, subcontractor costs and materials, the cost data of which is updated on a regular basis for purposes of preparing our cost estimates. Our research contracts generally have a period of performance of six to 18 months. Accordingly, our estimates of contract costs have historically been consistent with actual results. Revisions in these estimates between accounting periods to reflect changing facts and circumstances have not had a material impact on our operating results, and we do not expect future changes in these estimates to be material.</w:t>
      </w:r>
    </w:p>
    <w:p>
      <w:pPr>
        <w:spacing w:after="0" w:line="14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allowability of certain costs under government contracts is subject to audit by the government. Certain indirect costs are charged to contracts using provisional or estimated indirect rates, which are subject to later revision based on government audits of those costs. Management is of the opinion that costs subsequently disallowed, if any, would not be significant.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We recognize revenue relating to our products upon shipment. Our products usually include software as a significant and integral component. After considering the requirements of SOP 97-2, </w:t>
      </w:r>
      <w:r>
        <w:rPr>
          <w:rFonts w:ascii="Arial" w:cs="Arial" w:eastAsia="Arial" w:hAnsi="Arial"/>
          <w:sz w:val="18"/>
          <w:szCs w:val="18"/>
          <w:i w:val="1"/>
          <w:iCs w:val="1"/>
          <w:color w:val="auto"/>
        </w:rPr>
        <w:t>Software Revenue Recognition</w:t>
      </w:r>
      <w:r>
        <w:rPr>
          <w:rFonts w:ascii="Arial" w:cs="Arial" w:eastAsia="Arial" w:hAnsi="Arial"/>
          <w:sz w:val="18"/>
          <w:szCs w:val="18"/>
          <w:color w:val="auto"/>
        </w:rPr>
        <w:t>, we have concluded that our product sales do not include multiple elements which would require allocating revenue among product and service components, and deferring recognition of revenue relating to the software or other components of our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estimate our tax liability through calculating our current tax liability, together with assessing temporary differences resulting from the different treatment of items for tax and accounting purposes. These differences result in deferred tax assets and liabilities, which we record on our balance sheet. Management then assesses the likelihood that deferred tax assets will be recovered in future periods. In assessing the need for a valuation allowance against the net deferred tax asset, management considers factors such as future reversals of existing taxable temporary difference, taxable income in prior carryback years, whether carryback is permitted under the tax law, tax planning strategies, and future taxable income exclusive of reversing temporary differences and carryforwards. To the extent that we cannot conclude that it is more likely than not that the benefit of such assets will be realized, we establish a valuation allowance to reduce their net carrying value.</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we assess the sufficiency of future taxable income and other factors noted above in future periods, our estimate of the required valuation allowance may change, which could have a material impact on the accounting period(s) in which the change occurs.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July 2006, the FASB issued FASB Interpretation No. 48, “Accounting for Uncertainty in Income Taxes” (“Interpretation No. 48”). Interpretation No. 48 clarifies the accounting for uncertainty in income taxes recognized in an enterprise's financial statements in accordance with FASB Statement No. 109, “Accounting for Income Taxes.” Interpretation No. 48 prescribes a recognition threshold and measurement attribute for the financial statement recognition and measurement of a tax position taken or expected to be taken in a tax return. Interpretation No. 48 also provides guidance on derecognition, classification, interest and penalties, accounting in interim periods, disclosure and transition.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annual tax rate is based on our income, statutory tax rates and tax planning opportunities available in the various jurisdictions in which we operate.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Significant judgment is required in determining our annual tax expense and in evaluating our tax positions.</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it is often difficult to predict the final outcome or timing of the resolution of any particular tax matter, we establish a liability at the time we determine it is probable we will be required to pay additional taxes related to certain matters. These liabilities are recorded in the line item “Accrued Liabilities” in our consolidated balance sheets. We adjust such provision, including any impact on the related interest and penalties, in light of changing facts and circumstances, such as the progress of a tax audit. A number of years may elapse before a particular matter for which we have established a liability is audited and finally resolved. The number of years with open tax audits varies depending on the tax jurisdiction. Settlement of any particular issue would usually require the use of cash. We recognize favorable resolutions of tax matters for which we have previously established liabilities as a reduction to our income tax expense when the amounts involved become known.</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Due to differences between federal or state tax law, and accounting principles generally accepted in the United States of America, or “GAAP,” certain items are included in the tax return at different times than when these items are reflected in the consolidated financial statements. Therefore, the annual tax rate reflected in our consolidated financial statements is different than that reported in our tax return. Some of these differences are permanent, such as expenses that are not deductible in our tax return. Some differences, such as depreciation expense reverse over time and create deferred tax assets and liabilities. The tax rates used to determine deferred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tax assets or liabilities are the enacted tax rates in effect for the year in which the differences are expected to reverse. Based on the evaluation of all available information, we recognize future tax benefits, such as net operating loss carryforwards, to the extent that realizing these benefits is considered more likely than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Effective January 1, 2006, we adopted Statement of Financial Accounting Standards (SFAS) No. 123R, </w:t>
      </w:r>
      <w:r>
        <w:rPr>
          <w:rFonts w:ascii="Arial" w:cs="Arial" w:eastAsia="Arial" w:hAnsi="Arial"/>
          <w:sz w:val="16"/>
          <w:szCs w:val="16"/>
          <w:i w:val="1"/>
          <w:iCs w:val="1"/>
          <w:color w:val="auto"/>
        </w:rPr>
        <w:t>Share Based Payment</w:t>
      </w:r>
      <w:r>
        <w:rPr>
          <w:rFonts w:ascii="Arial" w:cs="Arial" w:eastAsia="Arial" w:hAnsi="Arial"/>
          <w:sz w:val="16"/>
          <w:szCs w:val="16"/>
          <w:color w:val="auto"/>
        </w:rPr>
        <w:t xml:space="preserve"> (SFAS No. 123R) using the modified prospective transition method. Under this transition method, our financial statements for periods prior to January 1, 2006 were not restated. However, we incur compensation expense for new awards and awards modified, repurchased or cancelled after January 1, 2006. This compensation expense is computed using the fair value of the stock option as determined by an option pricing model, the Black-Scholes valuation model. We amortize stock-based compensation for such awards on a straight-line method over the related service period of the awards taking into account the effects of the employees’ expected exercise and post-vesting employment termination behavior. To determine the volatility used in this model, we use data from comparable companies, since our stock has only been publicly-traded for 1.5 years. As we are publicly-traded over a longer time period, we will begin to use the volatility of our own stock to compute the compensation expense for options granted.</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modified prospective method, we recognize compensation cost in our financial statements for all awards granted after January 1, 2006 and for all awards outstanding as of January 1, 2006 for which the requisite service had not been rendered as of the date of adoption. We measure the amount of compensation cost based on the fair value of the underlying equity award on the date of grant. We recognize compensation cost over the period that an employee provides service in exchange for the award. As of December 31, 2007, total compensation expense not yet recognized related to unvested options is approximately $6.5 million after tax.</w:t>
      </w:r>
    </w:p>
    <w:p>
      <w:pPr>
        <w:spacing w:after="0" w:line="14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effect of adopting SFAS No. 123(R) on net income (loss) and net income (loss) per share is not necessarily representative of the effects in future years due to, among other things, the vesting period of the stock options and the fair value of additional stock option grants in future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At December 31, 2007, we have $418,000 in goodwill relating to our acquisition of Luna Technologies in September, 2005. We account for goodwill and other intangible assets in accordance with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No. 142 requires goodwill and some intangible assets to no longer be amortized. In addition, goodwill is tested for impairment at the reporting unit level and intangible assets deemed to have an indefinite life and other intangibles are tested for impairment at least annually, or more frequently if impairment indicators arise. We test for impairment of goodwill and other intangible assets by preparing an undiscounted future net cash flow analysis. In preparing this projection, we make a number of assumptions, which include, without limitation, future sales volume levels, price levels and rates of increase in operating expenses. If our projection of undiscounted future cash flows is in excess of the carrying value of the recorded asset, no impairment is reported. If the carrying value of the asset exceeds the projected undiscounted net cash flows, an impairment is recorded. The amount of the impairment charge is determined by discounting the projected net cash flows.</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amortize our patents over their estimated useful life of five years, and analyze them periodically to determine whether their carrying value has been impaired. At the end of December 31, 2007 and 2006, respectively, no patents were written down due to any impairment in value.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shows information derived from our consolidated statements of operations expressed as a percentage of revenues for the periods presented.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94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2006</w:t>
            </w:r>
          </w:p>
        </w:tc>
        <w:tc>
          <w:tcPr>
            <w:tcW w:w="7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Technology development revenues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93.5%</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79.8%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revenues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86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vMerge w:val="continue"/>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100.0%</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100.0%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Technology development costs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76.3%</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60.1%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costs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revenues</w:t>
            </w: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vMerge w:val="continue"/>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78.8%</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69.4%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Operating Expense</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72.8%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(15.3%)</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(42.3%)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Total Other Income/(Expense), net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2.3%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(15.5%)</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(40.0%)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Income Tax Expense/(Benefit)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0.1%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(12.1%)</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(40.1%)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(23.3%)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660"/>
        <w:spacing w:after="0" w:line="347" w:lineRule="auto"/>
        <w:rPr>
          <w:sz w:val="20"/>
          <w:szCs w:val="20"/>
          <w:color w:val="auto"/>
        </w:rPr>
      </w:pPr>
      <w:r>
        <w:rPr>
          <w:rFonts w:ascii="Arial" w:cs="Arial" w:eastAsia="Arial" w:hAnsi="Arial"/>
          <w:sz w:val="18"/>
          <w:szCs w:val="18"/>
          <w:b w:val="1"/>
          <w:bCs w:val="1"/>
          <w:color w:val="auto"/>
        </w:rPr>
        <w:t xml:space="preserve">Year Ended December 31, 2007 Compared to Year Ended December 31, 2006 </w:t>
      </w:r>
      <w:r>
        <w:rPr>
          <w:rFonts w:ascii="Arial" w:cs="Arial" w:eastAsia="Arial" w:hAnsi="Arial"/>
          <w:sz w:val="18"/>
          <w:szCs w:val="18"/>
          <w:i w:val="1"/>
          <w:iCs w:val="1"/>
          <w:color w:val="auto"/>
        </w:rPr>
        <w:t>Revenues</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 revenues for the year ended December 31, 2007 were $33.7 million, representing an increase of $10.1 million, or 43%, over revenues of $23.5 million for the year ended December 31, 2006. The increase was comprised of a $4.6 million, or 24%, increase in technology development revenue and a $5.6 million, or 117%, increase in product and license revenue. Technology development revenue grew due to additional contract awards throughout 2007, resulting in increased billable activities performed.</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Total product and licensing revenues were $10.3 million for the year ended December 31, 2007, representing a 117% increase over product and licensing revenues of $4.8 million for the year ended December 31, 2006. Approximately $5.9 million of the 2007 product and license revenues related to product sales of our Luna Technologies division. Product and license revenues for the year ended December 31, 2007 also included $0.2 million in sales of medical products and $4.2 million in contracted product development activities, which included product development work for the arrangement with Intuitive Surgical, Inc. and various arrangements with government entities. Contracted product development activities for the year ended December 31, 2006 were $625,000.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Cost of revenues increased 31% to $21.4 million for the year ended December 31, 2007 from $16.4 million for the year ended December 31, 2006. Cost of revenues for technology development increased $2.4 million, or 17%, to $16.5 million for the year ended December 31, 2007 from $14.1 million for the year ended December 31, 2006. This increase primarily resulted from the addition of personnel during 2007 to fulfill our awarded research contracts, a higher proportion of time expended on direct labor, and other direct costs associated with these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Product and license cost of revenues increased $2.6 million, or 117%, consistent with the product and license revenue growth of 117%, primarily attributable to increased costs associated with an increase in the number of units sold.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Operating expense increased to $20.6 million for the year ended December 31, 2007 from $17.2 million for the year ended December 31, 2006. The increase in operating expense was primarily attributable to increased spending in research and development activities, principally related to research concerning carbon nanomaterials and their potential application in diagnostic imaging, development of our medical products, increased recognition of expense for share-based compensation, and increases in personnel, professional fees and other costs. These increased costs were incurred in support of our strategy to achieve long term growth through the commercialization of innovative products utilizing our proprietary and licensed technologies. We expect our operating expenses to continue to increase, at a lesser rate of growth, as we continue to invest in new product development and increase product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71"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Other income was $400,000 for the year ended December 31, 2007 compared to $500,000 for the year ended December 31, 2006. The decline is attributable to reduced cash deposits from 2006 to 2007, resulting in lower interest income earned on deposits.</w:t>
      </w:r>
    </w:p>
    <w:p>
      <w:pPr>
        <w:spacing w:after="0" w:line="207" w:lineRule="exact"/>
        <w:rPr>
          <w:sz w:val="20"/>
          <w:szCs w:val="20"/>
          <w:color w:val="auto"/>
        </w:rPr>
      </w:pPr>
    </w:p>
    <w:p>
      <w:pPr>
        <w:ind w:right="5660"/>
        <w:spacing w:after="0" w:line="347" w:lineRule="auto"/>
        <w:rPr>
          <w:sz w:val="20"/>
          <w:szCs w:val="20"/>
          <w:color w:val="auto"/>
        </w:rPr>
      </w:pPr>
      <w:r>
        <w:rPr>
          <w:rFonts w:ascii="Arial" w:cs="Arial" w:eastAsia="Arial" w:hAnsi="Arial"/>
          <w:sz w:val="18"/>
          <w:szCs w:val="18"/>
          <w:b w:val="1"/>
          <w:bCs w:val="1"/>
          <w:color w:val="auto"/>
        </w:rPr>
        <w:t xml:space="preserve">Year Ended December 31, 2006 Compared to Year Ended December 31, 2005 </w:t>
      </w:r>
      <w:r>
        <w:rPr>
          <w:rFonts w:ascii="Arial" w:cs="Arial" w:eastAsia="Arial" w:hAnsi="Arial"/>
          <w:sz w:val="18"/>
          <w:szCs w:val="18"/>
          <w:i w:val="1"/>
          <w:iCs w:val="1"/>
          <w:color w:val="auto"/>
        </w:rPr>
        <w:t>Revenues</w:t>
      </w:r>
    </w:p>
    <w:p>
      <w:pPr>
        <w:spacing w:after="0" w:line="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Total revenues for the year ended December 31, 2006 were $23.5 million, representing an increase of $7.1 million, or 43%, over revenues of $16.5 million for the year ended December 31, 2005. The year over year increase was comprised of a $3.4 million, or 22%, increase in technology development revenue and a $3.7 million, or 343%, increase in product and license revenue.</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Technology development revenue grew primarily due to hiring of additional personnel throughout 2006, resulting in increased billable activities performed under our research contracts. In response to our continued success in being awarded increasing aggregate values of research contracts, we increased the size of our technology development group by 48 full time people during 2006.</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2006, product and license revenue grew primarily due to the acquisition of our Luna Technologies subsidiary and growth in other new product areas such as medical products. Product and license revenues of $4.8 million in 2006 included the full year of our Luna Technologies subsidiary, acquired in September 2005. Of the $4.8 million in product and license revenues, approximately $3.9 million related to the operations of Luna Technologies. Product and license revenues of $1.1 million for 2005 include only the revenues earned during the three months following the date of acquisition of Luna Technologies. Revenues for Luna Technologies for the nine months ended September 29, 2005 were $2.1 million. Product and license revenues for 2006 also included $200,000 in sales of medical products and $600,000 in contracted product development activities. There were no corresponding revenues for medical products and contracted product development activities in 2005.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Cost of revenues increased 27% to $16.4 million for the year ended December 31, 2006, from $13.0 million for the year ended December 31, 2005. Cost of revenues for technology development increased $1.6 million, or 13%, to $14.1 million for the year ended December 31, 2006 from $12.6 million for the year ended December 31, 2005. This increase primarily resulted from the addition of personnel during 2006 to fulfill our awarded research contracts and other direct costs associated with these contracts.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Product and license cost of revenues increased $1.8 million, or 431%, consistent with the product and license revenue growth of 343% and primarily attributable to the full year impact in 2006 of the acquisition of Luna Technologies during 2005 and the additional costs associated with sales of medical products and contracted product development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Operating expense increased to $17.2 million for the year ended December 31, 2006 from $6.0 million for the year ended December 31, 2005. The increase in operating expense was primarily attributable to increased spending in research and development activities, principally related to research concerning carbon nanomaterials and their potential application in diagnostic imaging, development of our medical products, additional selling, general and administrative costs associated with our acquisition of Luna Technologies in September 2005, increased recognition of expense for share-based compensation, and increases in personnel, professional fees and other costs associated with our transition to a public company. These increased costs were incurred in support of our strategy to achieve long term growth through the commercialization of innovative products utilizing our proprietary and licensed technologies. We expect our operating expenses to continue to increase, at a lesser rate of growth, as we continue to invest in new product development and increase product sales.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Income/(Expense)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income was $500,000 for the year ended December 31, 2006 compared to a net expense of less than $100,000 for the year ended December 31, 2005. The improvement of $600,000 year over year is attributable to interest earned on cash deposits. We received aggregate proceeds of $15 million from debt and equity financing transactions during the period August 2005 through December 2005 and net proceeds of approximately $17.9 million from its initial public offering in June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unaudited historical revenues, operating income and net loss by quarter during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Fiscal Year 2006</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4"/>
                <w:szCs w:val="14"/>
                <w:b w:val="1"/>
                <w:bCs w:val="1"/>
                <w:color w:val="auto"/>
              </w:rPr>
              <w:t>Fiscal Year 2007</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840" w:type="dxa"/>
            <w:vAlign w:val="bottom"/>
          </w:tcPr>
          <w:p>
            <w:pPr>
              <w:spacing w:after="0" w:line="129" w:lineRule="exact"/>
              <w:rPr>
                <w:sz w:val="20"/>
                <w:szCs w:val="20"/>
                <w:color w:val="auto"/>
              </w:rPr>
            </w:pPr>
            <w:r>
              <w:rPr>
                <w:rFonts w:ascii="Arial" w:cs="Arial" w:eastAsia="Arial" w:hAnsi="Arial"/>
                <w:sz w:val="14"/>
                <w:szCs w:val="14"/>
                <w:b w:val="1"/>
                <w:bCs w:val="1"/>
                <w:color w:val="auto"/>
              </w:rPr>
              <w:t>(Dollars in thousands,</w:t>
            </w:r>
          </w:p>
        </w:tc>
        <w:tc>
          <w:tcPr>
            <w:tcW w:w="1040" w:type="dxa"/>
            <w:vAlign w:val="bottom"/>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92"/>
              </w:rPr>
              <w:t>March 31,</w:t>
            </w:r>
          </w:p>
        </w:tc>
        <w:tc>
          <w:tcPr>
            <w:tcW w:w="1020" w:type="dxa"/>
            <w:vAlign w:val="bottom"/>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6"/>
              </w:rPr>
              <w:t>June 30,</w:t>
            </w: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c>
          <w:tcPr>
            <w:tcW w:w="104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June 30,</w:t>
            </w: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1"/>
                <w:szCs w:val="11"/>
                <w:color w:val="auto"/>
              </w:rPr>
            </w:pPr>
          </w:p>
        </w:tc>
      </w:tr>
      <w:tr>
        <w:trPr>
          <w:trHeight w:val="161"/>
        </w:trPr>
        <w:tc>
          <w:tcPr>
            <w:tcW w:w="2840" w:type="dxa"/>
            <w:vAlign w:val="bottom"/>
          </w:tcPr>
          <w:p>
            <w:pPr>
              <w:spacing w:after="0"/>
              <w:rPr>
                <w:sz w:val="20"/>
                <w:szCs w:val="20"/>
                <w:color w:val="auto"/>
              </w:rPr>
            </w:pPr>
            <w:r>
              <w:rPr>
                <w:rFonts w:ascii="Arial" w:cs="Arial" w:eastAsia="Arial" w:hAnsi="Arial"/>
                <w:sz w:val="14"/>
                <w:szCs w:val="14"/>
                <w:b w:val="1"/>
                <w:bCs w:val="1"/>
                <w:color w:val="auto"/>
              </w:rPr>
              <w:t>except loss per share)</w:t>
            </w:r>
          </w:p>
        </w:tc>
        <w:tc>
          <w:tcPr>
            <w:tcW w:w="6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64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960" w:type="dxa"/>
            <w:vAlign w:val="bottom"/>
            <w:gridSpan w:val="3"/>
          </w:tcPr>
          <w:p>
            <w:pPr>
              <w:ind w:left="42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80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80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980" w:type="dxa"/>
            <w:vAlign w:val="bottom"/>
            <w:gridSpan w:val="3"/>
          </w:tcPr>
          <w:p>
            <w:pPr>
              <w:ind w:left="440"/>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Technology development</w:t>
            </w:r>
          </w:p>
        </w:tc>
        <w:tc>
          <w:tcPr>
            <w:tcW w:w="260" w:type="dxa"/>
            <w:vAlign w:val="bottom"/>
          </w:tcPr>
          <w:p>
            <w:pPr>
              <w:jc w:val="right"/>
              <w:ind w:right="78"/>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3,921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4,170</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4,886</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5,811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5,287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79"/>
              </w:rPr>
              <w:t>5,852</w:t>
            </w:r>
          </w:p>
        </w:tc>
        <w:tc>
          <w:tcPr>
            <w:tcW w:w="4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5,952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6,265</w:t>
            </w:r>
          </w:p>
        </w:tc>
        <w:tc>
          <w:tcPr>
            <w:tcW w:w="60" w:type="dxa"/>
            <w:vAlign w:val="bottom"/>
          </w:tcPr>
          <w:p>
            <w:pPr>
              <w:spacing w:after="0"/>
              <w:rPr>
                <w:sz w:val="18"/>
                <w:szCs w:val="18"/>
                <w:color w:val="auto"/>
              </w:rPr>
            </w:pPr>
          </w:p>
        </w:tc>
      </w:tr>
      <w:tr>
        <w:trPr>
          <w:trHeight w:val="216"/>
        </w:trPr>
        <w:tc>
          <w:tcPr>
            <w:tcW w:w="2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and license</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762</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1,164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2,237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1,784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2,003</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2,867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3,671</w:t>
            </w:r>
          </w:p>
        </w:tc>
        <w:tc>
          <w:tcPr>
            <w:tcW w:w="6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78"/>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4,516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w w:val="84"/>
              </w:rPr>
              <w:t>4,932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6,050</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8,048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7,071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w w:val="79"/>
              </w:rPr>
              <w:t>7,855</w:t>
            </w:r>
          </w:p>
        </w:tc>
        <w:tc>
          <w:tcPr>
            <w:tcW w:w="42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8,820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9,936</w:t>
            </w:r>
          </w:p>
        </w:tc>
        <w:tc>
          <w:tcPr>
            <w:tcW w:w="60" w:type="dxa"/>
            <w:vAlign w:val="bottom"/>
          </w:tcPr>
          <w:p>
            <w:pPr>
              <w:spacing w:after="0"/>
              <w:rPr>
                <w:sz w:val="18"/>
                <w:szCs w:val="18"/>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2,100)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2,833)</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2,169)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2,865)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2,795)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2"/>
              </w:rPr>
              <w:t>2,291)</w:t>
            </w:r>
          </w:p>
        </w:tc>
        <w:tc>
          <w:tcPr>
            <w:tcW w:w="4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4"/>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1,982)</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4"/>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1,186)</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2,089)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2,721)</w:t>
            </w:r>
          </w:p>
        </w:tc>
        <w:tc>
          <w:tcPr>
            <w:tcW w:w="420" w:type="dxa"/>
            <w:vAlign w:val="bottom"/>
          </w:tcPr>
          <w:p>
            <w:pPr>
              <w:ind w:left="280"/>
              <w:spacing w:after="0"/>
              <w:rPr>
                <w:sz w:val="20"/>
                <w:szCs w:val="20"/>
                <w:color w:val="auto"/>
              </w:rPr>
            </w:pPr>
            <w:r>
              <w:rPr>
                <w:rFonts w:ascii="Arial" w:cs="Arial" w:eastAsia="Arial" w:hAnsi="Arial"/>
                <w:sz w:val="18"/>
                <w:szCs w:val="18"/>
                <w:color w:val="auto"/>
                <w:w w:val="74"/>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1,949)</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w w:val="74"/>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2,679)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2,682)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82"/>
              </w:rPr>
              <w:t>2,178)</w:t>
            </w:r>
          </w:p>
        </w:tc>
        <w:tc>
          <w:tcPr>
            <w:tcW w:w="420" w:type="dxa"/>
            <w:vAlign w:val="bottom"/>
          </w:tcPr>
          <w:p>
            <w:pPr>
              <w:ind w:left="280"/>
              <w:spacing w:after="0"/>
              <w:rPr>
                <w:sz w:val="20"/>
                <w:szCs w:val="20"/>
                <w:color w:val="auto"/>
              </w:rPr>
            </w:pPr>
            <w:r>
              <w:rPr>
                <w:rFonts w:ascii="Arial" w:cs="Arial" w:eastAsia="Arial" w:hAnsi="Arial"/>
                <w:sz w:val="18"/>
                <w:szCs w:val="18"/>
                <w:color w:val="auto"/>
                <w:w w:val="74"/>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1,838)</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w w:val="74"/>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1,151)</w:t>
            </w:r>
          </w:p>
        </w:tc>
      </w:tr>
      <w:tr>
        <w:trPr>
          <w:trHeight w:val="208"/>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Basic and fully diluted loss per</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(0.34)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(0.37)</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(0.20)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(0.27)</w:t>
            </w:r>
          </w:p>
        </w:tc>
        <w:tc>
          <w:tcPr>
            <w:tcW w:w="4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(0.27)</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(0.21)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(0.18)</w:t>
            </w: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(0.11)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August 2005, our primary source of liquidity had been cash provided by operations and divestitures of certain assets and businesses. In August 2005, we completed our first outside equity financing and raised $7.0 million through an equity investment by Carilion Clinic (formerly Carilion Health System). Carilion Clinic invested an additional $8.0 million in December 2005 in the form of $5.0 million aggregate principal amount of senior convertible promissory notes and $3.0 million in additional equity.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June 2, 2006, the effective date of our initial public offering, we sold 3,500,000 shares of common stock at $6.00 per share, resulting in gross proceeds of $21.0 million. In connection with this offering, we paid $1.47 million in underwriting discounts and commissions and incurred other offering expenses of approximately $1.66 million. The net proceeds from the offering were approximately $17.87 million.</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principal uses of cash have been to fund our development of medical products and carbon nanomaterials, and our overall expansion, including facilities, personnel, working capital and other capital expenditures.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a $3.0 million senior secured revolving credit facility with First National Bank that is collateralized by a security interest in substantially all of our assets. The interest rate on borrowings under our secured revolving credit facility is equal to the prime rate, limited to no less than 6.0% and no greater than</w:t>
      </w:r>
    </w:p>
    <w:p>
      <w:pPr>
        <w:ind w:right="40"/>
        <w:spacing w:after="0" w:line="288" w:lineRule="auto"/>
        <w:rPr>
          <w:sz w:val="20"/>
          <w:szCs w:val="20"/>
          <w:color w:val="auto"/>
        </w:rPr>
      </w:pPr>
      <w:r>
        <w:rPr>
          <w:rFonts w:ascii="Arial" w:cs="Arial" w:eastAsia="Arial" w:hAnsi="Arial"/>
          <w:sz w:val="16"/>
          <w:szCs w:val="16"/>
          <w:color w:val="auto"/>
        </w:rPr>
        <w:t>10.0% per annum, and the interest accrued is payable monthly. Under the terms of the senior secured revolving credit facility, the outstanding principal is payable in full on demand or at maturity on June 30, 2008. The senior secured revolving credit facility contains covenants which require us to maintain $1.0 to $2.0 million in liquidity depending on our outstanding balance. Additionally, without First National Bank’s prior approval, we may not make a direct loan to an affiliate or subsidiary of ours exceeding $500,000 annually, guaranty the debt of our affiliate or subsidiary or incur debt in excess of $500,000 non-First National Bank debt annually. Finally, we are obligated to continue to provide First National Bank an assignment of life insurance in a minimum amount of $1.0 million on the life of Kent A. Murphy, covering all of our indebtedness to First National Bank. During 2007, we did not draw any amounts under our secured revolving credit facility, and we do not anticipate a need to draw on that line of credit in the near term given our current cash and cash equivalent balances.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Activity</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the year ended December 31, 2007, we used approximately $4.2 million of net cash from operations. This was a substantial decrease compared to 2006, when we used $9.1 million of net cash from operations. Most of this change was due to the decreased net loss year over year, and other working capital component changes. Specifically, the significant working capital component changes between December 31, 2007 and December 31, 2006 were: increases in deferred credits relating to advance payments received on certain product development contracts of $1.1 million; and increase in the amount of share-based compensation expense added back to compute net cash used in operating activities of $0.7 million.</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used in investing activities for the year ended December 31, 2007 related primarily to the purchase of property and equipment and legal fees and costs associated with securing patent rights to certain technology. Our overall cash used in investing activities was $1.8 million in 2007 compared to $3.4 million in 2006. The decrease was attributable to decreases in spending for both capital assets, which was higher in 2006 due to the relocation of our corporate headquarters and expansion of certain of our operations, and intellectual property.</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Cash flows from financing activities for the year ended December 31, 2007 decreased significantly compared to 2006. This was due to the absence in 2007 of the net proceeds of $17.9 million from our initial public offering. As a result of our increased cash position through the initial public offering and our Carilion financing transactions, we did not draw additional financing from our line of credit or other sources during 2007.</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December 31, 2007, total cash and cash equivalents were approximately $12.0 million. We believe that our current cash on hand and the cash available under our line of credit agreement will be sufficient to fund operations for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expenditures for property and equipment, including both purchased assets and assets acquired under capital leases, as well as capitalized software, totaled $1.4 million for 2007, a decrease of $1.4 million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capital expenditures of $2.8 million in 2006. The decrease from 2006 to 2007 was principally due to expenditures in 2006 for build-out and furnishing of headquarters and other office space in Roanoke and Blacksburg locations, which we did not incur in 2007. We expect to spend approximately $1.0 million for capital expenditures in 2008, based on expected normal growth in capacity requirements and routine replacement and upgrades of equipment.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Contractual Obligations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our facilities in Blacksburg, Charlottesville, Danville, Hampton, McLean and Roanoke, Virginia under operating leases that expire between December 2008 and January 2014 or under a month-to-month arrangement. Upon expiration of the leases, we may exercise certain renewal options as specified in the leases.</w:t>
      </w:r>
    </w:p>
    <w:p>
      <w:pPr>
        <w:spacing w:after="0" w:line="14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also lease certain computer equipment and software under a capital lease agreement that expires in February 2008. The assets subject to these obligations are included in property and equipment on our consolidated balance sheet.</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In June, 2007, our Luna Technologies Division executed a non-cancelable, non-reschedulable $1.3 million purchase order for multiple shipments of tunable lasers to be delivered over an 18-month period beginning in July 2007. As of December 31, 2007 approximately $1.1 remained under this commitment.</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Set forth below is information concerning our known contractual obligations as of December 31, 2007 that are fixed and determinable. Except for facility leases and minimum royalty payment obligations, as of December 31, 2007, we did not have contractual obligations that extended beyond May 2009.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More than</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1-3 years</w:t>
            </w:r>
          </w:p>
        </w:tc>
        <w:tc>
          <w:tcPr>
            <w:tcW w:w="340" w:type="dxa"/>
            <w:vAlign w:val="bottom"/>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3-5 years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5,600,822</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5,600,822</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Capital equipment and software lease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28,557</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23,885</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4,672</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Operating facility leases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7,676,708</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1,468,892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2,915,554</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3,292,262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Purchase order obligation</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1,107,125</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1,107,125</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City of Danville grant**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900,000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900,000</w:t>
            </w: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1,592,500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225,500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718,000</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649,000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vMerge w:val="continue"/>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16,905,712</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$ 2,618,277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10,346,173</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$ 3,941,262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6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debt obligations consist of senior convertible promissory notes of aggregate principal amount of $5 million and accrued interest thereon held by Carilion Health System.</w:t>
      </w:r>
    </w:p>
    <w:p>
      <w:pPr>
        <w:ind w:left="460" w:right="14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March 2004, we received a $900,000 grant from the City of Danville, Virginia to be used for the expansion of economic and commercial growth within the City. Specifically, $450,000 of the grant will be used to offset certain capital expenditures for leasehold improvements being made at our Danville facility, and the remaining $450,000 is to be used for our creation of new jobs.</w:t>
      </w:r>
    </w:p>
    <w:p>
      <w:pPr>
        <w:spacing w:after="0" w:line="63" w:lineRule="exact"/>
        <w:rPr>
          <w:rFonts w:ascii="Arial" w:cs="Arial" w:eastAsia="Arial" w:hAnsi="Arial"/>
          <w:sz w:val="18"/>
          <w:szCs w:val="18"/>
          <w:color w:val="auto"/>
        </w:rPr>
      </w:pPr>
    </w:p>
    <w:p>
      <w:pPr>
        <w:ind w:left="460" w:right="120"/>
        <w:spacing w:after="0" w:line="252" w:lineRule="auto"/>
        <w:rPr>
          <w:rFonts w:ascii="Arial" w:cs="Arial" w:eastAsia="Arial" w:hAnsi="Arial"/>
          <w:sz w:val="18"/>
          <w:szCs w:val="18"/>
          <w:color w:val="auto"/>
        </w:rPr>
      </w:pPr>
      <w:r>
        <w:rPr>
          <w:rFonts w:ascii="Arial" w:cs="Arial" w:eastAsia="Arial" w:hAnsi="Arial"/>
          <w:sz w:val="18"/>
          <w:szCs w:val="18"/>
          <w:color w:val="auto"/>
        </w:rPr>
        <w:t>The grant stipulates that we must make estimated capital expenditures of at least $6,409,000 and create 54 new full time jobs at our Danville facility, at an average wage of at least $39,000 plus benefits within 30 months of the award, and then maintain such employment levels for an additional 30 months. We could be required to repay the grant funds on a pro-rata basis should we fail to satisfy the conditions stipulated in the agreement. As such, since we have not yet met the stipulations of the grant, we have included the $900,000 in deferred credits in the accompanying consolidated balance sheets as of December 31, 2006 and 2007.</w:t>
      </w:r>
    </w:p>
    <w:p>
      <w:pPr>
        <w:ind w:left="460" w:right="56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liabilities include remaining amounts payable for the acquisition of our tunable laser product line and minimum royalty payments for licensed technologies.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We do not hold or issue financial instruments for trading purposes or have any derivative financial instruments. Our exposure to market risk is limited to interest rate fluctuations due to changes in the general level of United States interest rates, particularly because as of December 31, 2007, our cash reserves were maintained in money market investment accounts and were not exposed to material market risks.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do not use derivative financial instruments as a hedge against interest rate fluctuations, and, as a result, interest income earned on our cash and cash equivalents and short-term investments is subject to changes in interest rates. However, we believe that the impact of these fluctuations does not have a material effect on our financial position due to the immediate available liquidity or short-term nature of these financial instruments. The interest rate on our line of credit is variable between 6.0% and 10.0% based on the current prime rate of interest; however we do not currently have any outstanding balances owed under our line of credit agreement. As of December 31, 2007, we had $12.0 million deposited in cash and cash equivalents bearing a weighted-average interest rate of 5.1%.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As of December 31, 2007, all payments made under our research contracts have been denominated in United States dollars. Our product sales to foreign customers are also denominated in U.S. dollars, and we do not receive payments in foreign currency. As such, we are not directly exposed to currency gains or losses resulting from fluctuations in foreign exchange rates.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80" w:type="dxa"/>
            <w:vAlign w:val="bottom"/>
          </w:tcPr>
          <w:p>
            <w:pPr>
              <w:ind w:left="200"/>
              <w:spacing w:after="0"/>
              <w:rPr>
                <w:sz w:val="20"/>
                <w:szCs w:val="20"/>
                <w:color w:val="auto"/>
              </w:rPr>
            </w:pPr>
            <w:r>
              <w:rPr>
                <w:rFonts w:ascii="Arial" w:cs="Arial" w:eastAsia="Arial" w:hAnsi="Arial"/>
                <w:sz w:val="18"/>
                <w:szCs w:val="18"/>
                <w:b w:val="1"/>
                <w:bCs w:val="1"/>
                <w:color w:val="auto"/>
              </w:rPr>
              <w:t>FINANCIAL STATEMENTS AND SUPPLEMENTARY DATA</w:t>
            </w:r>
          </w:p>
        </w:tc>
        <w:tc>
          <w:tcPr>
            <w:tcW w:w="1640" w:type="dxa"/>
            <w:vAlign w:val="bottom"/>
          </w:tcPr>
          <w:p>
            <w:pPr>
              <w:spacing w:after="0"/>
              <w:rPr>
                <w:sz w:val="19"/>
                <w:szCs w:val="19"/>
                <w:color w:val="auto"/>
              </w:rPr>
            </w:pPr>
          </w:p>
        </w:tc>
      </w:tr>
      <w:tr>
        <w:trPr>
          <w:trHeight w:val="378"/>
        </w:trPr>
        <w:tc>
          <w:tcPr>
            <w:tcW w:w="840" w:type="dxa"/>
            <w:vAlign w:val="bottom"/>
          </w:tcPr>
          <w:p>
            <w:pPr>
              <w:spacing w:after="0"/>
              <w:rPr>
                <w:sz w:val="24"/>
                <w:szCs w:val="24"/>
                <w:color w:val="auto"/>
              </w:rPr>
            </w:pPr>
          </w:p>
        </w:tc>
        <w:tc>
          <w:tcPr>
            <w:tcW w:w="8880" w:type="dxa"/>
            <w:vAlign w:val="bottom"/>
          </w:tcPr>
          <w:p>
            <w:pPr>
              <w:jc w:val="center"/>
              <w:ind w:left="772"/>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1640" w:type="dxa"/>
            <w:vAlign w:val="bottom"/>
          </w:tcPr>
          <w:p>
            <w:pPr>
              <w:spacing w:after="0"/>
              <w:rPr>
                <w:sz w:val="24"/>
                <w:szCs w:val="24"/>
                <w:color w:val="auto"/>
              </w:rPr>
            </w:pPr>
          </w:p>
        </w:tc>
      </w:tr>
      <w:tr>
        <w:trPr>
          <w:trHeight w:val="412"/>
        </w:trPr>
        <w:tc>
          <w:tcPr>
            <w:tcW w:w="972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Consolidated Balance Sheets at December 31, 2007 and 2006</w:t>
            </w:r>
          </w:p>
        </w:tc>
        <w:tc>
          <w:tcPr>
            <w:tcW w:w="1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years ended December 31, 2007, 2006, and 2005</w:t>
            </w:r>
          </w:p>
        </w:tc>
        <w:tc>
          <w:tcPr>
            <w:tcW w:w="16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2007, 2006, and 2005</w:t>
            </w:r>
          </w:p>
        </w:tc>
        <w:tc>
          <w:tcPr>
            <w:tcW w:w="1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972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years ended December 31, 2007, 2006, and 2005</w:t>
            </w: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97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65"/>
        </w:trPr>
        <w:tc>
          <w:tcPr>
            <w:tcW w:w="840" w:type="dxa"/>
            <w:vAlign w:val="bottom"/>
          </w:tcPr>
          <w:p>
            <w:pPr>
              <w:spacing w:after="0"/>
              <w:rPr>
                <w:sz w:val="24"/>
                <w:szCs w:val="24"/>
                <w:color w:val="auto"/>
              </w:rPr>
            </w:pPr>
          </w:p>
        </w:tc>
        <w:tc>
          <w:tcPr>
            <w:tcW w:w="8880" w:type="dxa"/>
            <w:vAlign w:val="bottom"/>
          </w:tcPr>
          <w:p>
            <w:pPr>
              <w:jc w:val="right"/>
              <w:ind w:right="3832"/>
              <w:spacing w:after="0"/>
              <w:rPr>
                <w:sz w:val="20"/>
                <w:szCs w:val="20"/>
                <w:color w:val="auto"/>
              </w:rPr>
            </w:pPr>
            <w:r>
              <w:rPr>
                <w:rFonts w:ascii="Arial" w:cs="Arial" w:eastAsia="Arial" w:hAnsi="Arial"/>
                <w:sz w:val="18"/>
                <w:szCs w:val="18"/>
                <w:color w:val="auto"/>
              </w:rPr>
              <w:t>54</w:t>
            </w:r>
          </w:p>
        </w:tc>
        <w:tc>
          <w:tcPr>
            <w:tcW w:w="16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Luna Innovations Incorporated</w:t>
      </w:r>
    </w:p>
    <w:p>
      <w:pPr>
        <w:spacing w:after="0" w:line="8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audited the accompanying balance sheets of Luna Innovations Incorporated (a Delaware corporation) as of December 31, 2007 and 2006, and the related statements of operations, stockholders’ equity, and cash flows for each of the three years in the period ended December 31, 2007. Our audits of the basic financial statements included the financial statement schedule listed in the index appearing under Item 15. These financial statements and financial statement schedule are the responsibility of the Company’s management. Our responsibility is to express an opinion on these financial statements and financial statement schedule based on our audits.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financial position of Luna Innovations Incorporated as of December 31, 2007 and 2006, and the results of its operations and its cash flows for each of the three years in the period ended December 31, 2007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19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2008</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$ 17,866,753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12,046,945</w:t>
            </w: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7,233,406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9,716,610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Refundable income taxes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396,062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396,062</w:t>
            </w: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Inventory, net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843,294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1,675,239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503,703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0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26,843,218</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24,167,961</w:t>
            </w: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5,730,094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5,859,515</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2,031,489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1,911,132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300"/>
              <w:spacing w:after="0"/>
              <w:rPr>
                <w:sz w:val="20"/>
                <w:szCs w:val="20"/>
                <w:color w:val="auto"/>
              </w:rPr>
            </w:pPr>
            <w:r>
              <w:rPr>
                <w:rFonts w:ascii="Arial" w:cs="Arial" w:eastAsia="Arial" w:hAnsi="Arial"/>
                <w:sz w:val="18"/>
                <w:szCs w:val="18"/>
                <w:b w:val="1"/>
                <w:bCs w:val="1"/>
                <w:color w:val="auto"/>
              </w:rPr>
              <w:t>Total assets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5"/>
              </w:rPr>
              <w:t>$ 35,217,214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32,548,878</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29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Current portion of capital lease obligation</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85,378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23,885</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2,757,381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3,024,973</w:t>
            </w:r>
          </w:p>
        </w:tc>
        <w:tc>
          <w:tcPr>
            <w:tcW w:w="0" w:type="dxa"/>
            <w:vAlign w:val="bottom"/>
          </w:tcPr>
          <w:p>
            <w:pPr>
              <w:spacing w:after="0"/>
              <w:rPr>
                <w:sz w:val="1"/>
                <w:szCs w:val="1"/>
                <w:color w:val="auto"/>
              </w:rPr>
            </w:pPr>
          </w:p>
        </w:tc>
      </w:tr>
      <w:tr>
        <w:trPr>
          <w:trHeight w:val="216"/>
        </w:trPr>
        <w:tc>
          <w:tcPr>
            <w:tcW w:w="8900" w:type="dxa"/>
            <w:vAlign w:val="bottom"/>
          </w:tcPr>
          <w:p>
            <w:pPr>
              <w:ind w:left="440"/>
              <w:spacing w:after="0"/>
              <w:rPr>
                <w:sz w:val="20"/>
                <w:szCs w:val="20"/>
                <w:color w:val="auto"/>
              </w:rPr>
            </w:pPr>
            <w:r>
              <w:rPr>
                <w:rFonts w:ascii="Arial" w:cs="Arial" w:eastAsia="Arial" w:hAnsi="Arial"/>
                <w:sz w:val="18"/>
                <w:szCs w:val="18"/>
                <w:color w:val="auto"/>
              </w:rPr>
              <w:t>Accrued liabilities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3,627,277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5,331,798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 term debt obligation</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214,955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900" w:type="dxa"/>
            <w:vAlign w:val="bottom"/>
          </w:tcPr>
          <w:p>
            <w:pPr>
              <w:ind w:left="440"/>
              <w:spacing w:after="0"/>
              <w:rPr>
                <w:sz w:val="20"/>
                <w:szCs w:val="20"/>
                <w:color w:val="auto"/>
              </w:rPr>
            </w:pPr>
            <w:r>
              <w:rPr>
                <w:rFonts w:ascii="Arial" w:cs="Arial" w:eastAsia="Arial" w:hAnsi="Arial"/>
                <w:sz w:val="18"/>
                <w:szCs w:val="18"/>
                <w:color w:val="auto"/>
              </w:rPr>
              <w:t>Deferred credits</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874,676</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7,559,667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10,053,056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Long-term capital lease obligation—net of current portion</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27,873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Deferred credits</w:t>
            </w:r>
          </w:p>
        </w:tc>
        <w:tc>
          <w:tcPr>
            <w:tcW w:w="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554,418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354,418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13,141,958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15,412,145</w:t>
            </w:r>
          </w:p>
        </w:tc>
        <w:tc>
          <w:tcPr>
            <w:tcW w:w="0" w:type="dxa"/>
            <w:vAlign w:val="bottom"/>
          </w:tcPr>
          <w:p>
            <w:pPr>
              <w:spacing w:after="0"/>
              <w:rPr>
                <w:sz w:val="1"/>
                <w:szCs w:val="1"/>
                <w:color w:val="auto"/>
              </w:rPr>
            </w:pPr>
          </w:p>
        </w:tc>
      </w:tr>
      <w:tr>
        <w:trPr>
          <w:trHeight w:val="221"/>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900" w:type="dxa"/>
            <w:vAlign w:val="bottom"/>
          </w:tcPr>
          <w:p>
            <w:pPr>
              <w:ind w:left="440"/>
              <w:spacing w:after="0"/>
              <w:rPr>
                <w:sz w:val="20"/>
                <w:szCs w:val="20"/>
                <w:color w:val="auto"/>
              </w:rPr>
            </w:pPr>
            <w:r>
              <w:rPr>
                <w:rFonts w:ascii="Arial" w:cs="Arial" w:eastAsia="Arial" w:hAnsi="Arial"/>
                <w:sz w:val="18"/>
                <w:szCs w:val="18"/>
                <w:color w:val="auto"/>
                <w:w w:val="95"/>
              </w:rPr>
              <w:t>Common stock, par value $0.001, 100,000,000 shares authorized at December 31, 2006 and 2007, 10,704,456</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660"/>
              <w:spacing w:after="0"/>
              <w:rPr>
                <w:sz w:val="20"/>
                <w:szCs w:val="20"/>
                <w:color w:val="auto"/>
              </w:rPr>
            </w:pPr>
            <w:r>
              <w:rPr>
                <w:rFonts w:ascii="Arial" w:cs="Arial" w:eastAsia="Arial" w:hAnsi="Arial"/>
                <w:sz w:val="18"/>
                <w:szCs w:val="18"/>
                <w:color w:val="auto"/>
              </w:rPr>
              <w:t>and 9,911,546 shares issued and outstanding at December 31, 2006 and 2007, respectively</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9,912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10,704</w:t>
            </w:r>
          </w:p>
        </w:tc>
        <w:tc>
          <w:tcPr>
            <w:tcW w:w="0" w:type="dxa"/>
            <w:vAlign w:val="bottom"/>
          </w:tcPr>
          <w:p>
            <w:pPr>
              <w:spacing w:after="0"/>
              <w:rPr>
                <w:sz w:val="1"/>
                <w:szCs w:val="1"/>
                <w:color w:val="auto"/>
              </w:rPr>
            </w:pPr>
          </w:p>
        </w:tc>
      </w:tr>
      <w:tr>
        <w:trPr>
          <w:trHeight w:val="217"/>
        </w:trPr>
        <w:tc>
          <w:tcPr>
            <w:tcW w:w="8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31,585,762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34,496,063</w:t>
            </w:r>
          </w:p>
        </w:tc>
        <w:tc>
          <w:tcPr>
            <w:tcW w:w="0" w:type="dxa"/>
            <w:vAlign w:val="bottom"/>
          </w:tcPr>
          <w:p>
            <w:pPr>
              <w:spacing w:after="0"/>
              <w:rPr>
                <w:sz w:val="1"/>
                <w:szCs w:val="1"/>
                <w:color w:val="auto"/>
              </w:rPr>
            </w:pPr>
          </w:p>
        </w:tc>
      </w:tr>
      <w:tr>
        <w:trPr>
          <w:trHeight w:val="223"/>
        </w:trPr>
        <w:tc>
          <w:tcPr>
            <w:tcW w:w="890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420" w:type="dxa"/>
            <w:vAlign w:val="bottom"/>
            <w:gridSpan w:val="3"/>
          </w:tcPr>
          <w:p>
            <w:pPr>
              <w:jc w:val="right"/>
              <w:ind w:right="460"/>
              <w:spacing w:after="0"/>
              <w:rPr>
                <w:sz w:val="20"/>
                <w:szCs w:val="20"/>
                <w:color w:val="auto"/>
              </w:rPr>
            </w:pPr>
            <w:r>
              <w:rPr>
                <w:rFonts w:ascii="Arial" w:cs="Arial" w:eastAsia="Arial" w:hAnsi="Arial"/>
                <w:sz w:val="18"/>
                <w:szCs w:val="18"/>
                <w:color w:val="auto"/>
              </w:rPr>
              <w:t>(9,520,418)</w:t>
            </w: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(17,370,034)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22,075,256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17,136,733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ind w:left="130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$ 35,217,214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32,548,878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2"/>
              </w:rPr>
              <w:t>Year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Technology development revenues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15,379,667</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18,787,863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23,356,456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revenues</w:t>
            </w:r>
          </w:p>
        </w:tc>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1,074,221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4,757,779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10,325,659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16,453,888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23,545,642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33,682,115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Contract research costs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12,552,122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14,140,605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16,546,140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and license costs</w:t>
            </w:r>
          </w:p>
        </w:tc>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409,772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2,221,396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4,819,825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860"/>
              <w:spacing w:after="0"/>
              <w:rPr>
                <w:sz w:val="20"/>
                <w:szCs w:val="20"/>
                <w:color w:val="auto"/>
              </w:rPr>
            </w:pPr>
            <w:r>
              <w:rPr>
                <w:rFonts w:ascii="Arial" w:cs="Arial" w:eastAsia="Arial" w:hAnsi="Arial"/>
                <w:sz w:val="18"/>
                <w:szCs w:val="18"/>
                <w:color w:val="auto"/>
              </w:rPr>
              <w:t>Total cost of revenues</w:t>
            </w:r>
          </w:p>
        </w:tc>
        <w:tc>
          <w:tcPr>
            <w:tcW w:w="2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12,961,894</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16,362,001</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21,365,965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3,491,994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7,183,641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12,316,150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6,003,644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17,150,195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20,570,479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(2,511,650)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(9,966,554)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(8,254,329)</w:t>
            </w:r>
          </w:p>
        </w:tc>
        <w:tc>
          <w:tcPr>
            <w:tcW w:w="0" w:type="dxa"/>
            <w:vAlign w:val="bottom"/>
          </w:tcPr>
          <w:p>
            <w:pPr>
              <w:spacing w:after="0"/>
              <w:rPr>
                <w:sz w:val="1"/>
                <w:szCs w:val="1"/>
                <w:color w:val="auto"/>
              </w:rPr>
            </w:pPr>
          </w:p>
        </w:tc>
      </w:tr>
      <w:tr>
        <w:trPr>
          <w:trHeight w:val="222"/>
        </w:trPr>
        <w:tc>
          <w:tcPr>
            <w:tcW w:w="51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(41,251)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515,818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371,991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(39,659)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(2,551,309)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(9,424,902)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(7,849,616)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(557,252)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(1,994,057)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(9,437,731)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(7,849,616)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Basic</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(0.53)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3,735,811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8,283,074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10,219,711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3,735,811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8,283,074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10,219,711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 (DEFICIT)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96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85"/>
              </w:rPr>
              <w:t>Class A</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5"/>
              </w:rPr>
              <w:t>Class B</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left="292"/>
              <w:spacing w:after="0"/>
              <w:rPr>
                <w:sz w:val="20"/>
                <w:szCs w:val="20"/>
                <w:color w:val="auto"/>
              </w:rPr>
            </w:pPr>
            <w:r>
              <w:rPr>
                <w:rFonts w:ascii="Arial" w:cs="Arial" w:eastAsia="Arial" w:hAnsi="Arial"/>
                <w:sz w:val="14"/>
                <w:szCs w:val="14"/>
                <w:b w:val="1"/>
                <w:bCs w:val="1"/>
                <w:color w:val="auto"/>
                <w:w w:val="85"/>
              </w:rPr>
              <w:t>Class C</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960" w:type="dxa"/>
            <w:vAlign w:val="bottom"/>
            <w:gridSpan w:val="2"/>
          </w:tcPr>
          <w:p>
            <w:pPr>
              <w:jc w:val="center"/>
              <w:ind w:left="312"/>
              <w:spacing w:after="0" w:line="149" w:lineRule="exact"/>
              <w:rPr>
                <w:sz w:val="20"/>
                <w:szCs w:val="20"/>
                <w:color w:val="auto"/>
              </w:rPr>
            </w:pPr>
            <w:r>
              <w:rPr>
                <w:rFonts w:ascii="Arial" w:cs="Arial" w:eastAsia="Arial" w:hAnsi="Arial"/>
                <w:sz w:val="14"/>
                <w:szCs w:val="14"/>
                <w:b w:val="1"/>
                <w:bCs w:val="1"/>
                <w:color w:val="auto"/>
                <w:w w:val="88"/>
              </w:rPr>
              <w:t>Common</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Common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left="292"/>
              <w:spacing w:after="0" w:line="149" w:lineRule="exact"/>
              <w:rPr>
                <w:sz w:val="20"/>
                <w:szCs w:val="20"/>
                <w:color w:val="auto"/>
              </w:rPr>
            </w:pPr>
            <w:r>
              <w:rPr>
                <w:rFonts w:ascii="Arial" w:cs="Arial" w:eastAsia="Arial" w:hAnsi="Arial"/>
                <w:sz w:val="14"/>
                <w:szCs w:val="14"/>
                <w:b w:val="1"/>
                <w:bCs w:val="1"/>
                <w:color w:val="auto"/>
                <w:w w:val="85"/>
              </w:rPr>
              <w:t>Common</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center"/>
              <w:ind w:left="332"/>
              <w:spacing w:after="0" w:line="149" w:lineRule="exact"/>
              <w:rPr>
                <w:sz w:val="20"/>
                <w:szCs w:val="20"/>
                <w:color w:val="auto"/>
              </w:rPr>
            </w:pPr>
            <w:r>
              <w:rPr>
                <w:rFonts w:ascii="Arial" w:cs="Arial" w:eastAsia="Arial" w:hAnsi="Arial"/>
                <w:sz w:val="14"/>
                <w:szCs w:val="14"/>
                <w:b w:val="1"/>
                <w:bCs w:val="1"/>
                <w:color w:val="auto"/>
                <w:w w:val="88"/>
              </w:rPr>
              <w:t>Common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Retained</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960" w:type="dxa"/>
            <w:vAlign w:val="bottom"/>
            <w:tcBorders>
              <w:bottom w:val="single" w:sz="8" w:color="auto"/>
            </w:tcBorders>
            <w:gridSpan w:val="2"/>
          </w:tcPr>
          <w:p>
            <w:pPr>
              <w:jc w:val="center"/>
              <w:ind w:left="292"/>
              <w:spacing w:after="0"/>
              <w:rPr>
                <w:sz w:val="20"/>
                <w:szCs w:val="20"/>
                <w:color w:val="auto"/>
              </w:rPr>
            </w:pPr>
            <w:r>
              <w:rPr>
                <w:rFonts w:ascii="Arial" w:cs="Arial" w:eastAsia="Arial" w:hAnsi="Arial"/>
                <w:sz w:val="14"/>
                <w:szCs w:val="14"/>
                <w:b w:val="1"/>
                <w:bCs w:val="1"/>
                <w:color w:val="auto"/>
                <w:w w:val="83"/>
              </w:rPr>
              <w:t>Stock</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gridSpan w:val="2"/>
          </w:tcPr>
          <w:p>
            <w:pPr>
              <w:jc w:val="center"/>
              <w:ind w:left="172"/>
              <w:spacing w:after="0"/>
              <w:rPr>
                <w:sz w:val="20"/>
                <w:szCs w:val="20"/>
                <w:color w:val="auto"/>
              </w:rPr>
            </w:pPr>
            <w:r>
              <w:rPr>
                <w:rFonts w:ascii="Arial" w:cs="Arial" w:eastAsia="Arial" w:hAnsi="Arial"/>
                <w:sz w:val="14"/>
                <w:szCs w:val="14"/>
                <w:b w:val="1"/>
                <w:bCs w:val="1"/>
                <w:color w:val="auto"/>
                <w:w w:val="83"/>
              </w:rPr>
              <w:t>Stock</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ind w:left="292"/>
              <w:spacing w:after="0"/>
              <w:rPr>
                <w:sz w:val="20"/>
                <w:szCs w:val="20"/>
                <w:color w:val="auto"/>
              </w:rPr>
            </w:pPr>
            <w:r>
              <w:rPr>
                <w:rFonts w:ascii="Arial" w:cs="Arial" w:eastAsia="Arial" w:hAnsi="Arial"/>
                <w:sz w:val="14"/>
                <w:szCs w:val="14"/>
                <w:b w:val="1"/>
                <w:bCs w:val="1"/>
                <w:color w:val="auto"/>
                <w:w w:val="83"/>
              </w:rPr>
              <w:t>Stock</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12"/>
              <w:spacing w:after="0"/>
              <w:rPr>
                <w:sz w:val="20"/>
                <w:szCs w:val="20"/>
                <w:color w:val="auto"/>
              </w:rPr>
            </w:pPr>
            <w:r>
              <w:rPr>
                <w:rFonts w:ascii="Arial" w:cs="Arial" w:eastAsia="Arial" w:hAnsi="Arial"/>
                <w:sz w:val="14"/>
                <w:szCs w:val="14"/>
                <w:b w:val="1"/>
                <w:bCs w:val="1"/>
                <w:color w:val="auto"/>
                <w:w w:val="83"/>
              </w:rPr>
              <w:t>Stock</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Paid in</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Earnings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74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3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5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8"/>
              </w:rPr>
              <w:t>Shares</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3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Balance—December 31, 2004</w:t>
            </w:r>
          </w:p>
        </w:tc>
        <w:tc>
          <w:tcPr>
            <w:tcW w:w="960" w:type="dxa"/>
            <w:vAlign w:val="bottom"/>
            <w:tcBorders>
              <w:right w:val="single" w:sz="8" w:color="CCEEFF"/>
            </w:tcBorders>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2,834,814</w:t>
            </w:r>
          </w:p>
        </w:tc>
        <w:tc>
          <w:tcPr>
            <w:tcW w:w="54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w w:val="96"/>
              </w:rPr>
              <w:t>2,835</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76,447</w:t>
            </w:r>
          </w:p>
        </w:tc>
        <w:tc>
          <w:tcPr>
            <w:tcW w:w="2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76</w:t>
            </w:r>
          </w:p>
        </w:tc>
        <w:tc>
          <w:tcPr>
            <w:tcW w:w="960" w:type="dxa"/>
            <w:vAlign w:val="bottom"/>
            <w:tcBorders>
              <w:right w:val="single" w:sz="8" w:color="CCEEFF"/>
            </w:tcBorders>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ind w:left="560"/>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ind w:left="200"/>
              <w:spacing w:after="0" w:line="142"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257,157</w:t>
            </w:r>
          </w:p>
        </w:tc>
        <w:tc>
          <w:tcPr>
            <w:tcW w:w="100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1,907,185</w:t>
            </w:r>
          </w:p>
        </w:tc>
        <w:tc>
          <w:tcPr>
            <w:tcW w:w="8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2,167,253</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238,173</w:t>
            </w:r>
          </w:p>
        </w:tc>
        <w:tc>
          <w:tcPr>
            <w:tcW w:w="220" w:type="dxa"/>
            <w:vAlign w:val="bottom"/>
          </w:tcPr>
          <w:p>
            <w:pPr>
              <w:spacing w:after="0"/>
              <w:rPr>
                <w:sz w:val="12"/>
                <w:szCs w:val="12"/>
                <w:color w:val="auto"/>
              </w:rPr>
            </w:pPr>
          </w:p>
        </w:tc>
        <w:tc>
          <w:tcPr>
            <w:tcW w:w="4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238</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84,037</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84,275</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103,508</w:t>
            </w:r>
          </w:p>
        </w:tc>
        <w:tc>
          <w:tcPr>
            <w:tcW w:w="2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w:t>
            </w:r>
          </w:p>
        </w:tc>
        <w:tc>
          <w:tcPr>
            <w:tcW w:w="7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38"/>
        </w:trPr>
        <w:tc>
          <w:tcPr>
            <w:tcW w:w="2960" w:type="dxa"/>
            <w:vAlign w:val="bottom"/>
          </w:tcPr>
          <w:p>
            <w:pPr>
              <w:spacing w:after="0" w:line="138" w:lineRule="exact"/>
              <w:rPr>
                <w:sz w:val="20"/>
                <w:szCs w:val="20"/>
                <w:color w:val="auto"/>
              </w:rPr>
            </w:pPr>
            <w:r>
              <w:rPr>
                <w:rFonts w:ascii="Arial" w:cs="Arial" w:eastAsia="Arial" w:hAnsi="Arial"/>
                <w:sz w:val="14"/>
                <w:szCs w:val="14"/>
                <w:color w:val="auto"/>
              </w:rPr>
              <w:t>Issuance of common stock in Carilion financing</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20"/>
              <w:spacing w:after="0" w:line="159" w:lineRule="exact"/>
              <w:rPr>
                <w:sz w:val="20"/>
                <w:szCs w:val="20"/>
                <w:color w:val="auto"/>
              </w:rPr>
            </w:pPr>
            <w:r>
              <w:rPr>
                <w:rFonts w:ascii="Arial" w:cs="Arial" w:eastAsia="Arial" w:hAnsi="Arial"/>
                <w:sz w:val="14"/>
                <w:szCs w:val="14"/>
                <w:color w:val="auto"/>
              </w:rPr>
              <w:t>transaction, net</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2,131,474</w:t>
            </w:r>
          </w:p>
        </w:tc>
        <w:tc>
          <w:tcPr>
            <w:tcW w:w="5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6"/>
              </w:rPr>
              <w:t>2,131</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9,910,337</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9,912,468</w:t>
            </w:r>
          </w:p>
        </w:tc>
        <w:tc>
          <w:tcPr>
            <w:tcW w:w="0" w:type="dxa"/>
            <w:vAlign w:val="bottom"/>
          </w:tcPr>
          <w:p>
            <w:pPr>
              <w:spacing w:after="0"/>
              <w:rPr>
                <w:sz w:val="1"/>
                <w:szCs w:val="1"/>
                <w:color w:val="auto"/>
              </w:rPr>
            </w:pPr>
          </w:p>
        </w:tc>
      </w:tr>
      <w:tr>
        <w:trPr>
          <w:trHeight w:val="138"/>
        </w:trPr>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Issuance of common stock in conjunction with Luna</w:t>
            </w: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Technologies acquisition</w:t>
            </w:r>
          </w:p>
        </w:tc>
        <w:tc>
          <w:tcPr>
            <w:tcW w:w="7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316,301</w:t>
            </w:r>
          </w:p>
        </w:tc>
        <w:tc>
          <w:tcPr>
            <w:tcW w:w="22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316</w:t>
            </w:r>
          </w:p>
        </w:tc>
        <w:tc>
          <w:tcPr>
            <w:tcW w:w="7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514,513</w:t>
            </w: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514,829</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Share based payment expense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168,926</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168,926</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(1,994,057)</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(1,994,057)</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4"/>
                <w:szCs w:val="14"/>
                <w:color w:val="auto"/>
              </w:rPr>
              <w:t>Balance—December 31, 2005</w:t>
            </w: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2,834,814</w:t>
            </w:r>
          </w:p>
        </w:tc>
        <w:tc>
          <w:tcPr>
            <w:tcW w:w="220" w:type="dxa"/>
            <w:vAlign w:val="bottom"/>
          </w:tcPr>
          <w:p>
            <w:pPr>
              <w:spacing w:after="0"/>
              <w:rPr>
                <w:sz w:val="13"/>
                <w:szCs w:val="13"/>
                <w:color w:val="auto"/>
              </w:rPr>
            </w:pPr>
          </w:p>
        </w:tc>
        <w:tc>
          <w:tcPr>
            <w:tcW w:w="5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6"/>
              </w:rPr>
              <w:t>2,835</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734,429</w:t>
            </w:r>
          </w:p>
        </w:tc>
        <w:tc>
          <w:tcPr>
            <w:tcW w:w="220" w:type="dxa"/>
            <w:vAlign w:val="bottom"/>
          </w:tcPr>
          <w:p>
            <w:pPr>
              <w:spacing w:after="0"/>
              <w:rPr>
                <w:sz w:val="13"/>
                <w:szCs w:val="13"/>
                <w:color w:val="auto"/>
              </w:rPr>
            </w:pPr>
          </w:p>
        </w:tc>
        <w:tc>
          <w:tcPr>
            <w:tcW w:w="4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734</w:t>
            </w:r>
          </w:p>
        </w:tc>
        <w:tc>
          <w:tcPr>
            <w:tcW w:w="96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2,131,474</w:t>
            </w:r>
          </w:p>
        </w:tc>
        <w:tc>
          <w:tcPr>
            <w:tcW w:w="5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96"/>
              </w:rPr>
              <w:t>2,131</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10,935,049</w:t>
            </w: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(86,872)</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10,853,877</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139,049</w:t>
            </w:r>
          </w:p>
        </w:tc>
        <w:tc>
          <w:tcPr>
            <w:tcW w:w="220" w:type="dxa"/>
            <w:vAlign w:val="bottom"/>
            <w:tcBorders>
              <w:right w:val="single" w:sz="8" w:color="CCEEFF"/>
            </w:tcBorders>
            <w:shd w:val="clear" w:color="auto" w:fill="CCEEFF"/>
          </w:tcPr>
          <w:p>
            <w:pPr>
              <w:spacing w:after="0"/>
              <w:rPr>
                <w:sz w:val="12"/>
                <w:szCs w:val="12"/>
                <w:color w:val="auto"/>
              </w:rPr>
            </w:pPr>
          </w:p>
        </w:tc>
        <w:tc>
          <w:tcPr>
            <w:tcW w:w="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w:t>
            </w:r>
          </w:p>
        </w:tc>
        <w:tc>
          <w:tcPr>
            <w:tcW w:w="7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96,931</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97,203</w:t>
            </w:r>
          </w:p>
        </w:tc>
        <w:tc>
          <w:tcPr>
            <w:tcW w:w="0" w:type="dxa"/>
            <w:vAlign w:val="bottom"/>
          </w:tcPr>
          <w:p>
            <w:pPr>
              <w:spacing w:after="0"/>
              <w:rPr>
                <w:sz w:val="1"/>
                <w:szCs w:val="1"/>
                <w:color w:val="auto"/>
              </w:rPr>
            </w:pPr>
          </w:p>
        </w:tc>
      </w:tr>
      <w:tr>
        <w:trPr>
          <w:trHeight w:val="138"/>
        </w:trPr>
        <w:tc>
          <w:tcPr>
            <w:tcW w:w="2960" w:type="dxa"/>
            <w:vAlign w:val="bottom"/>
          </w:tcPr>
          <w:p>
            <w:pPr>
              <w:spacing w:after="0" w:line="138" w:lineRule="exact"/>
              <w:rPr>
                <w:sz w:val="20"/>
                <w:szCs w:val="20"/>
                <w:color w:val="auto"/>
              </w:rPr>
            </w:pPr>
            <w:r>
              <w:rPr>
                <w:rFonts w:ascii="Arial" w:cs="Arial" w:eastAsia="Arial" w:hAnsi="Arial"/>
                <w:sz w:val="14"/>
                <w:szCs w:val="14"/>
                <w:color w:val="auto"/>
                <w:w w:val="91"/>
              </w:rPr>
              <w:t>Issuance of warrants and options in connection with</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20"/>
              <w:spacing w:after="0" w:line="159" w:lineRule="exact"/>
              <w:rPr>
                <w:sz w:val="20"/>
                <w:szCs w:val="20"/>
                <w:color w:val="auto"/>
              </w:rPr>
            </w:pPr>
            <w:r>
              <w:rPr>
                <w:rFonts w:ascii="Arial" w:cs="Arial" w:eastAsia="Arial" w:hAnsi="Arial"/>
                <w:sz w:val="14"/>
                <w:szCs w:val="14"/>
                <w:color w:val="auto"/>
              </w:rPr>
              <w:t>Luna Technologies acquisition</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418,073</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418,073</w:t>
            </w:r>
          </w:p>
        </w:tc>
        <w:tc>
          <w:tcPr>
            <w:tcW w:w="0" w:type="dxa"/>
            <w:vAlign w:val="bottom"/>
          </w:tcPr>
          <w:p>
            <w:pPr>
              <w:spacing w:after="0"/>
              <w:rPr>
                <w:sz w:val="1"/>
                <w:szCs w:val="1"/>
                <w:color w:val="auto"/>
              </w:rPr>
            </w:pPr>
          </w:p>
        </w:tc>
      </w:tr>
      <w:tr>
        <w:trPr>
          <w:trHeight w:val="138"/>
        </w:trPr>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 of Class A, Class B, and Class C</w:t>
            </w: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Common Stock to Common Stock</w:t>
            </w:r>
          </w:p>
        </w:tc>
        <w:tc>
          <w:tcPr>
            <w:tcW w:w="960" w:type="dxa"/>
            <w:vAlign w:val="bottom"/>
            <w:tcBorders>
              <w:right w:val="single" w:sz="8" w:color="CCEEFF"/>
            </w:tcBorders>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(2,834,814)</w:t>
            </w: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0"/>
              </w:rPr>
              <w:t>(2,835)</w:t>
            </w:r>
          </w:p>
        </w:tc>
        <w:tc>
          <w:tcPr>
            <w:tcW w:w="800" w:type="dxa"/>
            <w:vAlign w:val="bottom"/>
            <w:tcBorders>
              <w:right w:val="single" w:sz="8" w:color="CCEEFF"/>
            </w:tcBorders>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(873,478)</w:t>
            </w:r>
          </w:p>
        </w:tc>
        <w:tc>
          <w:tcPr>
            <w:tcW w:w="4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85"/>
              </w:rPr>
              <w:t>(873)</w:t>
            </w:r>
          </w:p>
        </w:tc>
        <w:tc>
          <w:tcPr>
            <w:tcW w:w="960" w:type="dxa"/>
            <w:vAlign w:val="bottom"/>
            <w:tcBorders>
              <w:right w:val="single" w:sz="8" w:color="CCEEFF"/>
            </w:tcBorders>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(2,131,474)</w:t>
            </w:r>
          </w:p>
        </w:tc>
        <w:tc>
          <w:tcPr>
            <w:tcW w:w="5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85"/>
              </w:rPr>
              <w:t>(2,131)</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5,839,766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5,839</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960" w:type="dxa"/>
            <w:vAlign w:val="bottom"/>
          </w:tcPr>
          <w:p>
            <w:pPr>
              <w:spacing w:after="0" w:line="138" w:lineRule="exact"/>
              <w:rPr>
                <w:sz w:val="20"/>
                <w:szCs w:val="20"/>
                <w:color w:val="auto"/>
              </w:rPr>
            </w:pPr>
            <w:r>
              <w:rPr>
                <w:rFonts w:ascii="Arial" w:cs="Arial" w:eastAsia="Arial" w:hAnsi="Arial"/>
                <w:sz w:val="14"/>
                <w:szCs w:val="14"/>
                <w:color w:val="auto"/>
                <w:w w:val="91"/>
              </w:rPr>
              <w:t>Conversion of Redeemable Class B Common Stock</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60" w:type="dxa"/>
            <w:vAlign w:val="bottom"/>
          </w:tcPr>
          <w:p>
            <w:pPr>
              <w:ind w:left="220"/>
              <w:spacing w:after="0" w:line="159" w:lineRule="exact"/>
              <w:rPr>
                <w:sz w:val="20"/>
                <w:szCs w:val="20"/>
                <w:color w:val="auto"/>
              </w:rPr>
            </w:pPr>
            <w:r>
              <w:rPr>
                <w:rFonts w:ascii="Arial" w:cs="Arial" w:eastAsia="Arial" w:hAnsi="Arial"/>
                <w:sz w:val="14"/>
                <w:szCs w:val="14"/>
                <w:color w:val="auto"/>
              </w:rPr>
              <w:t>to Common Stock</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308,216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308</w:t>
            </w: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504,676</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504,984</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Public Offering, net of costs</w:t>
            </w: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17,862,741</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17,866,241</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Carilion anti-dilution shares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96,724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Rounding of fractional shares and par value effect of</w:t>
            </w:r>
          </w:p>
        </w:tc>
        <w:tc>
          <w:tcPr>
            <w:tcW w:w="74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96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stock split</w:t>
            </w:r>
          </w:p>
        </w:tc>
        <w:tc>
          <w:tcPr>
            <w:tcW w:w="74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w:t>
            </w:r>
          </w:p>
        </w:tc>
        <w:tc>
          <w:tcPr>
            <w:tcW w:w="9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(4,184)</w:t>
            </w: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4,185</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Share-based payments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34,205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1,772,573</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1,772,607</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(9,437,731)</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(9,437,731)</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4"/>
                <w:szCs w:val="14"/>
                <w:color w:val="auto"/>
              </w:rPr>
              <w:t>Balance—December 31, 2006</w:t>
            </w: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9,911,546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9,912</w:t>
            </w: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31,585,762</w:t>
            </w:r>
          </w:p>
        </w:tc>
        <w:tc>
          <w:tcPr>
            <w:tcW w:w="160" w:type="dxa"/>
            <w:vAlign w:val="bottom"/>
          </w:tcPr>
          <w:p>
            <w:pPr>
              <w:spacing w:after="0"/>
              <w:rPr>
                <w:sz w:val="13"/>
                <w:szCs w:val="13"/>
                <w:color w:val="auto"/>
              </w:rPr>
            </w:pP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(9,520,418)</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22,075,256</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payments</w:t>
            </w: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2,425,114</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2,425,143</w:t>
            </w: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Exercise of options and warrants</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763,614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763</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485,187</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485,950</w:t>
            </w:r>
          </w:p>
        </w:tc>
        <w:tc>
          <w:tcPr>
            <w:tcW w:w="0" w:type="dxa"/>
            <w:vAlign w:val="bottom"/>
          </w:tcPr>
          <w:p>
            <w:pPr>
              <w:spacing w:after="0"/>
              <w:rPr>
                <w:sz w:val="1"/>
                <w:szCs w:val="1"/>
                <w:color w:val="auto"/>
              </w:rPr>
            </w:pPr>
          </w:p>
        </w:tc>
      </w:tr>
      <w:tr>
        <w:trPr>
          <w:trHeight w:val="149"/>
        </w:trPr>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(7,849,616)</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(7,849,616)</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4"/>
                <w:szCs w:val="14"/>
                <w:color w:val="auto"/>
              </w:rPr>
              <w:t>Balance—December 31, 2007</w:t>
            </w:r>
          </w:p>
        </w:tc>
        <w:tc>
          <w:tcPr>
            <w:tcW w:w="7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10,704,456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10,704</w:t>
            </w: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34,496,063</w:t>
            </w:r>
          </w:p>
        </w:tc>
        <w:tc>
          <w:tcPr>
            <w:tcW w:w="160" w:type="dxa"/>
            <w:vAlign w:val="bottom"/>
          </w:tcPr>
          <w:p>
            <w:pPr>
              <w:spacing w:after="0"/>
              <w:rPr>
                <w:sz w:val="13"/>
                <w:szCs w:val="13"/>
                <w:color w:val="auto"/>
              </w:rPr>
            </w:pPr>
          </w:p>
        </w:tc>
        <w:tc>
          <w:tcPr>
            <w:tcW w:w="10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(17,370,034)</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17,136,733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(1,994,057)</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(9,437,731)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(7,849,616)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540,145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1,141,115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1,780,877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(157,251)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Share-based compensation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168,926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1,772,607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2,425,143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operating assets and liabilities: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(1,314,485)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(2,103,495)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(2,483,204)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Refundable income taxes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362,005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118,735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(654,563)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1,911,095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527,098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1,972,111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credits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(479,299)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597,724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operating activities</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(87,589)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(9,115,533)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(4,216,170)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(877,144)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(2,834,385)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(1,375,612)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property costs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(430,847)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(558,909)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Net cash from acquisition of Luna Technologies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software development costs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(122,642)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(1,396,957)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(3,393,294)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(1,789,940)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Net payments on line of credit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(1,500,000)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debt obligations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Payments on capital lease obligation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(107,177)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(102,703)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convertible debt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20"/>
              <w:spacing w:after="0"/>
              <w:rPr>
                <w:sz w:val="20"/>
                <w:szCs w:val="20"/>
                <w:color w:val="auto"/>
              </w:rPr>
            </w:pPr>
            <w:r>
              <w:rPr>
                <w:rFonts w:ascii="Arial" w:cs="Arial" w:eastAsia="Arial" w:hAnsi="Arial"/>
                <w:sz w:val="18"/>
                <w:szCs w:val="18"/>
                <w:color w:val="auto"/>
              </w:rPr>
              <w:t>Proceeds from the issuance of common stock, net</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9,912,468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17,866,241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options and warrants</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40" w:type="dxa"/>
            <w:vAlign w:val="bottom"/>
          </w:tcPr>
          <w:p>
            <w:pPr>
              <w:ind w:left="1280"/>
              <w:spacing w:after="0"/>
              <w:rPr>
                <w:sz w:val="20"/>
                <w:szCs w:val="20"/>
                <w:color w:val="auto"/>
              </w:rPr>
            </w:pPr>
            <w:r>
              <w:rPr>
                <w:rFonts w:ascii="Arial" w:cs="Arial" w:eastAsia="Arial" w:hAnsi="Arial"/>
                <w:sz w:val="18"/>
                <w:szCs w:val="18"/>
                <w:color w:val="auto"/>
              </w:rPr>
              <w:t>Net cash from financing activities</w:t>
            </w:r>
          </w:p>
        </w:tc>
        <w:tc>
          <w:tcPr>
            <w:tcW w:w="8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13,389,749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17,860,741</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11,905,203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5,351,914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(5,819,808)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12,514,839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17,866,753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12,514,839</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17,866,753</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12,046,945</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6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108,211</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45,341</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12,829</w:t>
            </w:r>
          </w:p>
        </w:tc>
        <w:tc>
          <w:tcPr>
            <w:tcW w:w="3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financed by capital leases</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Luna Innovations Incorporated (“Luna Innovations”) was incorporated in the Commonwealth of Virginia in 1990 and subsequently reincorporated in the State of Delaware in April 2003. We are engaged in the research, development and commercialization of innovative technologies in the areas of test &amp; measurement, sensing, and instrumentation products and health care products. We are organized into three main groups, which work closely together to turn ideas into products: our Technology Development Group, our Commercialization Strategy Group and our Products Group. We have a disciplined and integrated business model that is designed to accelerate the process of bringing new and innovative technologies to market. We identify technology that can fulfill identified market needs. We then take these solutions from the applied research stage through commercialization.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Our consolidated financial statements are prepared in accordance with accounting principles generally accepted in the United States of America (US GAAP) and include our accounts, our wholly owned subsidiaries and other entities in which we have a controlling financial interest. We consolidate all entities in which we own more than 50% of the outstanding voting stock unless we do not control the entity. In accordance with FIN No. 46 revised, </w:t>
      </w:r>
      <w:r>
        <w:rPr>
          <w:rFonts w:ascii="Arial" w:cs="Arial" w:eastAsia="Arial" w:hAnsi="Arial"/>
          <w:sz w:val="16"/>
          <w:szCs w:val="16"/>
          <w:i w:val="1"/>
          <w:iCs w:val="1"/>
          <w:color w:val="auto"/>
        </w:rPr>
        <w:t>Consolidation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(FIN 46R), we also consolidate any variable interest entities for which we are deemed to be the primary beneficiary.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eliminate from our financial results all significant intercompany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accordance with US GAAP requires us to make estimates and assumptions that affect the reported amounts of assets, liabilities, revenues and expenses and the disclosure of contingent assets and liabilities in our consolidated financial statements and accompanying notes. Although these estimates are based on our knowledge of current events and actions we may undertake in the future, actual results may differ from such estimates and assumptions.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Development Revenues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perform research and development for U.S. Federal government agencies, educational institutions and commercial organizations. We recognize revenues under research contracts when a contract has been executed, the contract price is fixed and determinable, delivery of services or products has occurred and collection of the contract price is considered probable. Revenues are earned under cost reimbursable, time and materials and fixed price contracts. Direct contract costs are expensed as incurred.</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cost reimbursable contracts, we are reimbursed for allowable costs and paid a fixed fee. Revenues on cost reimbursable contracts are recognized as costs are incurred plus a portion of the fee earned. Revenues on time and materials contracts are recognized based on direct labor hours expended at contract billing rates plus other billable direct costs.</w:t>
      </w:r>
    </w:p>
    <w:p>
      <w:pPr>
        <w:spacing w:after="0" w:line="59"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 xml:space="preserve">Revenue for fixed price research contracts that involve the delivery of services and a prototype model are recognized under the percentage of completion method in accordance with Statement of Position (SOP) 81-1, </w:t>
      </w:r>
      <w:r>
        <w:rPr>
          <w:rFonts w:ascii="Arial" w:cs="Arial" w:eastAsia="Arial" w:hAnsi="Arial"/>
          <w:sz w:val="16"/>
          <w:szCs w:val="16"/>
          <w:i w:val="1"/>
          <w:iCs w:val="1"/>
          <w:color w:val="auto"/>
        </w:rPr>
        <w:t>Accounting for Performance of Construction-Type and Certain Production-Type Contracts</w:t>
      </w:r>
      <w:r>
        <w:rPr>
          <w:rFonts w:ascii="Arial" w:cs="Arial" w:eastAsia="Arial" w:hAnsi="Arial"/>
          <w:sz w:val="16"/>
          <w:szCs w:val="16"/>
          <w:color w:val="auto"/>
        </w:rPr>
        <w:t>. Fixed price arrangements that involve the delivery of research reports are recognized under the proportional performance method based upon the ratio of costs incurred to achieve contract milestones to total estimated cost. Losses on contracts, if any, are recognized in the period in which they become known.</w:t>
      </w:r>
    </w:p>
    <w:p>
      <w:pPr>
        <w:spacing w:after="0" w:line="32" w:lineRule="exact"/>
        <w:rPr>
          <w:sz w:val="20"/>
          <w:szCs w:val="20"/>
          <w:color w:val="auto"/>
        </w:rPr>
      </w:pPr>
    </w:p>
    <w:p>
      <w:pPr>
        <w:ind w:right="260" w:firstLine="456"/>
        <w:spacing w:after="0" w:line="370" w:lineRule="auto"/>
        <w:rPr>
          <w:sz w:val="20"/>
          <w:szCs w:val="20"/>
          <w:color w:val="auto"/>
        </w:rPr>
      </w:pPr>
      <w:r>
        <w:rPr>
          <w:rFonts w:ascii="Arial" w:cs="Arial" w:eastAsia="Arial" w:hAnsi="Arial"/>
          <w:sz w:val="15"/>
          <w:szCs w:val="15"/>
          <w:color w:val="auto"/>
        </w:rPr>
        <w:t>For the years ended December 31, 2005, 2006 and 2007, contract research revenues from agencies of the U.S. government accounted for approximately 70%, 87% and 68%, respectively, of total revenues for the same period. See Note 15 for additional details concerning our relationship with major customers.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License Revenues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Amounts received from third parties for licenses to our intellectual property are recognized when earned under the terms of the agreements. Revenues are recognized upon transfer of the license unless we have continuing obligations for which fair value cannot be established, in which case the revenues are recognized over the period of the obligation. If there are extended payment terms, license fee revenues are recognized as these payments become due and collection is probable. We consider all arrangements with payment terms extending beyond 12 months not to be fixed and determinable.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Certain of our license arrangements have also required us to enter into research and development agreements. We apply the guidance from the Emerging Issues Taskforce Consensus on Issue 00-21, </w:t>
      </w:r>
      <w:r>
        <w:rPr>
          <w:rFonts w:ascii="Arial" w:cs="Arial" w:eastAsia="Arial" w:hAnsi="Arial"/>
          <w:sz w:val="16"/>
          <w:szCs w:val="16"/>
          <w:i w:val="1"/>
          <w:iCs w:val="1"/>
          <w:color w:val="auto"/>
        </w:rPr>
        <w:t>Revenue Arrangements with Multiple—Deliverables</w:t>
      </w:r>
      <w:r>
        <w:rPr>
          <w:rFonts w:ascii="Arial" w:cs="Arial" w:eastAsia="Arial" w:hAnsi="Arial"/>
          <w:sz w:val="16"/>
          <w:szCs w:val="16"/>
          <w:color w:val="auto"/>
        </w:rPr>
        <w:t xml:space="preserve"> (EITF 00-21). Accordingly, we allocate our arrangement fees to the various elements based upon objective reliable evidence of fair value, if available. For those arrangements in which evidence of fair value is not available, we defer revenues from any up-front payments and recognize them over the service period in the arrangement. Certain of these arrangements also include the payment of performance bonuses based upon the achievement of specific milestones. Generally, there are no assurances at the onset of these arrangements that the milestones will be achieved. As such, fees related to such milestones are excluded from the initial allocation of the arrangement fee in accordance with EITF 00-21 and are recognized upon achievement of the milestone provided that all other revenue recognition criteria are met.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Revenues from product sales are generated by the sale of commercial products and services under various sales programs to the end user and through distribution channels. We sell fiber optic sensing systems to end users for use in numerous fiber-optic based measurement applications. Revenues are recorded net of applicable sales taxes collected from customers and payable to state or local governmental entities.</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Revenues from product sales that require no ongoing obligations are recognized as revenues when shipped to the customer, title has passed and collection is reasonably assured. In transactions where a right-of-return exists, revenues are deferred until acceptance has occurred and the period for the right-of-return has lapsed. As of December 31, 2005, 2006 and 2007, we have not entered into sales transactions where rights of return exist.</w:t>
      </w:r>
    </w:p>
    <w:p>
      <w:pPr>
        <w:spacing w:after="0" w:line="107"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 xml:space="preserve">Our products usually include software as a significant and integral component. After considering the requirements of SOP 97-2, </w:t>
      </w:r>
      <w:r>
        <w:rPr>
          <w:rFonts w:ascii="Arial" w:cs="Arial" w:eastAsia="Arial" w:hAnsi="Arial"/>
          <w:sz w:val="16"/>
          <w:szCs w:val="16"/>
          <w:i w:val="1"/>
          <w:iCs w:val="1"/>
          <w:color w:val="auto"/>
        </w:rPr>
        <w:t>Software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we have concluded that our product sales do not include multiple elements which would require allocating revenue among product and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and deferring recognition of revenue relating to the software or other components of any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Uncollectible Receivables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Accounts receivable are recorded at their face amount, less an allowance for doubtful accounts. We review the status of our uncollected receivables on a regular basis. In determining the need for an allowance for uncollectible receivables, we consider our customers financial stability, past payment history and other factors that bear on the ultimate collection of such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all highly liquid investments purchased with maturities of three months or less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financial instruments include cash and cash equivalents, accounts receivables, accounts payable, a line-of-credit and accrued liabilities. The carrying amounts of financial instruments approximate fair value due to their short maturities. Additionally, the line-of-credit is subject to a variable interest rate based upon the prime rate as published by the Wall Street Journal.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Property and equipment are stated at cost less accumulated depreciation. We record depreciation using the straight-line method over the following estimated useful lives: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616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3 – 7 years</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160" w:type="dxa"/>
            <w:vAlign w:val="bottom"/>
          </w:tcPr>
          <w:p>
            <w:pPr>
              <w:ind w:left="1660"/>
              <w:spacing w:after="0"/>
              <w:rPr>
                <w:sz w:val="20"/>
                <w:szCs w:val="20"/>
                <w:color w:val="auto"/>
              </w:rPr>
            </w:pPr>
            <w:r>
              <w:rPr>
                <w:rFonts w:ascii="Arial" w:cs="Arial" w:eastAsia="Arial" w:hAnsi="Arial"/>
                <w:sz w:val="18"/>
                <w:szCs w:val="18"/>
                <w:color w:val="auto"/>
              </w:rPr>
              <w:t>7 years</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616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3 years</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160" w:type="dxa"/>
            <w:vAlign w:val="bottom"/>
          </w:tcPr>
          <w:p>
            <w:pPr>
              <w:ind w:left="1660"/>
              <w:spacing w:after="0"/>
              <w:rPr>
                <w:sz w:val="20"/>
                <w:szCs w:val="20"/>
                <w:color w:val="auto"/>
              </w:rPr>
            </w:pPr>
            <w:r>
              <w:rPr>
                <w:rFonts w:ascii="Arial" w:cs="Arial" w:eastAsia="Arial" w:hAnsi="Arial"/>
                <w:sz w:val="18"/>
                <w:szCs w:val="18"/>
                <w:color w:val="auto"/>
              </w:rPr>
              <w:t>Lesser of lease term or life of improvements</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Intangible assets consist of goodwill and patents related to certain intellectual property that we have developed or acquired. Goodwill represents the excess of the cost of an acquired entity over the net amounts assigned to tangible and intangible assets acquired and liabilities assumed. Intangible assets, primarily consisting of patent costs, are carried at cost and are amortized over a period of five years. We apply the provisions of SFAS No. 142 </w:t>
      </w:r>
      <w:r>
        <w:rPr>
          <w:rFonts w:ascii="Arial" w:cs="Arial" w:eastAsia="Arial" w:hAnsi="Arial"/>
          <w:sz w:val="16"/>
          <w:szCs w:val="16"/>
          <w:i w:val="1"/>
          <w:iCs w:val="1"/>
          <w:color w:val="auto"/>
        </w:rPr>
        <w:t>Goodwill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Intangible Assets</w:t>
      </w:r>
      <w:r>
        <w:rPr>
          <w:rFonts w:ascii="Arial" w:cs="Arial" w:eastAsia="Arial" w:hAnsi="Arial"/>
          <w:sz w:val="16"/>
          <w:szCs w:val="16"/>
          <w:color w:val="auto"/>
        </w:rPr>
        <w:t>, which requires allocating goodwill to each reporting unit and testing for impairment using a two-step approach. We perform a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test annually or whenever an event has occurred that would more likely than not reduce the fair value of a reporting unit below its carrying amounts.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Research and development costs not related to contract performance are expensed as incurred. We expensed $1.3 million and $2.3 million of non-contract related research and development for the years ended December 31, 2007, and December 31, 2006, respectively. For the year ending December 31, 2005, non-contract related research and development costs were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did not capitalize any software development costs during the years ended December 31, 2007 and December 31, 2006. We capitalized costs of</w:t>
      </w:r>
    </w:p>
    <w:p>
      <w:pPr>
        <w:spacing w:after="0" w:line="38"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$122,642 for the year ended December 31, 2005. Costs related to the development of new software products and significant enhancements to existing software products are expensed as incurred until technological feasibility has been established and are amortized over three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account for long-lived assets in accordance with the provisions of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SFAS No. 144 requires that long-lived assets and certain identifiable intangibles be reviewed for impairment whenever events or changes in circumstances indicate that the carrying amount of an asset may not be recoverable. Recoverability of assets is measured by comparing the carrying amount of an asset to future undiscounted net cash flows expected to be generated by the asset. If such assets are considered to be impaired, the impairment to be recognized is measured by the amount by which the carrying amount of the assets exceeds their fair value. Assets to be disposed of by sale are reflected at the lower of their carrying amount or fair value less cost to sell.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Inventory consists of finished goods and parts valued at the lower of cost (determined on the first-in, first-out basis) or market. We provide reserves for estimated obsolescence or unmarketable inventory equal to the difference between the cost of the inventory and the estimated market value based upon assumptions about future demand and market conditions. Inventory reserves at December 31,2007 and 2006 were $41,108 and $40,943,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w:t>
      </w:r>
    </w:p>
    <w:p>
      <w:pPr>
        <w:spacing w:after="0" w:line="90"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We compute net income (loss) per share in accordance with SFAS No. 128, </w:t>
      </w:r>
      <w:r>
        <w:rPr>
          <w:rFonts w:ascii="Arial" w:cs="Arial" w:eastAsia="Arial" w:hAnsi="Arial"/>
          <w:sz w:val="15"/>
          <w:szCs w:val="15"/>
          <w:i w:val="1"/>
          <w:iCs w:val="1"/>
          <w:color w:val="auto"/>
        </w:rPr>
        <w:t>Earnings Per Share</w:t>
      </w:r>
      <w:r>
        <w:rPr>
          <w:rFonts w:ascii="Arial" w:cs="Arial" w:eastAsia="Arial" w:hAnsi="Arial"/>
          <w:sz w:val="15"/>
          <w:szCs w:val="15"/>
          <w:color w:val="auto"/>
        </w:rPr>
        <w:t>. Basic per share data is computed by dividing income (loss) available to common stockholders by the weighted average number of shares outstanding during the period. Diluted per share data is computed by dividing income (loss) available to common stockholders by the weighted average shares outstanding during the period increased to include, if dilutive, the number of additional common share equivalents that would have been outstanding if potential common shares had been issued using the treasury stock method. Diluted per share data would also include the potential common share equivalents relating to convertible securities by application of the if-converted method.</w:t>
      </w:r>
    </w:p>
    <w:p>
      <w:pPr>
        <w:spacing w:after="0" w:line="10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The effect of 3,727,496 and 3,541,393 common stock equivalents (which include outstanding warrants and stock options) are not included for the year ended December 31, 2006 and 2007, respectively, as they are antidilutive to earnings per share. In addition, the conversion of the $5.0 million in senior convertible promissory notes would have been antidilutive.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We have a stock-based compensation plan, which is described further in Note 8. Effective January 1, 2006, we adopted SFAS No. 123R, </w:t>
      </w:r>
      <w:r>
        <w:rPr>
          <w:rFonts w:ascii="Arial" w:cs="Arial" w:eastAsia="Arial" w:hAnsi="Arial"/>
          <w:sz w:val="16"/>
          <w:szCs w:val="16"/>
          <w:i w:val="1"/>
          <w:iCs w:val="1"/>
          <w:color w:val="auto"/>
        </w:rPr>
        <w:t>Share 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w:t>
      </w:r>
      <w:r>
        <w:rPr>
          <w:rFonts w:ascii="Arial" w:cs="Arial" w:eastAsia="Arial" w:hAnsi="Arial"/>
          <w:sz w:val="16"/>
          <w:szCs w:val="16"/>
          <w:color w:val="auto"/>
        </w:rPr>
        <w:t>(SFAS No. 123R) using the modified prospective transition method. New awards and awards modified, repurchased or cancelled after January 1, 2006</w:t>
      </w:r>
      <w:r>
        <w:rPr>
          <w:rFonts w:ascii="Arial" w:cs="Arial" w:eastAsia="Arial" w:hAnsi="Arial"/>
          <w:sz w:val="16"/>
          <w:szCs w:val="16"/>
          <w:i w:val="1"/>
          <w:iCs w:val="1"/>
          <w:color w:val="auto"/>
        </w:rPr>
        <w:t xml:space="preserve"> </w:t>
      </w:r>
      <w:r>
        <w:rPr>
          <w:rFonts w:ascii="Arial" w:cs="Arial" w:eastAsia="Arial" w:hAnsi="Arial"/>
          <w:sz w:val="16"/>
          <w:szCs w:val="16"/>
          <w:color w:val="auto"/>
        </w:rPr>
        <w:t>trigger compensation expense based on the fair value of the stock option as determined by the Black-Scholes option pricing model. We amortize stock-based compensation for such awards on a straight-line method over the related service period of the awards taking into account the effects of the employees’ expected exercise and post-vesting employment termination behavior.</w:t>
      </w:r>
    </w:p>
    <w:p>
      <w:pPr>
        <w:spacing w:after="0" w:line="1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For the periods prior to 2006, we accounted for stock-based employee compensation arrangements using the intrinsic value method in accordance with the provisions of Accounting Principles Board Opinion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amendments and interpretations. We complied with the disclosure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as amended by SFAS No. 148, </w:t>
      </w:r>
      <w:r>
        <w:rPr>
          <w:rFonts w:ascii="Arial" w:cs="Arial" w:eastAsia="Arial" w:hAnsi="Arial"/>
          <w:sz w:val="16"/>
          <w:szCs w:val="16"/>
          <w:i w:val="1"/>
          <w:iCs w:val="1"/>
          <w:color w:val="auto"/>
        </w:rPr>
        <w:t>Accounting for Stock 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Compensation—Transition and Disclosure</w:t>
      </w:r>
      <w:r>
        <w:rPr>
          <w:rFonts w:ascii="Arial" w:cs="Arial" w:eastAsia="Arial" w:hAnsi="Arial"/>
          <w:sz w:val="16"/>
          <w:szCs w:val="16"/>
          <w:color w:val="auto"/>
        </w:rPr>
        <w:t>, which requires fair value recognition for employee stock-based compensation. We account for equity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to non-employees in accordance with the provisions of SFAS 123R and Emerging Issues Task Force (EITF) Issue No. 96-18.</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each option granted is estimated as of the grant date using the Black-Scholes option pricing model with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2005</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 – 4.6%</w:t>
            </w:r>
          </w:p>
        </w:tc>
        <w:tc>
          <w:tcPr>
            <w:tcW w:w="9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4.55%</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4.27 – 4.77%</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Expected life of option-years</w:t>
            </w:r>
          </w:p>
        </w:tc>
        <w:tc>
          <w:tcPr>
            <w:tcW w:w="1020" w:type="dxa"/>
            <w:vAlign w:val="bottom"/>
          </w:tcPr>
          <w:p>
            <w:pPr>
              <w:jc w:val="center"/>
              <w:spacing w:after="0"/>
              <w:rPr>
                <w:sz w:val="20"/>
                <w:szCs w:val="20"/>
                <w:color w:val="auto"/>
              </w:rPr>
            </w:pPr>
            <w:r>
              <w:rPr>
                <w:rFonts w:ascii="Arial" w:cs="Arial" w:eastAsia="Arial" w:hAnsi="Arial"/>
                <w:sz w:val="18"/>
                <w:szCs w:val="18"/>
                <w:color w:val="auto"/>
                <w:w w:val="87"/>
              </w:rPr>
              <w:t>4.5 – 7</w:t>
            </w:r>
          </w:p>
        </w:tc>
        <w:tc>
          <w:tcPr>
            <w:tcW w:w="940" w:type="dxa"/>
            <w:vAlign w:val="bottom"/>
            <w:gridSpan w:val="2"/>
          </w:tcPr>
          <w:p>
            <w:pPr>
              <w:jc w:val="center"/>
              <w:ind w:left="252"/>
              <w:spacing w:after="0"/>
              <w:rPr>
                <w:sz w:val="20"/>
                <w:szCs w:val="20"/>
                <w:color w:val="auto"/>
              </w:rPr>
            </w:pPr>
            <w:r>
              <w:rPr>
                <w:rFonts w:ascii="Arial" w:cs="Arial" w:eastAsia="Arial" w:hAnsi="Arial"/>
                <w:sz w:val="18"/>
                <w:szCs w:val="18"/>
                <w:color w:val="auto"/>
                <w:w w:val="79"/>
              </w:rPr>
              <w:t>7</w:t>
            </w:r>
          </w:p>
        </w:tc>
        <w:tc>
          <w:tcPr>
            <w:tcW w:w="1600" w:type="dxa"/>
            <w:vAlign w:val="bottom"/>
            <w:gridSpan w:val="2"/>
          </w:tcPr>
          <w:p>
            <w:pPr>
              <w:jc w:val="center"/>
              <w:ind w:left="252"/>
              <w:spacing w:after="0"/>
              <w:rPr>
                <w:sz w:val="20"/>
                <w:szCs w:val="20"/>
                <w:color w:val="auto"/>
              </w:rPr>
            </w:pPr>
            <w:r>
              <w:rPr>
                <w:rFonts w:ascii="Arial" w:cs="Arial" w:eastAsia="Arial" w:hAnsi="Arial"/>
                <w:sz w:val="18"/>
                <w:szCs w:val="18"/>
                <w:color w:val="auto"/>
                <w:w w:val="87"/>
              </w:rPr>
              <w:t>7.5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64%</w:t>
            </w:r>
          </w:p>
        </w:tc>
        <w:tc>
          <w:tcPr>
            <w:tcW w:w="94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8"/>
              </w:rPr>
              <w:t>64%</w:t>
            </w:r>
          </w:p>
        </w:tc>
        <w:tc>
          <w:tcPr>
            <w:tcW w:w="16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0"/>
              </w:rPr>
              <w:t>56.8%</w:t>
            </w:r>
          </w:p>
        </w:tc>
      </w:tr>
      <w:tr>
        <w:trPr>
          <w:trHeight w:val="222"/>
        </w:trPr>
        <w:tc>
          <w:tcPr>
            <w:tcW w:w="7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tcPr>
          <w:p>
            <w:pPr>
              <w:ind w:left="50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risk-free interest rate is based on US Treasury interest rates, the terms of which are consistent with the expected life of the stock options. Expected volatility is based upon an average volatility of comparable public companies, since our common stock has only been trading since June 2006. The expected life and estimated post employment termination behavior is based upon historical experience of homogeneous groups within our company.</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During the year ended December 31, 2007 we granted 986,900 options to purchase shares of our common stock. We recognized $2.4 million in share-based payment expense, and we will recognize $6.5 million over the remaining requisite service period.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expense the cost of advertising as incurred. Such amounts have not historically been significant to our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account for income taxes using the liability method. Deferred tax assets or liabilities are determined based on the difference between the financial statement and tax basis of assets and liabilities as measured by the enacted tax rates which will be in effect when the differences reverse. A valuation allowance against net deferred assets is provided unless we conclude it is more likely than not that the deferred tax assets will be realized.</w:t>
      </w:r>
    </w:p>
    <w:p>
      <w:pPr>
        <w:spacing w:after="0" w:line="10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We also use the provisions of FASB Interpretation (FIN) No.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(FIN 48), in determining the recognition threshold and measurement attribute for financial statement recognition and measurement of a tax position taken or expected to be taken in a tax return. We adopted FIN 48 beginning January 1, 2007, and the adoption did not have a material impact on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SFAS No. 159 permits entities to choose to measure many financial instruments and certain other items at fair value. Unrealized gains</w:t>
      </w:r>
      <w:r>
        <w:rPr>
          <w:rFonts w:ascii="Arial" w:cs="Arial" w:eastAsia="Arial" w:hAnsi="Arial"/>
          <w:sz w:val="18"/>
          <w:szCs w:val="18"/>
          <w:i w:val="1"/>
          <w:iCs w:val="1"/>
          <w:color w:val="auto"/>
        </w:rPr>
        <w:t xml:space="preserve"> </w:t>
      </w:r>
      <w:r>
        <w:rPr>
          <w:rFonts w:ascii="Arial" w:cs="Arial" w:eastAsia="Arial" w:hAnsi="Arial"/>
          <w:sz w:val="18"/>
          <w:szCs w:val="18"/>
          <w:color w:val="auto"/>
        </w:rPr>
        <w:t>and losses on items for which the fair value option has been elected will be recognized in earnings at each subsequent reporting date. We do not believe the adoption of SFAS No. 159 will have a material impact on our financial statements.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SFAS No. 157 defines fair value, establishes a framework for measuring fair value and expands disclosure requirements about fair value measurements. We believe that the adoption of SFAS No. 157 will not have a material impact on our consolidated financial statements.</w:t>
      </w:r>
    </w:p>
    <w:p>
      <w:pPr>
        <w:spacing w:after="0" w:line="25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Receivable—Trade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 of the following at: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$ 5,019,325</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6,898,762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Unbilled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2,123,945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2,790,560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109,146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$ 7,252,416</w:t>
            </w:r>
          </w:p>
        </w:tc>
        <w:tc>
          <w:tcPr>
            <w:tcW w:w="28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9,746,144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$ 7,233,406</w:t>
            </w:r>
          </w:p>
        </w:tc>
        <w:tc>
          <w:tcPr>
            <w:tcW w:w="28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9,716,610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Unbilled receivables result from contract retainages and revenues that have been earned in advance of billing and can be invoiced at contractually defined intervals or milestones, or at completion of the contract. Advance payments on uncompleted contracts were $91,124 and $449,362 for the periods ended December 31, 2006 and 2007, respectively. Such amounts are recorded as deferred credit until earned.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80"/>
          </w:cols>
          <w:pgMar w:left="240" w:top="459" w:right="3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at: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1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$ 4,518,091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5,525,092</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080" w:type="dxa"/>
            <w:vAlign w:val="bottom"/>
            <w:gridSpan w:val="3"/>
          </w:tcPr>
          <w:p>
            <w:pPr>
              <w:jc w:val="right"/>
              <w:ind w:right="320"/>
              <w:spacing w:after="0"/>
              <w:rPr>
                <w:sz w:val="20"/>
                <w:szCs w:val="20"/>
                <w:color w:val="auto"/>
              </w:rPr>
            </w:pPr>
            <w:r>
              <w:rPr>
                <w:rFonts w:ascii="Arial" w:cs="Arial" w:eastAsia="Arial" w:hAnsi="Arial"/>
                <w:sz w:val="18"/>
                <w:szCs w:val="18"/>
                <w:color w:val="auto"/>
              </w:rPr>
              <w:t>486,474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607,682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4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970,564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1,106,893</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3,175,598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3,193,048</w:t>
            </w:r>
          </w:p>
        </w:tc>
        <w:tc>
          <w:tcPr>
            <w:tcW w:w="80" w:type="dxa"/>
            <w:vAlign w:val="bottom"/>
          </w:tcPr>
          <w:p>
            <w:pPr>
              <w:spacing w:after="0"/>
              <w:rPr>
                <w:sz w:val="19"/>
                <w:szCs w:val="19"/>
                <w:color w:val="auto"/>
              </w:rPr>
            </w:pPr>
          </w:p>
        </w:tc>
      </w:tr>
      <w:tr>
        <w:trPr>
          <w:trHeight w:val="216"/>
        </w:trPr>
        <w:tc>
          <w:tcPr>
            <w:tcW w:w="518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9,150,727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10,432,715</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Less—accumulated depreciation</w:t>
            </w:r>
          </w:p>
        </w:tc>
        <w:tc>
          <w:tcPr>
            <w:tcW w:w="28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(3,420,633)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(4,573,200)</w:t>
            </w:r>
          </w:p>
        </w:tc>
      </w:tr>
      <w:tr>
        <w:trPr>
          <w:trHeight w:val="27"/>
        </w:trPr>
        <w:tc>
          <w:tcPr>
            <w:tcW w:w="51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1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$ 5,730,094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5,859,515</w:t>
            </w:r>
          </w:p>
        </w:tc>
      </w:tr>
      <w:tr>
        <w:trPr>
          <w:trHeight w:val="20"/>
        </w:trPr>
        <w:tc>
          <w:tcPr>
            <w:tcW w:w="51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for the periods ended December 31, 2005, 2006, and 2007 as approximately $380,000, $775,000 and $1,246,000, respectively.</w:t>
      </w:r>
    </w:p>
    <w:p>
      <w:pPr>
        <w:spacing w:after="0" w:line="31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intangible assets: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418,073</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418,073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Patent costs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1,508,954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1,815,756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capitalized intellectual property rights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577,644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537,299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(473,182)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(859,996)</w:t>
            </w:r>
          </w:p>
        </w:tc>
      </w:tr>
      <w:tr>
        <w:trPr>
          <w:trHeight w:val="27"/>
        </w:trPr>
        <w:tc>
          <w:tcPr>
            <w:tcW w:w="56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2,031,489</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1,911,132</w:t>
            </w:r>
          </w:p>
        </w:tc>
      </w:tr>
      <w:tr>
        <w:trPr>
          <w:trHeight w:val="20"/>
        </w:trPr>
        <w:tc>
          <w:tcPr>
            <w:tcW w:w="56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Amortization for the periods ended December 31, 2005, 2006, and 2007 was approximately $160,000, $346,000, and $535,000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No impairment loss was recognized for the period ending December 31, 2007.</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Estimated aggregate amortization for each of the next five years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7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509,674</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2009</w:t>
            </w: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417,589</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309,814</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2011</w:t>
            </w:r>
          </w:p>
        </w:tc>
        <w:tc>
          <w:tcPr>
            <w:tcW w:w="6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189,125</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6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48,863</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1,493,059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6980" w:type="dxa"/>
            <w:vAlign w:val="bottom"/>
            <w:vMerge w:val="restart"/>
          </w:tcPr>
          <w:p>
            <w:pPr>
              <w:jc w:val="right"/>
              <w:ind w:right="3632"/>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62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 of the following at: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liabilities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1,137,576</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1,386,239</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726,807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526,204</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and bonuses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240,997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1,341,436</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Accrued royalty</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148,247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221,810</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864,064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884,660</w:t>
            </w:r>
          </w:p>
        </w:tc>
        <w:tc>
          <w:tcPr>
            <w:tcW w:w="2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304,704</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600,822</w:t>
            </w:r>
          </w:p>
        </w:tc>
        <w:tc>
          <w:tcPr>
            <w:tcW w:w="20" w:type="dxa"/>
            <w:vAlign w:val="bottom"/>
          </w:tcPr>
          <w:p>
            <w:pPr>
              <w:spacing w:after="0"/>
              <w:rPr>
                <w:sz w:val="18"/>
                <w:szCs w:val="18"/>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204,882</w:t>
            </w: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370,627</w:t>
            </w:r>
          </w:p>
        </w:tc>
        <w:tc>
          <w:tcPr>
            <w:tcW w:w="20" w:type="dxa"/>
            <w:vAlign w:val="bottom"/>
          </w:tcPr>
          <w:p>
            <w:pPr>
              <w:spacing w:after="0"/>
              <w:rPr>
                <w:sz w:val="18"/>
                <w:szCs w:val="18"/>
                <w:color w:val="auto"/>
              </w:rPr>
            </w:pPr>
          </w:p>
        </w:tc>
      </w:tr>
      <w:tr>
        <w:trPr>
          <w:trHeight w:val="222"/>
        </w:trPr>
        <w:tc>
          <w:tcPr>
            <w:tcW w:w="81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3,627,277</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5,331,798</w:t>
            </w:r>
          </w:p>
        </w:tc>
      </w:tr>
      <w:tr>
        <w:trPr>
          <w:trHeight w:val="20"/>
        </w:trPr>
        <w:tc>
          <w:tcPr>
            <w:tcW w:w="8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9660" w:firstLine="8"/>
        <w:spacing w:after="0" w:line="417" w:lineRule="auto"/>
        <w:tabs>
          <w:tab w:leader="none" w:pos="446"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Agreements </w:t>
      </w:r>
      <w:r>
        <w:rPr>
          <w:rFonts w:ascii="Arial" w:cs="Arial" w:eastAsia="Arial" w:hAnsi="Arial"/>
          <w:sz w:val="15"/>
          <w:szCs w:val="15"/>
          <w:i w:val="1"/>
          <w:iCs w:val="1"/>
          <w:color w:val="auto"/>
        </w:rPr>
        <w:t>Working Capital Facility</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a line of credit agreement with First National Bank (FNB) in December 2001. This agreement, as amended, enabled us to borrow up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$3,000,000, subject to an eligible borrowing base, with interest payable monthly based upon the Wall Street Journal prime rate. The line of credit is collateralized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a blanket interest in our assets and is subject to certain financial covenants.</w:t>
      </w:r>
    </w:p>
    <w:p>
      <w:pPr>
        <w:spacing w:after="0" w:line="165"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received a modified commitment for renewal of the line of credit in June 2007. Under the June 2007 commitment, we may draw up to $3,000,000 for working capital needs. Interest accrues on any outstanding balance at the Wall Street Journal prime rate. The agreement also includes a $1.0 million sub-limit under the line of credit for the issuance of letters of credit. FNB issued a letter of credit on our behalf to the Industrial Development Authority of Montgomery County, Virginia, in connection with our execution of an office lease. As of October 1, 2007, the balance of the letter of credit was $599,583 in connection with scheduled future rent payments due. There were no outstanding borrowings under this line of credit as of December 31, 2006 or 2007.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Virginia Tech Foundation Note</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connection with the Luna Technologies acquisition, we assumed a promissory note due to the Virginia Tech Foundation for $214,955. The principal amount was paid in full on January 31, 2007, and the note was extinguished.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more fully described in Note 12, we have outstanding promissory notes of $5,000,000 in the aggregate which are convertible, at the option of the holder, into shares of our Common Stock. The notes accrue simple interest at a rate of 6% annually and mature on December 30, 2009.</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table presents a summary of debt at </w:t>
      </w:r>
      <w:r>
        <w:rPr>
          <w:rFonts w:ascii="Arial" w:cs="Arial" w:eastAsia="Arial" w:hAnsi="Arial"/>
          <w:sz w:val="18"/>
          <w:szCs w:val="18"/>
          <w:i w:val="1"/>
          <w:iCs w:val="1"/>
          <w:color w:val="auto"/>
        </w:rPr>
        <w:t>December 31, 2006 and 2007.</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Carilion Health Systems financing (see note 12)</w:t>
            </w:r>
          </w:p>
        </w:tc>
        <w:tc>
          <w:tcPr>
            <w:tcW w:w="4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5,000,000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Virginia Tech Foundation</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214,955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5,214,955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5,000,000</w:t>
            </w:r>
          </w:p>
        </w:tc>
        <w:tc>
          <w:tcPr>
            <w:tcW w:w="0" w:type="dxa"/>
            <w:vAlign w:val="bottom"/>
          </w:tcPr>
          <w:p>
            <w:pPr>
              <w:spacing w:after="0"/>
              <w:rPr>
                <w:sz w:val="1"/>
                <w:szCs w:val="1"/>
                <w:color w:val="auto"/>
              </w:rPr>
            </w:pPr>
          </w:p>
        </w:tc>
      </w:tr>
      <w:tr>
        <w:trPr>
          <w:trHeight w:val="218"/>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payable</w:t>
            </w: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(214,955)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tcPr>
          <w:p>
            <w:pPr>
              <w:spacing w:after="0"/>
              <w:rPr>
                <w:sz w:val="19"/>
                <w:szCs w:val="19"/>
                <w:color w:val="auto"/>
              </w:rPr>
            </w:pPr>
          </w:p>
        </w:tc>
        <w:tc>
          <w:tcPr>
            <w:tcW w:w="4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5,000,000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5,000,000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900" w:type="dxa"/>
            <w:vAlign w:val="bottom"/>
            <w:vMerge w:val="restart"/>
          </w:tcPr>
          <w:p>
            <w:pPr>
              <w:jc w:val="right"/>
              <w:ind w:right="2752"/>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maturities of long-term debt as of December 31, 2007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600" w:type="dxa"/>
            <w:vAlign w:val="bottom"/>
            <w:shd w:val="clear" w:color="auto" w:fill="CCEEFF"/>
          </w:tcPr>
          <w:p>
            <w:pPr>
              <w:jc w:val="right"/>
              <w:ind w:right="6632"/>
              <w:spacing w:after="0"/>
              <w:rPr>
                <w:sz w:val="20"/>
                <w:szCs w:val="20"/>
                <w:color w:val="auto"/>
              </w:rPr>
            </w:pPr>
            <w:r>
              <w:rPr>
                <w:rFonts w:ascii="Arial" w:cs="Arial" w:eastAsia="Arial" w:hAnsi="Arial"/>
                <w:sz w:val="18"/>
                <w:szCs w:val="18"/>
                <w:color w:val="auto"/>
                <w:w w:val="86"/>
              </w:rPr>
              <w:t>Year ending December 31,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8600" w:type="dxa"/>
            <w:vAlign w:val="bottom"/>
          </w:tcPr>
          <w:p>
            <w:pPr>
              <w:jc w:val="right"/>
              <w:ind w:right="7732"/>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8600" w:type="dxa"/>
            <w:vAlign w:val="bottom"/>
            <w:shd w:val="clear" w:color="auto" w:fill="CCEEFF"/>
          </w:tcPr>
          <w:p>
            <w:pPr>
              <w:jc w:val="right"/>
              <w:ind w:right="7732"/>
              <w:spacing w:after="0"/>
              <w:rPr>
                <w:sz w:val="20"/>
                <w:szCs w:val="20"/>
                <w:color w:val="auto"/>
              </w:rPr>
            </w:pPr>
            <w:r>
              <w:rPr>
                <w:rFonts w:ascii="Arial" w:cs="Arial" w:eastAsia="Arial" w:hAnsi="Arial"/>
                <w:sz w:val="18"/>
                <w:szCs w:val="18"/>
                <w:color w:val="auto"/>
              </w:rPr>
              <w:t>2009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5,000,000</w:t>
            </w:r>
          </w:p>
        </w:tc>
      </w:tr>
      <w:tr>
        <w:trPr>
          <w:trHeight w:val="222"/>
        </w:trPr>
        <w:tc>
          <w:tcPr>
            <w:tcW w:w="8600" w:type="dxa"/>
            <w:vAlign w:val="bottom"/>
          </w:tcPr>
          <w:p>
            <w:pPr>
              <w:jc w:val="right"/>
              <w:ind w:right="6932"/>
              <w:spacing w:after="0"/>
              <w:rPr>
                <w:sz w:val="20"/>
                <w:szCs w:val="20"/>
                <w:color w:val="auto"/>
              </w:rPr>
            </w:pPr>
            <w:r>
              <w:rPr>
                <w:rFonts w:ascii="Arial" w:cs="Arial" w:eastAsia="Arial" w:hAnsi="Arial"/>
                <w:sz w:val="18"/>
                <w:szCs w:val="18"/>
                <w:color w:val="auto"/>
              </w:rPr>
              <w:t>Total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4"/>
              </w:rPr>
              <w:t>5,000,000</w:t>
            </w: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Deferred tax assets and liabilities consist of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1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w w:val="88"/>
              </w:rPr>
              <w:t>$ 2,459,793</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293,253</w:t>
            </w:r>
          </w:p>
        </w:tc>
        <w:tc>
          <w:tcPr>
            <w:tcW w:w="16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180" w:type="dxa"/>
            <w:vAlign w:val="bottom"/>
            <w:gridSpan w:val="5"/>
          </w:tcPr>
          <w:p>
            <w:pPr>
              <w:jc w:val="right"/>
              <w:ind w:right="320"/>
              <w:spacing w:after="0"/>
              <w:rPr>
                <w:sz w:val="20"/>
                <w:szCs w:val="20"/>
                <w:color w:val="auto"/>
              </w:rPr>
            </w:pPr>
            <w:r>
              <w:rPr>
                <w:rFonts w:ascii="Arial" w:cs="Arial" w:eastAsia="Arial" w:hAnsi="Arial"/>
                <w:sz w:val="18"/>
                <w:szCs w:val="18"/>
                <w:color w:val="auto"/>
              </w:rPr>
              <w:t>4,330,740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7,030,624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250,253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799,299</w:t>
            </w:r>
          </w:p>
        </w:tc>
        <w:tc>
          <w:tcPr>
            <w:tcW w:w="16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813,949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438,191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8"/>
              </w:rPr>
              <w:t>(167,107)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(162,776)</w:t>
            </w:r>
          </w:p>
        </w:tc>
        <w:tc>
          <w:tcPr>
            <w:tcW w:w="16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27,541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gridSpan w:val="2"/>
          </w:tcPr>
          <w:p>
            <w:pPr>
              <w:jc w:val="right"/>
              <w:ind w:right="32"/>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Bad debt and inventory reserve</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99,498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16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7,814,667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4"/>
              </w:rPr>
              <w:t>8,425,407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5"/>
              </w:rPr>
              <w:t>(7,214,667)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(7,825,407)</w:t>
            </w:r>
          </w:p>
        </w:tc>
        <w:tc>
          <w:tcPr>
            <w:tcW w:w="160" w:type="dxa"/>
            <w:vAlign w:val="bottom"/>
            <w:tcBorders>
              <w:left w:val="single" w:sz="8" w:color="CCEEFF"/>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ind w:left="460"/>
              <w:spacing w:after="0"/>
              <w:rPr>
                <w:sz w:val="20"/>
                <w:szCs w:val="20"/>
                <w:color w:val="auto"/>
              </w:rPr>
            </w:pPr>
            <w:r>
              <w:rPr>
                <w:rFonts w:ascii="Arial" w:cs="Arial" w:eastAsia="Arial" w:hAnsi="Arial"/>
                <w:sz w:val="18"/>
                <w:szCs w:val="18"/>
                <w:color w:val="auto"/>
              </w:rPr>
              <w:t>Net deferred tax asset</w:t>
            </w:r>
          </w:p>
        </w:tc>
        <w:tc>
          <w:tcPr>
            <w:tcW w:w="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gridSpan w:val="2"/>
            <w:vMerge w:val="continue"/>
          </w:tcPr>
          <w:p>
            <w:pPr>
              <w:spacing w:after="0"/>
              <w:rPr>
                <w:sz w:val="19"/>
                <w:szCs w:val="19"/>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w w:val="95"/>
              </w:rPr>
              <w:t>600,000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600,000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00" w:type="dxa"/>
            <w:vAlign w:val="bottom"/>
            <w:gridSpan w:val="4"/>
          </w:tcPr>
          <w:p>
            <w:pPr>
              <w:ind w:left="460"/>
              <w:spacing w:after="0"/>
              <w:rPr>
                <w:sz w:val="20"/>
                <w:szCs w:val="20"/>
                <w:color w:val="auto"/>
              </w:rPr>
            </w:pPr>
            <w:r>
              <w:rPr>
                <w:rFonts w:ascii="Arial" w:cs="Arial" w:eastAsia="Arial" w:hAnsi="Arial"/>
                <w:sz w:val="18"/>
                <w:szCs w:val="18"/>
                <w:color w:val="auto"/>
                <w:w w:val="90"/>
              </w:rPr>
              <w:t>The reconciliation of expected income tax expense (benefit) to actual income tax expense (benefit) was as follows: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federal rate</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90"/>
              </w:rPr>
              <w:t>34.0%</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174"/>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State tax net of federal benefit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860" w:type="dxa"/>
            <w:vAlign w:val="bottom"/>
            <w:gridSpan w:val="4"/>
          </w:tcPr>
          <w:p>
            <w:pPr>
              <w:jc w:val="right"/>
              <w:ind w:right="174"/>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credit and carryforwards</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w w:val="90"/>
              </w:rPr>
              <w:t>22.9%</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ind w:right="174"/>
              <w:spacing w:after="0"/>
              <w:rPr>
                <w:sz w:val="20"/>
                <w:szCs w:val="20"/>
                <w:color w:val="auto"/>
              </w:rPr>
            </w:pPr>
            <w:r>
              <w:rPr>
                <w:rFonts w:ascii="Arial" w:cs="Arial" w:eastAsia="Arial" w:hAnsi="Arial"/>
                <w:sz w:val="18"/>
                <w:szCs w:val="18"/>
                <w:color w:val="auto"/>
                <w:w w:val="94"/>
              </w:rPr>
              <w:t>12.04%</w:t>
            </w: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(42.4%)</w:t>
            </w:r>
          </w:p>
        </w:tc>
        <w:tc>
          <w:tcPr>
            <w:tcW w:w="340" w:type="dxa"/>
            <w:vAlign w:val="bottom"/>
          </w:tcPr>
          <w:p>
            <w:pPr>
              <w:spacing w:after="0"/>
              <w:rPr>
                <w:sz w:val="18"/>
                <w:szCs w:val="18"/>
                <w:color w:val="auto"/>
              </w:rPr>
            </w:pPr>
          </w:p>
        </w:tc>
        <w:tc>
          <w:tcPr>
            <w:tcW w:w="860" w:type="dxa"/>
            <w:vAlign w:val="bottom"/>
            <w:gridSpan w:val="4"/>
          </w:tcPr>
          <w:p>
            <w:pPr>
              <w:jc w:val="right"/>
              <w:ind w:right="114"/>
              <w:spacing w:after="0"/>
              <w:rPr>
                <w:sz w:val="20"/>
                <w:szCs w:val="20"/>
                <w:color w:val="auto"/>
              </w:rPr>
            </w:pPr>
            <w:r>
              <w:rPr>
                <w:rFonts w:ascii="Arial" w:cs="Arial" w:eastAsia="Arial" w:hAnsi="Arial"/>
                <w:sz w:val="18"/>
                <w:szCs w:val="18"/>
                <w:color w:val="auto"/>
                <w:w w:val="87"/>
              </w:rPr>
              <w:t>(55.94%)</w:t>
            </w:r>
          </w:p>
        </w:tc>
        <w:tc>
          <w:tcPr>
            <w:tcW w:w="100" w:type="dxa"/>
            <w:vAlign w:val="bottom"/>
          </w:tcPr>
          <w:p>
            <w:pPr>
              <w:spacing w:after="0"/>
              <w:rPr>
                <w:sz w:val="18"/>
                <w:szCs w:val="18"/>
                <w:color w:val="auto"/>
              </w:rPr>
            </w:pPr>
          </w:p>
        </w:tc>
        <w:tc>
          <w:tcPr>
            <w:tcW w:w="800" w:type="dxa"/>
            <w:vAlign w:val="bottom"/>
            <w:gridSpan w:val="5"/>
          </w:tcPr>
          <w:p>
            <w:pPr>
              <w:jc w:val="right"/>
              <w:ind w:right="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 and other</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3.4%</w:t>
            </w:r>
          </w:p>
        </w:tc>
        <w:tc>
          <w:tcPr>
            <w:tcW w:w="34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gridSpan w:val="2"/>
          </w:tcPr>
          <w:p>
            <w:pPr>
              <w:jc w:val="right"/>
              <w:ind w:right="59"/>
              <w:spacing w:after="0"/>
              <w:rPr>
                <w:sz w:val="20"/>
                <w:szCs w:val="20"/>
                <w:color w:val="auto"/>
              </w:rPr>
            </w:pPr>
            <w:r>
              <w:rPr>
                <w:rFonts w:ascii="Arial" w:cs="Arial" w:eastAsia="Arial" w:hAnsi="Arial"/>
                <w:sz w:val="18"/>
                <w:szCs w:val="18"/>
                <w:color w:val="auto"/>
                <w:w w:val="90"/>
              </w:rPr>
              <w:t>21.8%</w:t>
            </w:r>
          </w:p>
        </w:tc>
        <w:tc>
          <w:tcPr>
            <w:tcW w:w="340" w:type="dxa"/>
            <w:vAlign w:val="bottom"/>
          </w:tcPr>
          <w:p>
            <w:pPr>
              <w:spacing w:after="0"/>
              <w:rPr>
                <w:sz w:val="19"/>
                <w:szCs w:val="19"/>
                <w:color w:val="auto"/>
              </w:rPr>
            </w:pPr>
          </w:p>
        </w:tc>
        <w:tc>
          <w:tcPr>
            <w:tcW w:w="860" w:type="dxa"/>
            <w:vAlign w:val="bottom"/>
            <w:gridSpan w:val="4"/>
          </w:tcPr>
          <w:p>
            <w:pPr>
              <w:jc w:val="right"/>
              <w:ind w:right="174"/>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800" w:type="dxa"/>
            <w:vAlign w:val="bottom"/>
            <w:gridSpan w:val="5"/>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income tax provision (benefit) consists of the following for:</w:t>
            </w: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24"/>
                <w:szCs w:val="24"/>
                <w:color w:val="auto"/>
              </w:rPr>
            </w:pPr>
          </w:p>
        </w:tc>
        <w:tc>
          <w:tcPr>
            <w:tcW w:w="86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24"/>
                <w:szCs w:val="24"/>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21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9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12,829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rPr>
              <w:t>Deferred Federal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w w:val="85"/>
              </w:rPr>
              <w:t>(523,817)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State</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8"/>
              </w:rPr>
              <w:t>(33,435)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w w:val="85"/>
              </w:rPr>
              <w:t>(557,252)</w:t>
            </w:r>
          </w:p>
        </w:tc>
        <w:tc>
          <w:tcPr>
            <w:tcW w:w="96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realization of our deferred income tax assets is dependent upon sufficient future taxable income in future periods that deductible temporary differences are expected to be available to reduce taxable income.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assessing whether deferred tax assets may be realized, we consider whether it is more likely than not that some portion, or all, of the deferred tax asset will be realized. We consider scheduled reversals of deferred tax liabilities, projected future taxable income, and tax planning strategies that we can implement in making our assessment. We have net operating loss carryforward at December 31, 2007 of approximately $18.9 million expiring at varying dates through 2026. We have recorded a refundable income tax receivable of approximately $396,000, representing net operating losses that we plan to carry back to recover income taxes previously paid. We have research &amp; development tax credit carryforwards of approximately $0.3 million which expire at varying dates through 2026.</w:t>
      </w:r>
    </w:p>
    <w:p>
      <w:pPr>
        <w:spacing w:after="0" w:line="10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tax benefit of $600,000 was recorded at December 31, 2006 and 2007, based upon management’s assessment that more likely than not, this portion of the entire deferred tax benefit will be realized in future periods.</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440" w:type="dxa"/>
            <w:vAlign w:val="bottom"/>
            <w:gridSpan w:val="2"/>
          </w:tcPr>
          <w:p>
            <w:pPr>
              <w:spacing w:after="0"/>
              <w:rPr>
                <w:sz w:val="20"/>
                <w:szCs w:val="20"/>
                <w:color w:val="auto"/>
              </w:rPr>
            </w:pPr>
            <w:r>
              <w:rPr>
                <w:rFonts w:ascii="Arial" w:cs="Arial" w:eastAsia="Arial" w:hAnsi="Arial"/>
                <w:sz w:val="18"/>
                <w:szCs w:val="18"/>
                <w:color w:val="auto"/>
              </w:rPr>
              <w:t>The change in our unrecognized tax benefits for the year ended December 31, 2007 was:</w:t>
            </w:r>
          </w:p>
        </w:tc>
        <w:tc>
          <w:tcPr>
            <w:tcW w:w="1600" w:type="dxa"/>
            <w:vAlign w:val="bottom"/>
          </w:tcPr>
          <w:p>
            <w:pPr>
              <w:spacing w:after="0"/>
              <w:rPr>
                <w:sz w:val="19"/>
                <w:szCs w:val="19"/>
                <w:color w:val="auto"/>
              </w:rPr>
            </w:pPr>
          </w:p>
        </w:tc>
      </w:tr>
      <w:tr>
        <w:trPr>
          <w:trHeight w:val="205"/>
        </w:trPr>
        <w:tc>
          <w:tcPr>
            <w:tcW w:w="46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January 1, 2007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Increases from positions taken during prior periods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Decreases from positions taken during prior periods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Increases from positions taken during the current period</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Decreases in unrecognized tax benefits relating to settlements with taxing authorities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Reductions to unrecognized tax benefits as a result of a lapse of applicable statute of limitations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are regularly examined by federal and various state tax authorities. The U.S. federal statute of limitations remains open for the year 2000 and onward. We currently have no federal income tax returns under examination. U.S. state jurisdictions have statutes of limitation generally ranging from three to seven years. We currently have no state income or franchise tax returns under examination. We currently do not file tax returns in any foreign tax jurisdiction.</w:t>
      </w:r>
    </w:p>
    <w:p>
      <w:pPr>
        <w:spacing w:after="0" w:line="10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currently have no positions for which we expect that the amount of unrecognized tax benefit will increase or decrease significantly within twelve months of the reporting date. We have no tax interest or penalties reported in either our statement of operations or statement of financial position for any year reported herein.</w:t>
      </w:r>
    </w:p>
    <w:p>
      <w:pPr>
        <w:spacing w:after="0" w:line="256" w:lineRule="exact"/>
        <w:rPr>
          <w:sz w:val="20"/>
          <w:szCs w:val="20"/>
          <w:color w:val="auto"/>
        </w:rPr>
      </w:pPr>
    </w:p>
    <w:p>
      <w:pPr>
        <w:ind w:right="9380" w:firstLine="8"/>
        <w:spacing w:after="0" w:line="391" w:lineRule="auto"/>
        <w:tabs>
          <w:tab w:leader="none" w:pos="446"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Stockholders’ Equity </w:t>
      </w:r>
      <w:r>
        <w:rPr>
          <w:rFonts w:ascii="Arial" w:cs="Arial" w:eastAsia="Arial" w:hAnsi="Arial"/>
          <w:sz w:val="16"/>
          <w:szCs w:val="16"/>
          <w:i w:val="1"/>
          <w:iCs w:val="1"/>
          <w:color w:val="auto"/>
        </w:rPr>
        <w:t>Reverse Stock split</w:t>
      </w:r>
    </w:p>
    <w:p>
      <w:pPr>
        <w:spacing w:after="0" w:line="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connection with our initial public offering, we affected a 1-for-1.7691911 reverse stock split of our common stock. All applicable share and per share amounts in the financial statements give retroactive effect to such split.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Upon the completion of our initial public offering all of the outstanding shares of Class A Common Stock, Class B Common Stock and Class C Common Stock were converted into one class of common stock on a one-for-one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February 2006, we issued 57,542 warrants for Class B Common Stock at an exercise price of $1.77 per share to former Luna Technologies shareholders to prevent dilution by a concurrent stock option grant. The warrants were valued using a Black-Scholes option pricing model with the following assumptions: risk-free rate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4.55%, expected volatility of 64%, and an expected life of 10 years, which equaled the contractual term. The aggregate fair value of the warrant was $418,074, and this amount was recorded as additional purchase price for the Luna Technologies acquisition. These warrants are currently exercisable for Luna Innovations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 Plan</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April 2003, we adopted the Luna Innovations Incorporated 2003 Stock Plan (the 2003 Plan). Under the 2003 Plan, our Board of Directors is authorized to grant both incentive and nonstatutory stock options to employees, directors and consultants of our Company to purchase Class B shares of Common Stock. Options generally have a life of 10 years and exercise price equal to or greater than the fair market value of the Class B Common Stock as determined by the Board of Directors. On February 4, 2006, our Board of Directors increased the number of shares reserved under the 2003 Plan to 9,715,000. A total of 4,460,759 and 3,473,859 were available for future grant as of December 31, 2006 and 2007, respectively.</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August 2003, our Board of Directors authorized an option exchange program expiring on September 19, 2003 whereby option holders of Class A Common Stock issued under the 1999 plan were given the opportunity to exchange their options for options to purchase Class B Common Stock on a one for one basis. The new option grants were immediately vested on the date of exchange, September 29, 2003, had an exercise price of $0.35 and a life of 10 years from the date of grant. Upon completion of the option exchange program, the 1999 plan was terminated.</w:t>
      </w:r>
    </w:p>
    <w:p>
      <w:pPr>
        <w:spacing w:after="0" w:line="113" w:lineRule="exact"/>
        <w:rPr>
          <w:sz w:val="20"/>
          <w:szCs w:val="20"/>
          <w:color w:val="auto"/>
        </w:rPr>
      </w:pPr>
    </w:p>
    <w:p>
      <w:pPr>
        <w:ind w:right="260" w:firstLine="456"/>
        <w:spacing w:after="0" w:line="335" w:lineRule="auto"/>
        <w:rPr>
          <w:sz w:val="20"/>
          <w:szCs w:val="20"/>
          <w:color w:val="auto"/>
        </w:rPr>
      </w:pPr>
      <w:r>
        <w:rPr>
          <w:rFonts w:ascii="Arial" w:cs="Arial" w:eastAsia="Arial" w:hAnsi="Arial"/>
          <w:sz w:val="15"/>
          <w:szCs w:val="15"/>
          <w:color w:val="auto"/>
        </w:rPr>
        <w:t>All of the outstanding options from the 1999 Plan had exercise prices in excess of the fair value of our Class A Common Stock as of the date of the exchange. As such, the option exchange was accounted for as a repricing in accordance with FIN 44. A total of 172,525 options were exchanged in connection with this transaction, of which 39,596, 22,335 and 22,335 were outstanding at December 31, 2005, December 31, 2006, and December 2007, respectively.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Vesting typically occurs over a five year period.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non-cash stock option expense for the years ended December 31, 2005, 2006 and 2007 was $168,926, $1,677,982 and $ 2,425,114 respectively.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activity of our stock options to purchase common stock: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Options Exercisable</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4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Price per</w:t>
            </w:r>
          </w:p>
        </w:tc>
        <w:tc>
          <w:tcPr>
            <w:tcW w:w="2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Aggregate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45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w:t>
            </w:r>
          </w:p>
        </w:tc>
        <w:tc>
          <w:tcPr>
            <w:tcW w:w="2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Intrinsic</w:t>
            </w:r>
          </w:p>
        </w:tc>
        <w:tc>
          <w:tcPr>
            <w:tcW w:w="7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7"/>
              </w:rPr>
              <w:t>Number of</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45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3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Range</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5"/>
              </w:rPr>
              <w:t>Value (1)</w:t>
            </w:r>
          </w:p>
        </w:tc>
        <w:tc>
          <w:tcPr>
            <w:tcW w:w="220" w:type="dxa"/>
            <w:vAlign w:val="bottom"/>
          </w:tcPr>
          <w:p>
            <w:pPr>
              <w:spacing w:after="0"/>
              <w:rPr>
                <w:sz w:val="14"/>
                <w:szCs w:val="1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Value (1)</w:t>
            </w:r>
          </w:p>
        </w:tc>
        <w:tc>
          <w:tcPr>
            <w:tcW w:w="20" w:type="dxa"/>
            <w:vAlign w:val="bottom"/>
          </w:tcPr>
          <w:p>
            <w:pPr>
              <w:spacing w:after="0"/>
              <w:rPr>
                <w:sz w:val="14"/>
                <w:szCs w:val="14"/>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2004</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2,242,581</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515,366</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1,594,885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366,519</w:t>
            </w: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(603,687)</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0.35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(238,173)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2,574,834</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0.35–1.77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3,975,555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0.35–1.77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3,962,864</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1,519,445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1,961,849</w:t>
            </w: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(178,444)</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0.35</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(271,648)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1,457,131</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1.77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2006</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4,982,594</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0.35–7.08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12,215,503</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2,322,665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6,935,997</w:t>
            </w: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(478,320)</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0.35–6.00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(743,359)</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0.35–1.77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tcPr>
          <w:p>
            <w:pPr>
              <w:ind w:left="44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986,900</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3.16–8.20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4,747,815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0.35–8.20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31,477,522</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2,543,218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19,366,620</w:t>
            </w:r>
          </w:p>
        </w:tc>
        <w:tc>
          <w:tcPr>
            <w:tcW w:w="20" w:type="dxa"/>
            <w:vAlign w:val="bottom"/>
          </w:tcPr>
          <w:p>
            <w:pPr>
              <w:spacing w:after="0"/>
              <w:rPr>
                <w:sz w:val="18"/>
                <w:szCs w:val="18"/>
                <w:color w:val="auto"/>
              </w:rPr>
            </w:pPr>
          </w:p>
        </w:tc>
      </w:tr>
      <w:tr>
        <w:trPr>
          <w:trHeight w:val="363"/>
        </w:trPr>
        <w:tc>
          <w:tcPr>
            <w:tcW w:w="4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497"/>
              <w:spacing w:after="0"/>
              <w:rPr>
                <w:sz w:val="20"/>
                <w:szCs w:val="20"/>
                <w:color w:val="auto"/>
              </w:rPr>
            </w:pPr>
            <w:r>
              <w:rPr>
                <w:rFonts w:ascii="Arial" w:cs="Arial" w:eastAsia="Arial" w:hAnsi="Arial"/>
                <w:sz w:val="18"/>
                <w:szCs w:val="18"/>
                <w:color w:val="auto"/>
                <w:w w:val="79"/>
              </w:rPr>
              <w:t>69</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intrinsic value of an option represents the amount by which the market value of the stock exceeds the exercise price of the option of in-money options only. The prices represent the closing price of our Common Stock on the NASD Global Market on the respective dates.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4"/>
          </w:tcPr>
          <w:p>
            <w:pPr>
              <w:ind w:left="760"/>
              <w:spacing w:after="0"/>
              <w:rPr>
                <w:sz w:val="20"/>
                <w:szCs w:val="20"/>
                <w:color w:val="auto"/>
              </w:rPr>
            </w:pPr>
            <w:r>
              <w:rPr>
                <w:rFonts w:ascii="Arial" w:cs="Arial" w:eastAsia="Arial" w:hAnsi="Arial"/>
                <w:sz w:val="14"/>
                <w:szCs w:val="14"/>
                <w:b w:val="1"/>
                <w:bCs w:val="1"/>
                <w:color w:val="auto"/>
                <w:w w:val="97"/>
              </w:rPr>
              <w:t>Options Outstanding</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4"/>
          </w:tcPr>
          <w:p>
            <w:pPr>
              <w:ind w:left="360"/>
              <w:spacing w:after="0"/>
              <w:rPr>
                <w:sz w:val="20"/>
                <w:szCs w:val="20"/>
                <w:color w:val="auto"/>
              </w:rPr>
            </w:pPr>
            <w:r>
              <w:rPr>
                <w:rFonts w:ascii="Arial" w:cs="Arial" w:eastAsia="Arial" w:hAnsi="Arial"/>
                <w:sz w:val="14"/>
                <w:szCs w:val="14"/>
                <w:b w:val="1"/>
                <w:bCs w:val="1"/>
                <w:color w:val="auto"/>
              </w:rPr>
              <w:t>Options Exercisable</w:t>
            </w:r>
          </w:p>
        </w:tc>
      </w:tr>
      <w:tr>
        <w:trPr>
          <w:trHeight w:val="129"/>
        </w:trPr>
        <w:tc>
          <w:tcPr>
            <w:tcW w:w="5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1"/>
                <w:szCs w:val="11"/>
                <w:color w:val="auto"/>
              </w:rPr>
            </w:pPr>
          </w:p>
        </w:tc>
      </w:tr>
      <w:tr>
        <w:trPr>
          <w:trHeight w:val="149"/>
        </w:trPr>
        <w:tc>
          <w:tcPr>
            <w:tcW w:w="5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Weighted</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5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Average</w:t>
            </w: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Weighted</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49"/>
        </w:trPr>
        <w:tc>
          <w:tcPr>
            <w:tcW w:w="5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Remaining</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Price of</w:t>
            </w:r>
          </w:p>
        </w:tc>
      </w:tr>
      <w:tr>
        <w:trPr>
          <w:trHeight w:val="149"/>
        </w:trPr>
        <w:tc>
          <w:tcPr>
            <w:tcW w:w="5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Range of</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Options</w:t>
            </w: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Life in</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Options</w:t>
            </w: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Options</w:t>
            </w:r>
          </w:p>
        </w:tc>
      </w:tr>
      <w:tr>
        <w:trPr>
          <w:trHeight w:val="161"/>
        </w:trPr>
        <w:tc>
          <w:tcPr>
            <w:tcW w:w="51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Exercise Prices</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9"/>
              </w:rPr>
              <w:t>Exercisable</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0" w:type="dxa"/>
            <w:vAlign w:val="bottom"/>
          </w:tcPr>
          <w:p>
            <w:pPr>
              <w:spacing w:after="0"/>
              <w:rPr>
                <w:sz w:val="14"/>
                <w:szCs w:val="14"/>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2005</w:t>
            </w:r>
          </w:p>
        </w:tc>
        <w:tc>
          <w:tcPr>
            <w:tcW w:w="1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$ 0.35 – $1.77</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3,975,555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0.67</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1,519,397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 w:type="dxa"/>
            <w:vAlign w:val="bottom"/>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Year ended December 31, 2006</w:t>
            </w: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$ 0.35 – $7.08</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4,982,594</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1.26</w:t>
            </w: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2,322,665</w:t>
            </w:r>
          </w:p>
        </w:tc>
        <w:tc>
          <w:tcPr>
            <w:tcW w:w="74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13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$ 0.35 – $8.20</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4,747,815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2,543,218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aggregate intrinsic value of grants exercised during the year ending December 31, 2007 and 2006 was $3.6 million and $1.0 million, respectively. The total aggregate intrinsic value represents the total amount by which the fair market value of stock exceeded the exercise price for options exercised.</w:t>
      </w:r>
    </w:p>
    <w:p>
      <w:pPr>
        <w:spacing w:after="0" w:line="8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For the year ending December 31, 2007 and 2006, the weighted average grant date fair value of options granted was $3.01 and $3.78, respectively. We estimate the fair value of options at the grant date using the Black-Scholes model.</w:t>
      </w:r>
    </w:p>
    <w:p>
      <w:pPr>
        <w:spacing w:after="0" w:line="248" w:lineRule="exact"/>
        <w:rPr>
          <w:sz w:val="20"/>
          <w:szCs w:val="20"/>
          <w:color w:val="auto"/>
        </w:rPr>
      </w:pPr>
    </w:p>
    <w:p>
      <w:pPr>
        <w:ind w:right="8480" w:firstLine="8"/>
        <w:spacing w:after="0" w:line="417" w:lineRule="auto"/>
        <w:tabs>
          <w:tab w:leader="none" w:pos="446"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Obligation Under Operating Leases</w:t>
      </w:r>
    </w:p>
    <w:p>
      <w:pPr>
        <w:spacing w:after="0" w:line="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lease our facilities in Blacksburg, Charlottesville, Danville, Hampton, and Roanoke, Virginia under non-cancelable operating leases that expire between May 2008 and December 2013. Certain of the leases are subject to fixed escalations. We recognize rent expense on such leases on a straight-line basis over the lease term. Rent expense under these leases was approximately $600,000, $862,000 and $1,448,000 for the years ended December 31, 2005, 2006 and 2007,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Minimum future rentals, as of December 31, 2007, under the aforementioned operating leases for each of the next five periods ending are:</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1,468,892</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2009</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1,462,711</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1,452,844</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2011</w:t>
            </w: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1,422,678</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1,285,787</w:t>
            </w: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Thereafter</w:t>
            </w:r>
          </w:p>
        </w:tc>
        <w:tc>
          <w:tcPr>
            <w:tcW w:w="3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583,796</w:t>
            </w:r>
          </w:p>
        </w:tc>
      </w:tr>
      <w:tr>
        <w:trPr>
          <w:trHeight w:val="216"/>
        </w:trPr>
        <w:tc>
          <w:tcPr>
            <w:tcW w:w="46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7,767,708</w:t>
            </w:r>
          </w:p>
        </w:tc>
      </w:tr>
      <w:tr>
        <w:trPr>
          <w:trHeight w:val="20"/>
        </w:trPr>
        <w:tc>
          <w:tcPr>
            <w:tcW w:w="46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Facility Lease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entered into a 6.5 year lease for our Charlottesville facility, which is cancellable at our option with no penalty at the end of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 Under Capital Leases</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obligated under capital leases covering certain equipment and software that expire at various dates during the next three years. Minimum lease payments as of December 31, 2007 were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24,447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4,730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8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29,229</w:t>
            </w:r>
          </w:p>
        </w:tc>
      </w:tr>
      <w:tr>
        <w:trPr>
          <w:trHeight w:val="217"/>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Less—amount representing interest</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22"/>
        </w:trPr>
        <w:tc>
          <w:tcPr>
            <w:tcW w:w="8980" w:type="dxa"/>
            <w:vAlign w:val="bottom"/>
          </w:tcPr>
          <w:p>
            <w:pPr>
              <w:spacing w:after="0"/>
              <w:rPr>
                <w:sz w:val="20"/>
                <w:szCs w:val="20"/>
                <w:color w:val="auto"/>
              </w:rPr>
            </w:pPr>
            <w:r>
              <w:rPr>
                <w:rFonts w:ascii="Arial" w:cs="Arial" w:eastAsia="Arial" w:hAnsi="Arial"/>
                <w:sz w:val="18"/>
                <w:szCs w:val="18"/>
                <w:color w:val="auto"/>
              </w:rPr>
              <w:t>Present value of net minimum obligation</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28,556</w:t>
            </w:r>
          </w:p>
        </w:tc>
      </w:tr>
      <w:tr>
        <w:trPr>
          <w:trHeight w:val="209"/>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Less—current obligation</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4"/>
        </w:trPr>
        <w:tc>
          <w:tcPr>
            <w:tcW w:w="89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r>
      <w:tr>
        <w:trPr>
          <w:trHeight w:val="222"/>
        </w:trPr>
        <w:tc>
          <w:tcPr>
            <w:tcW w:w="8980" w:type="dxa"/>
            <w:vAlign w:val="bottom"/>
          </w:tcPr>
          <w:p>
            <w:pPr>
              <w:spacing w:after="0"/>
              <w:rPr>
                <w:sz w:val="20"/>
                <w:szCs w:val="20"/>
                <w:color w:val="auto"/>
              </w:rPr>
            </w:pPr>
            <w:r>
              <w:rPr>
                <w:rFonts w:ascii="Arial" w:cs="Arial" w:eastAsia="Arial" w:hAnsi="Arial"/>
                <w:sz w:val="18"/>
                <w:szCs w:val="18"/>
                <w:color w:val="auto"/>
              </w:rPr>
              <w:t>Long-term obligation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w:t>
            </w: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gross amount of property and equipment and related accumulated amortization recorded under capital leases were as follows at December 31:</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292,580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398,529</w:t>
            </w:r>
          </w:p>
        </w:tc>
        <w:tc>
          <w:tcPr>
            <w:tcW w:w="6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Software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164,085</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42,252</w:t>
            </w:r>
          </w:p>
        </w:tc>
        <w:tc>
          <w:tcPr>
            <w:tcW w:w="60" w:type="dxa"/>
            <w:vAlign w:val="bottom"/>
          </w:tcPr>
          <w:p>
            <w:pPr>
              <w:spacing w:after="0"/>
              <w:rPr>
                <w:sz w:val="19"/>
                <w:szCs w:val="19"/>
                <w:color w:val="auto"/>
              </w:rPr>
            </w:pPr>
          </w:p>
        </w:tc>
      </w:tr>
      <w:tr>
        <w:trPr>
          <w:trHeight w:val="216"/>
        </w:trPr>
        <w:tc>
          <w:tcPr>
            <w:tcW w:w="8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456,665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440,781</w:t>
            </w:r>
          </w:p>
        </w:tc>
        <w:tc>
          <w:tcPr>
            <w:tcW w:w="6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Arial" w:cs="Arial" w:eastAsia="Arial" w:hAnsi="Arial"/>
                <w:sz w:val="18"/>
                <w:szCs w:val="18"/>
                <w:color w:val="auto"/>
              </w:rPr>
              <w:t>Less—accumulated amortization</w:t>
            </w:r>
          </w:p>
        </w:tc>
        <w:tc>
          <w:tcPr>
            <w:tcW w:w="8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(360,623)</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(388,088)</w:t>
            </w:r>
          </w:p>
        </w:tc>
      </w:tr>
      <w:tr>
        <w:trPr>
          <w:trHeight w:val="216"/>
        </w:trPr>
        <w:tc>
          <w:tcPr>
            <w:tcW w:w="84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96,042</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52,693</w:t>
            </w:r>
          </w:p>
        </w:tc>
        <w:tc>
          <w:tcPr>
            <w:tcW w:w="60" w:type="dxa"/>
            <w:vAlign w:val="bottom"/>
            <w:shd w:val="clear" w:color="auto" w:fill="CCEEFF"/>
          </w:tcPr>
          <w:p>
            <w:pPr>
              <w:spacing w:after="0"/>
              <w:rPr>
                <w:sz w:val="18"/>
                <w:szCs w:val="18"/>
                <w:color w:val="auto"/>
              </w:rPr>
            </w:pPr>
          </w:p>
        </w:tc>
      </w:tr>
      <w:tr>
        <w:trPr>
          <w:trHeight w:val="20"/>
        </w:trPr>
        <w:tc>
          <w:tcPr>
            <w:tcW w:w="8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Governor’s Opportunity Fund</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March 2004, we received a $900,000 grant (the “Grant”) from the City of Danville, Virginia (the “City”) to be used for the expansion of economic and commercial growth within the City. Specifically, $450,000 of the grant will be used to offset certain capital expenditures for leasehold improvements being made at our Danville facility, and the remaining $450,000 is to be used for our creation of new jobs upon satisfaction of the conditions described below.</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Grant stipulates that we must make estimated capital expenditures of at least $6,409,000 and create 54 new full time jobs at our Danville facility, at an average wage of at least $39,000 plus benefits within 30 months of the award, and then maintain such employment levels for an additional 30 months. We could be required to repay the grant funds on a pro-rata basis should we fail to satisfy the conditions stipulated in the agreement. As such, since we have not yet met the stipulations of the grant, we have included the $900,000 in deferred revenue and other credits in the accompanying consolidated balance sheets as of December 31, 2006 and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Order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June 2007, our Luna Technologies Division executed a non-cancelable, non-reschedulable $1.3 million purchase order for multiple shipments of tunable lasers to be delivered over an 18-month period beginning in September 2007. As of December 31, 2007, approximately $1.1 million of this commitment remained.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licensed certain third-party technology from a vendor that provides for minimum royalties aggregating $3.0 million payable over the remaining patent terms of the underlying technology.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Profit Sharing Plan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We maintain a salary reduction/profit-sharing plan under provisions of Section 401(k) of the Internal Revenue Code. The plan is offered to employees who have completed three months of service with us. We contribute 50% of the salary deferral elected by each employee up to a maximum deferral of 10% of annual salary.</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at our option, contribute additional amounts to the plan. We contributed approximately $213,000, $400,000, and $492,000 to the plan for the years ended December 31, 2005, 2006 and 2007, respectively.</w:t>
      </w:r>
    </w:p>
    <w:p>
      <w:pPr>
        <w:spacing w:after="0" w:line="24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 and Other Contingencies</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From time to time, we may become involved in litigation in relation to claims arising out of our operations in the normal course of business. While management currently believes the amount of ultimate liability, if any, with respect to these actions will not materially affect our financial position, results of operations, or liquidity, the ultimate outcome of any litigation is uncertain. Were an unfavorable outcome to occur, or if protracted litigation were to ensue, the impact could be material to us.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May 30, 2006, we were served with a complaint filed by a former employee in the Circuit Court for the City of Roanoke, Virginia, alleging that we breached a consulting agreement with the former employee, and that we are indebted to the former employee in an unspecified amount of at least $100,000. We have answered the complaint and intend to defend ourselves vigorously in this matter. While we believe the former employee’s claims are without merit, counsel for such former employee has indicated that he may file additional claims against us. To date, no such additional claims have been filed. However, we cannot predict whether such former employee will file additional litigation against us or our subsidiaries or the ultimate outcome of any such litigation.</w:t>
      </w:r>
    </w:p>
    <w:p>
      <w:pPr>
        <w:spacing w:after="0" w:line="11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On June 22, 2007, Hansen Medical, Inc., a company for whom we had conducted certain research filed a complaint against us in the Superior Court of the State of California, County of Santa Clara alleging misappropriation of trade secrets, unfair competition, breach of contract, and breach of implied covenant of good faith and fair dealing and declaratory judgment. In addition to money damages in an unspecified amount, the plaintiff company seeks, among other things, equitable relief, including an injunction against our using the allegedly misappropriated trade secrets in connection with another project of ours. We have answered the complaint and intend to defend ourselves vigorously in this matter. We also filed a counterclaim against the plaintiff company. Our counterclaim asserts claims for misappropriation of trade secrets, unfair competition under the California Business and Professional Code, breach of contract, breach of implied covenant of good faith and fair dealing and declaratory judgment. We seek money damages from the counterclaim defendant in an amount to be proven at trial and equitable, including declaratory, relief. While we believe the plaintiff’s claims are without merit, we cannot predict the ultimate outcome of this litigation.</w:t>
      </w:r>
    </w:p>
    <w:p>
      <w:pPr>
        <w:spacing w:after="0" w:line="10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September 10, 2007, we filed a complaint against our former auditing and accounting firm in connection with the firm’s auditing and opining on the accuracy of several years of our consolidated financial statements in preparation for our registration with the Securities and Exchange Commission and our Initial Public Offering of securities. As the complaint alleges, the firm breached its contract with us and committed negligence when it failed to ensure that it was independent to audit our financial statements, as required by the SEC regulations, and by failing to inform us that it was not independent to audit our financial statements. These actions, resulting in our termination of this firm and our hiring of a new independent firm, caused a delay in our IPO; thereby resulting in a lower amount of capital raised, and caused us to incur significant expenses. Among other things, we seek money damages in the amount of $28 million. The defendant answered our complaint and counterclaimed alleging breach of contract, breach of implied contract and unjust enrichment. The firm’s counterclaim alleges that we failed to pay it certain fees for services performed. The firm seeks $173,000. We answered the counterclaim and, while we believe these claims are without merit and intend to defend them vigorously, we cannot predict the ultimate outcome of the litigation.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made, and will continue to make, efforts to comply with current and future environmental laws. We anticipate that we could incur additional capital and operating costs in the future to comply with existing environmental laws and new requirements arising from new or amended statutes and regulations. In addition, because the applicable regulatory agencies have not yet promulgated final standards for some existing environmental programs, we cannot at this time reasonably estimate the cost for compliance with these additional requirements. The amount of any such compliance costs could be material. We cannot predict the impact that future regulations will impose upon our business.</w:t>
      </w:r>
    </w:p>
    <w:p>
      <w:pPr>
        <w:spacing w:after="0" w:line="25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Carilion Promissory Notes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2005, we sold promissory notes to Carilion Clinic (Carilion) that are convertible into Common Stock at a fixed rate of $4.69159 per share. These notes accrue simple interest at a rate of 6.0% per year and are due and payable on December 30, 2009 or a later date if extended by the holders of a majority of the aggregate principal amount of the notes, absent acceleration due to an event of default. The holders of a majority of the aggregate principal amount of the notes may also extend the maturity date of these notes for one additional year by providing notice to us and may further extend the maturity date for up to an additional three consecutive one year periods if we are not eligible for or have elected not to pursue SBIR funding. After the first extension, if any, we will have the right to repay any accrued interest in cash rather than common stock. The holders of these notes have the option to convert their notes (subject to certain limitations) into shares of our common stock at maturity or upon the occurrence of certain events prior to this offering. In addition, the holders may convert their notes (subject to certain limitations) into shares of common stock if we are no longer eligible for SBIR grants or have not applied for an SBIR grant within the preceding 12 months.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amended and restated the investor rights agreement grants Carilion and certain other shareholders the rights to require us to register their shares of Common Stock for resale. Although we could be required to register shares held by these shareholders, there is no liquidated damages provision in the event such shares are not registered and the conversion of such debt can be satisfied with unregistered shares of Common Stock.</w:t>
      </w:r>
    </w:p>
    <w:p>
      <w:pPr>
        <w:spacing w:after="0" w:line="222"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Major Customers</w:t>
      </w:r>
    </w:p>
    <w:p>
      <w:pPr>
        <w:spacing w:after="0" w:line="96"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During the years ended December 31, 2005, 2006 and 2007, approximately 70%, 71% and 62%, respectively, of our consolidated revenues were attributable to prime contracts with the U.S. government. Our revenues from these major customers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U.S. Government</w:t>
            </w:r>
          </w:p>
        </w:tc>
        <w:tc>
          <w:tcPr>
            <w:tcW w:w="2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11,471,447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16,651,929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20,742,597</w:t>
            </w:r>
          </w:p>
        </w:tc>
        <w:tc>
          <w:tcPr>
            <w:tcW w:w="20" w:type="dxa"/>
            <w:vAlign w:val="bottom"/>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Certain Non-Government Customer</w:t>
            </w:r>
          </w:p>
        </w:tc>
        <w:tc>
          <w:tcPr>
            <w:tcW w:w="2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2,245,762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r>
    </w:tbl>
    <w:p>
      <w:pPr>
        <w:spacing w:after="0" w:line="263"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 About Segments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operations are divided into two operating segments- Technology Development and Product and Licensing. The Technology Development segment provides applied research to customers in our areas of focus. Our engineers and scientists collaborate with our network of government, academic and industry experts to identify technologies and ideas with promising market potential. We then compete to win fee-for-service contracts from government agencies and industrial customers who seek innovative solutions to practical problems that require new technology. The Technology Development segment derives its revenue primarily from services.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Product and Licensing segment develops and sells products or licenses technologies based on commercially viable concepts developed by the Technology Development segment. The Product and Licensing segment derives its revenue from product sales, funded product development and technology licenses.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Chief Executive Officer and his direct reports collectively represent our chief operating decision makers, and they evaluate segment performance based primarily on revenue and operating income or loss.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significant inter-segment sales. There was an insignificant amount of product sales made outside the 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w w:val="88"/>
              </w:rPr>
              <w:t>Twelve Months Ended Dec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Technology Development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15,379,667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18,787,863</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23,356,456</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Product and License Revenue</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1,074,221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4,757,779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10,325,659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16,453,888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23,545,642</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33,682,115</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Technology Development Operating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w w:val="93"/>
              </w:rPr>
              <w:t>(2,519,786)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(4,243,331)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(3,898,626)</w:t>
            </w:r>
          </w:p>
        </w:tc>
        <w:tc>
          <w:tcPr>
            <w:tcW w:w="0" w:type="dxa"/>
            <w:vAlign w:val="bottom"/>
          </w:tcPr>
          <w:p>
            <w:pPr>
              <w:spacing w:after="0"/>
              <w:rPr>
                <w:sz w:val="1"/>
                <w:szCs w:val="1"/>
                <w:color w:val="auto"/>
              </w:rPr>
            </w:pPr>
          </w:p>
        </w:tc>
      </w:tr>
      <w:tr>
        <w:trPr>
          <w:trHeight w:val="218"/>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Product and License Operating Loss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(5,723,223)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(4,355,703)</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440"/>
              <w:spacing w:after="0"/>
              <w:rPr>
                <w:sz w:val="20"/>
                <w:szCs w:val="20"/>
                <w:color w:val="auto"/>
              </w:rPr>
            </w:pPr>
            <w:r>
              <w:rPr>
                <w:rFonts w:ascii="Arial" w:cs="Arial" w:eastAsia="Arial" w:hAnsi="Arial"/>
                <w:sz w:val="18"/>
                <w:szCs w:val="18"/>
                <w:color w:val="auto"/>
              </w:rPr>
              <w:t>Total Operating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12"/>
              <w:spacing w:after="0"/>
              <w:rPr>
                <w:sz w:val="20"/>
                <w:szCs w:val="20"/>
                <w:color w:val="auto"/>
              </w:rPr>
            </w:pPr>
            <w:r>
              <w:rPr>
                <w:rFonts w:ascii="Arial" w:cs="Arial" w:eastAsia="Arial" w:hAnsi="Arial"/>
                <w:sz w:val="18"/>
                <w:szCs w:val="18"/>
                <w:color w:val="auto"/>
                <w:w w:val="93"/>
              </w:rPr>
              <w:t>(2,511,650)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(9,966,554)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(8,254,329)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segment information is as follows:</w:t>
      </w:r>
    </w:p>
    <w:p>
      <w:pPr>
        <w:spacing w:after="0" w:line="200" w:lineRule="exact"/>
        <w:rPr>
          <w:sz w:val="20"/>
          <w:szCs w:val="20"/>
          <w:color w:val="auto"/>
        </w:rPr>
      </w:pP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7860" w:type="dxa"/>
            <w:vAlign w:val="bottom"/>
          </w:tcPr>
          <w:p>
            <w:pPr>
              <w:spacing w:after="0"/>
              <w:rPr>
                <w:sz w:val="14"/>
                <w:szCs w:val="14"/>
                <w:color w:val="auto"/>
              </w:rPr>
            </w:pPr>
          </w:p>
        </w:tc>
        <w:tc>
          <w:tcPr>
            <w:tcW w:w="10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2007</w:t>
            </w: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segment assets:</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7860" w:type="dxa"/>
            <w:vAlign w:val="bottom"/>
          </w:tcPr>
          <w:p>
            <w:pPr>
              <w:ind w:left="440"/>
              <w:spacing w:after="0"/>
              <w:rPr>
                <w:sz w:val="20"/>
                <w:szCs w:val="20"/>
                <w:color w:val="auto"/>
              </w:rPr>
            </w:pPr>
            <w:r>
              <w:rPr>
                <w:rFonts w:ascii="Arial" w:cs="Arial" w:eastAsia="Arial" w:hAnsi="Arial"/>
                <w:sz w:val="18"/>
                <w:szCs w:val="18"/>
                <w:color w:val="auto"/>
              </w:rPr>
              <w:t>Technology Development</w:t>
            </w:r>
          </w:p>
        </w:tc>
        <w:tc>
          <w:tcPr>
            <w:tcW w:w="1040" w:type="dxa"/>
            <w:vAlign w:val="bottom"/>
          </w:tcPr>
          <w:p>
            <w:pPr>
              <w:jc w:val="right"/>
              <w:spacing w:after="0"/>
              <w:rPr>
                <w:sz w:val="20"/>
                <w:szCs w:val="20"/>
                <w:color w:val="auto"/>
              </w:rPr>
            </w:pPr>
            <w:r>
              <w:rPr>
                <w:rFonts w:ascii="Arial" w:cs="Arial" w:eastAsia="Arial" w:hAnsi="Arial"/>
                <w:sz w:val="18"/>
                <w:szCs w:val="18"/>
                <w:color w:val="auto"/>
              </w:rPr>
              <w:t>29,108,744</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27,806,034</w:t>
            </w:r>
          </w:p>
        </w:tc>
      </w:tr>
      <w:tr>
        <w:trPr>
          <w:trHeight w:val="216"/>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and License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6,108,470</w:t>
            </w:r>
          </w:p>
        </w:tc>
        <w:tc>
          <w:tcPr>
            <w:tcW w:w="52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4,742,843</w:t>
            </w:r>
          </w:p>
        </w:tc>
      </w:tr>
      <w:tr>
        <w:trPr>
          <w:trHeight w:val="222"/>
        </w:trPr>
        <w:tc>
          <w:tcPr>
            <w:tcW w:w="7860" w:type="dxa"/>
            <w:vAlign w:val="bottom"/>
          </w:tcPr>
          <w:p>
            <w:pPr>
              <w:ind w:left="8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35,217,214</w:t>
            </w:r>
          </w:p>
        </w:tc>
        <w:tc>
          <w:tcPr>
            <w:tcW w:w="5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32,548,877</w:t>
            </w:r>
          </w:p>
        </w:tc>
      </w:tr>
      <w:tr>
        <w:trPr>
          <w:trHeight w:val="20"/>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our unaudited historical revenues, operating income and net loss by quarter during 2006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Quarter Ended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960" w:type="dxa"/>
            <w:vAlign w:val="bottom"/>
            <w:gridSpan w:val="3"/>
          </w:tcPr>
          <w:p>
            <w:pPr>
              <w:jc w:val="right"/>
              <w:ind w:right="420"/>
              <w:spacing w:after="0" w:line="129" w:lineRule="exact"/>
              <w:rPr>
                <w:sz w:val="20"/>
                <w:szCs w:val="20"/>
                <w:color w:val="auto"/>
              </w:rPr>
            </w:pPr>
            <w:r>
              <w:rPr>
                <w:rFonts w:ascii="Arial" w:cs="Arial" w:eastAsia="Arial" w:hAnsi="Arial"/>
                <w:sz w:val="14"/>
                <w:szCs w:val="14"/>
                <w:b w:val="1"/>
                <w:bCs w:val="1"/>
                <w:color w:val="auto"/>
                <w:w w:val="99"/>
              </w:rPr>
              <w:t>Mar. 31,</w:t>
            </w:r>
          </w:p>
        </w:tc>
        <w:tc>
          <w:tcPr>
            <w:tcW w:w="80" w:type="dxa"/>
            <w:vAlign w:val="bottom"/>
          </w:tcPr>
          <w:p>
            <w:pPr>
              <w:spacing w:after="0"/>
              <w:rPr>
                <w:sz w:val="11"/>
                <w:szCs w:val="11"/>
                <w:color w:val="auto"/>
              </w:rPr>
            </w:pPr>
          </w:p>
        </w:tc>
        <w:tc>
          <w:tcPr>
            <w:tcW w:w="7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4"/>
              </w:rPr>
              <w:t>Jun. 30,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3"/>
              </w:rPr>
              <w:t>Sep. 30,</w:t>
            </w:r>
          </w:p>
        </w:tc>
        <w:tc>
          <w:tcPr>
            <w:tcW w:w="60" w:type="dxa"/>
            <w:vAlign w:val="bottom"/>
          </w:tcPr>
          <w:p>
            <w:pPr>
              <w:spacing w:after="0"/>
              <w:rPr>
                <w:sz w:val="11"/>
                <w:szCs w:val="11"/>
                <w:color w:val="auto"/>
              </w:rPr>
            </w:pPr>
          </w:p>
        </w:tc>
        <w:tc>
          <w:tcPr>
            <w:tcW w:w="7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6"/>
              </w:rPr>
              <w:t>Dec. 31,</w:t>
            </w:r>
          </w:p>
        </w:tc>
        <w:tc>
          <w:tcPr>
            <w:tcW w:w="220" w:type="dxa"/>
            <w:vAlign w:val="bottom"/>
          </w:tcPr>
          <w:p>
            <w:pPr>
              <w:spacing w:after="0"/>
              <w:rPr>
                <w:sz w:val="11"/>
                <w:szCs w:val="11"/>
                <w:color w:val="auto"/>
              </w:rPr>
            </w:pPr>
          </w:p>
        </w:tc>
        <w:tc>
          <w:tcPr>
            <w:tcW w:w="7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8"/>
              </w:rPr>
              <w:t>Mar. 31,</w:t>
            </w:r>
          </w:p>
        </w:tc>
        <w:tc>
          <w:tcPr>
            <w:tcW w:w="22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1"/>
              </w:rPr>
              <w:t>Jun. 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Sep. 30,</w:t>
            </w:r>
          </w:p>
        </w:tc>
        <w:tc>
          <w:tcPr>
            <w:tcW w:w="2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Dec.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Technology development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3,921</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4,886</w:t>
            </w:r>
          </w:p>
        </w:tc>
        <w:tc>
          <w:tcPr>
            <w:tcW w:w="3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5,811</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5,287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5,852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5,952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6,265</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Product and license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2,237</w:t>
            </w: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1,784</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2,867</w:t>
            </w: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3,671</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4"/>
                <w:szCs w:val="14"/>
                <w:color w:val="auto"/>
              </w:rPr>
              <w:t>Total revenues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4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4,516</w:t>
            </w:r>
          </w:p>
        </w:tc>
        <w:tc>
          <w:tcPr>
            <w:tcW w:w="34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4,932</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6,050</w:t>
            </w:r>
          </w:p>
        </w:tc>
        <w:tc>
          <w:tcPr>
            <w:tcW w:w="3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8,048</w:t>
            </w:r>
          </w:p>
        </w:tc>
        <w:tc>
          <w:tcPr>
            <w:tcW w:w="200" w:type="dxa"/>
            <w:vAlign w:val="bottom"/>
          </w:tcPr>
          <w:p>
            <w:pPr>
              <w:spacing w:after="0"/>
              <w:rPr>
                <w:sz w:val="13"/>
                <w:szCs w:val="13"/>
                <w:color w:val="auto"/>
              </w:rPr>
            </w:pP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7,071</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7,855</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8,820</w:t>
            </w:r>
          </w:p>
        </w:tc>
        <w:tc>
          <w:tcPr>
            <w:tcW w:w="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9,936</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(2,833)</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(2,865)</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(2,795)</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(1,982)</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(1,186)</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(2,089)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(2,721)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(1,949)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(2,679)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(2,682)</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(2,178)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per share:</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440"/>
              <w:spacing w:after="0" w:line="149" w:lineRule="exact"/>
              <w:rPr>
                <w:sz w:val="20"/>
                <w:szCs w:val="20"/>
                <w:color w:val="auto"/>
              </w:rPr>
            </w:pPr>
            <w:r>
              <w:rPr>
                <w:rFonts w:ascii="Arial" w:cs="Arial" w:eastAsia="Arial" w:hAnsi="Arial"/>
                <w:sz w:val="14"/>
                <w:szCs w:val="14"/>
                <w:color w:val="auto"/>
              </w:rPr>
              <w:t>Basic</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(0.34)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(0.37)</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(0.27)</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(0.18)</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Diluted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(0.34)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(0.27)</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(0.27)</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(0.21)</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(0.18)</w:t>
            </w:r>
          </w:p>
        </w:tc>
        <w:tc>
          <w:tcPr>
            <w:tcW w:w="2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49"/>
        </w:trPr>
        <w:tc>
          <w:tcPr>
            <w:tcW w:w="3840" w:type="dxa"/>
            <w:vAlign w:val="bottom"/>
          </w:tcPr>
          <w:p>
            <w:pPr>
              <w:spacing w:after="0" w:line="149" w:lineRule="exact"/>
              <w:rPr>
                <w:sz w:val="20"/>
                <w:szCs w:val="20"/>
                <w:color w:val="auto"/>
              </w:rPr>
            </w:pPr>
            <w:r>
              <w:rPr>
                <w:rFonts w:ascii="Arial" w:cs="Arial" w:eastAsia="Arial" w:hAnsi="Arial"/>
                <w:sz w:val="14"/>
                <w:szCs w:val="14"/>
                <w:color w:val="auto"/>
              </w:rPr>
              <w:t>Weighted average shares:</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6,069,780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7,277,964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9,842,265</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9,922,222</w:t>
            </w: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3"/>
              </w:rPr>
              <w:t>9,969,373</w:t>
            </w:r>
          </w:p>
        </w:tc>
        <w:tc>
          <w:tcPr>
            <w:tcW w:w="220" w:type="dxa"/>
            <w:vAlign w:val="bottom"/>
            <w:tcBorders>
              <w:righ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10,136,446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2"/>
              </w:rPr>
              <w:t>10,293,557</w:t>
            </w:r>
          </w:p>
        </w:tc>
        <w:tc>
          <w:tcPr>
            <w:tcW w:w="220" w:type="dxa"/>
            <w:vAlign w:val="bottom"/>
            <w:tcBorders>
              <w:righ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2"/>
              </w:rPr>
              <w:t>10,465,501</w:t>
            </w:r>
          </w:p>
        </w:tc>
        <w:tc>
          <w:tcPr>
            <w:tcW w:w="0" w:type="dxa"/>
            <w:vAlign w:val="bottom"/>
          </w:tcPr>
          <w:p>
            <w:pPr>
              <w:spacing w:after="0"/>
              <w:rPr>
                <w:sz w:val="1"/>
                <w:szCs w:val="1"/>
                <w:color w:val="auto"/>
              </w:rPr>
            </w:pPr>
          </w:p>
        </w:tc>
      </w:tr>
      <w:tr>
        <w:trPr>
          <w:trHeight w:val="172"/>
        </w:trPr>
        <w:tc>
          <w:tcPr>
            <w:tcW w:w="3840" w:type="dxa"/>
            <w:vAlign w:val="bottom"/>
          </w:tcPr>
          <w:p>
            <w:pPr>
              <w:ind w:left="440"/>
              <w:spacing w:after="0"/>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6,069,780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w w:val="83"/>
              </w:rPr>
              <w:t>7,277,964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9,842,265</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9,922,222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83"/>
              </w:rPr>
              <w:t>9,969,373</w:t>
            </w:r>
          </w:p>
        </w:tc>
        <w:tc>
          <w:tcPr>
            <w:tcW w:w="22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85"/>
              </w:rPr>
              <w:t>10,136,446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2"/>
              </w:rPr>
              <w:t>10,293,557</w:t>
            </w:r>
          </w:p>
        </w:tc>
        <w:tc>
          <w:tcPr>
            <w:tcW w:w="2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w w:val="82"/>
              </w:rPr>
              <w:t>10,465,501</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 (T)</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Chief Executive Officer and our Chief Financial Officer, after evaluating the effectiveness of our disclosure controls and procedures (as defined in Securities Exchange Act of 1934 (the “Exchange Act”) Rules 13a-15(e) and 15d-15(e)) as of the end of the period covered by this report (the “Evaluation Date”), have concluded that as of the Evaluation Date, our disclosure controls and procedures are effective, in all material respects, to ensure that information required to be disclosed in the reports that we file and submit under the Exchange Act (i) is recorded, processed, summarized and reported as and when required and (ii) is accumulated and communicated to our management, including our Chief Executive Officer and Chief Financial Officer, as appropriate, to allow timely decisions regarding required disclosure.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There have been no significant changes in our internal control over financial reporting that occurred during the quarter ended December 31, 2007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under the Exchange Act. Our internal control over financial reporting is designed, under the supervision of our chief executive and chief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(GAAP). Our internal control over financial reporting includes those policies and procedures that: (i) pertain to the maintenance of records that, in reasonable detail, accurately and fairly reflect the transactions and dispositions of the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6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conducted an evaluation of the effectiveness of our internal control over financial reporting as of December 31, 2007. This evaluation was based on the framework in “Internal Control—Integrated Framework” issued by the Committee of Sponsoring Organizations of the Treadway Commission (COSO). All internal control systems, no matter how well designed, have inherent limitations. Therefore, even those systems determined to be effective can provide only reasonable assurance regarding the reliability of financial reporting and the preparation of financial statements for external purposes in accordance with GAAP.</w:t>
      </w:r>
    </w:p>
    <w:p>
      <w:pPr>
        <w:spacing w:after="0" w:line="59"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Chief Executive Officer and Chief Financial Officer concluded that internal control over financial reporting was effective as of December 31, 2007.</w:t>
      </w:r>
    </w:p>
    <w:p>
      <w:pPr>
        <w:spacing w:after="0" w:line="7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temporary rules of the Securities and Exchange Commission that permit us to provide only management’s report in this annual report.</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information required by Item 10 of Form 10-K is incorporated by reference to our Proxy Statement for the 2008 Annual Meeting of Stockholders anticipated to be filed with the SEC within 120 days after the end of the fiscal year ended December 31, 2007. Certain information required by this item concerning our executive officers is set forth in Part I, Item 1 of this Annual Report on Form 10-K, under “Executive Officers of the Registrant.”</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required by Item 11 of Form 10-K is incorporated by reference to our Proxy Statement for the 2008 Annual Meeting of Stockholders anticipated to be filed with the SEC within 120 days after the end of the fiscal year ended December 31, 2007.</w:t>
      </w:r>
    </w:p>
    <w:p>
      <w:pPr>
        <w:spacing w:after="0" w:line="248" w:lineRule="exact"/>
        <w:rPr>
          <w:sz w:val="20"/>
          <w:szCs w:val="20"/>
          <w:color w:val="auto"/>
        </w:rPr>
      </w:pPr>
    </w:p>
    <w:p>
      <w:pPr>
        <w:ind w:left="1140" w:right="64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4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required by Item 12 of Form 10-K is incorporated by reference to our Proxy Statement for the 2008 Annual Meeting of Stockholders anticipated to be filed with the SEC within 120 days after the end of the fiscal year ended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equity compensation plans as of December 31,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85"/>
              </w:rPr>
              <w:t>Weighted-</w:t>
            </w: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9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96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6"/>
              </w:rPr>
              <w:t>price of</w:t>
            </w:r>
          </w:p>
        </w:tc>
        <w:tc>
          <w:tcPr>
            <w:tcW w:w="96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 of</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6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4"/>
              </w:rPr>
              <w:t>options,</w:t>
            </w:r>
          </w:p>
        </w:tc>
        <w:tc>
          <w:tcPr>
            <w:tcW w:w="96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9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96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 rights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7"/>
              </w:rPr>
              <w:t>rights</w:t>
            </w:r>
          </w:p>
        </w:tc>
        <w:tc>
          <w:tcPr>
            <w:tcW w:w="96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61"/>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rPr>
              <w:t>(b)</w:t>
            </w:r>
          </w:p>
        </w:tc>
        <w:tc>
          <w:tcPr>
            <w:tcW w:w="96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4,747,815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3,473,859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20" w:type="dxa"/>
            <w:vAlign w:val="bottom"/>
            <w:tcBorders>
              <w:bottom w:val="single" w:sz="8" w:color="auto"/>
            </w:tcBorders>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4,747,815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3,473,859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required by Item 13 of Form 10-K is incorporated by reference to our Proxy Statement for the 2008 Annual Meeting of Stockholders anticipated to be filed with the SEC within 120 days after the end of the fiscal year ended December 31, 2007.</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information required by Item 14 of Form 10-K is incorporated by reference to our Proxy Statement for the 2008 Annual Meeting of Stockholders anticipated to be filed with the SEC within 120 days after the end of the fiscal year ended December 31,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w:t>
      </w:r>
    </w:p>
    <w:p>
      <w:pPr>
        <w:spacing w:after="0" w:line="96"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at Item 8 of this Report on Form 10-K.</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other schedules are omitted as the required information is inapplicable or the information is presented in the Consolidated Financial Statements and notes thereto in Item 8 of Part II of this Annual Report on Form 10-K.</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Exhibits. The exhibits filed as part of this report are listed under “Exhibits” at subsection (b) of this Item 15.</w:t>
      </w:r>
    </w:p>
    <w:p>
      <w:pPr>
        <w:spacing w:after="0" w:line="211"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240" w:top="459" w:right="6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00" w:type="dxa"/>
            <w:vAlign w:val="bottom"/>
            <w:gridSpan w:val="3"/>
          </w:tcPr>
          <w:p>
            <w:pPr>
              <w:jc w:val="center"/>
              <w:ind w:left="412"/>
              <w:spacing w:after="0"/>
              <w:rPr>
                <w:sz w:val="20"/>
                <w:szCs w:val="20"/>
                <w:color w:val="auto"/>
              </w:rPr>
            </w:pPr>
            <w:r>
              <w:rPr>
                <w:rFonts w:ascii="Arial" w:cs="Arial" w:eastAsia="Arial" w:hAnsi="Arial"/>
                <w:sz w:val="18"/>
                <w:szCs w:val="18"/>
                <w:color w:val="auto"/>
                <w:w w:val="88"/>
              </w:rPr>
              <w:t>Schedule II</w:t>
            </w:r>
          </w:p>
        </w:tc>
      </w:tr>
      <w:tr>
        <w:trPr>
          <w:trHeight w:val="366"/>
        </w:trPr>
        <w:tc>
          <w:tcPr>
            <w:tcW w:w="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960" w:type="dxa"/>
            <w:vAlign w:val="bottom"/>
            <w:gridSpan w:val="4"/>
          </w:tcPr>
          <w:p>
            <w:pPr>
              <w:ind w:left="480"/>
              <w:spacing w:after="0"/>
              <w:rPr>
                <w:sz w:val="20"/>
                <w:szCs w:val="20"/>
                <w:color w:val="auto"/>
              </w:rPr>
            </w:pPr>
            <w:r>
              <w:rPr>
                <w:rFonts w:ascii="Arial" w:cs="Arial" w:eastAsia="Arial" w:hAnsi="Arial"/>
                <w:sz w:val="18"/>
                <w:szCs w:val="18"/>
                <w:b w:val="1"/>
                <w:bCs w:val="1"/>
                <w:color w:val="auto"/>
                <w:w w:val="93"/>
              </w:rPr>
              <w:t>Luna Innovations Incorporated</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8"/>
        </w:trPr>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580" w:type="dxa"/>
            <w:vAlign w:val="bottom"/>
            <w:gridSpan w:val="5"/>
          </w:tcPr>
          <w:p>
            <w:pPr>
              <w:jc w:val="right"/>
              <w:ind w:right="498"/>
              <w:spacing w:after="0"/>
              <w:rPr>
                <w:sz w:val="20"/>
                <w:szCs w:val="20"/>
                <w:color w:val="auto"/>
              </w:rPr>
            </w:pPr>
            <w:r>
              <w:rPr>
                <w:rFonts w:ascii="Arial" w:cs="Arial" w:eastAsia="Arial" w:hAnsi="Arial"/>
                <w:sz w:val="18"/>
                <w:szCs w:val="18"/>
                <w:b w:val="1"/>
                <w:bCs w:val="1"/>
                <w:color w:val="auto"/>
                <w:w w:val="99"/>
              </w:rPr>
              <w:t>Valuation and Qualifying Accounts</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353"/>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Column A</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Column B</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Column C</w:t>
            </w:r>
          </w:p>
        </w:tc>
        <w:tc>
          <w:tcPr>
            <w:tcW w:w="500" w:type="dxa"/>
            <w:vAlign w:val="bottom"/>
          </w:tcPr>
          <w:p>
            <w:pPr>
              <w:spacing w:after="0"/>
              <w:rPr>
                <w:sz w:val="24"/>
                <w:szCs w:val="2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Column 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Column 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Column F</w:t>
            </w:r>
          </w:p>
        </w:tc>
      </w:tr>
      <w:tr>
        <w:trPr>
          <w:trHeight w:val="129"/>
        </w:trPr>
        <w:tc>
          <w:tcPr>
            <w:tcW w:w="640" w:type="dxa"/>
            <w:vAlign w:val="bottom"/>
            <w:tcBorders>
              <w:top w:val="single" w:sz="8" w:color="auto"/>
            </w:tcBorders>
          </w:tcPr>
          <w:p>
            <w:pPr>
              <w:spacing w:after="0"/>
              <w:rPr>
                <w:sz w:val="11"/>
                <w:szCs w:val="11"/>
                <w:color w:val="auto"/>
              </w:rPr>
            </w:pPr>
          </w:p>
        </w:tc>
        <w:tc>
          <w:tcPr>
            <w:tcW w:w="3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Charged</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49"/>
        </w:trPr>
        <w:tc>
          <w:tcPr>
            <w:tcW w:w="6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Balance</w:t>
            </w:r>
          </w:p>
        </w:tc>
        <w:tc>
          <w:tcPr>
            <w:tcW w:w="620" w:type="dxa"/>
            <w:vAlign w:val="bottom"/>
          </w:tcPr>
          <w:p>
            <w:pPr>
              <w:jc w:val="right"/>
              <w:ind w:right="18"/>
              <w:spacing w:after="0" w:line="149" w:lineRule="exact"/>
              <w:rPr>
                <w:sz w:val="20"/>
                <w:szCs w:val="20"/>
                <w:color w:val="auto"/>
              </w:rPr>
            </w:pPr>
            <w:r>
              <w:rPr>
                <w:rFonts w:ascii="Arial" w:cs="Arial" w:eastAsia="Arial" w:hAnsi="Arial"/>
                <w:sz w:val="14"/>
                <w:szCs w:val="14"/>
                <w:b w:val="1"/>
                <w:bCs w:val="1"/>
                <w:color w:val="auto"/>
                <w:w w:val="93"/>
              </w:rPr>
              <w:t>to costs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6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at beginning</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0"/>
              </w:rPr>
              <w:t>end</w:t>
            </w:r>
          </w:p>
        </w:tc>
      </w:tr>
      <w:tr>
        <w:trPr>
          <w:trHeight w:val="161"/>
        </w:trPr>
        <w:tc>
          <w:tcPr>
            <w:tcW w:w="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of Period</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78"/>
              </w:rPr>
              <w:t>expenses</w:t>
            </w:r>
          </w:p>
        </w:tc>
        <w:tc>
          <w:tcPr>
            <w:tcW w:w="5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Changes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of period</w:t>
            </w: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1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w w:val="96"/>
              </w:rPr>
              <w:t>Reserves deducted from assets to which they apply:</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Allowances for doubtful accounts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$ 12,472</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29,534</w:t>
            </w: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40,943</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41,108</w:t>
            </w: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Valuation allowance against deferred tax asset</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7,214,667</w:t>
            </w:r>
          </w:p>
        </w:tc>
        <w:tc>
          <w:tcPr>
            <w:tcW w:w="5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610,740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7,825,407</w:t>
            </w:r>
          </w:p>
        </w:tc>
      </w:tr>
      <w:tr>
        <w:trPr>
          <w:trHeight w:val="222"/>
        </w:trPr>
        <w:tc>
          <w:tcPr>
            <w:tcW w:w="6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7,274,620</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12,637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610,740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7,986,049</w:t>
            </w:r>
          </w:p>
        </w:tc>
      </w:tr>
      <w:tr>
        <w:trPr>
          <w:trHeight w:val="20"/>
        </w:trPr>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w w:val="96"/>
              </w:rPr>
              <w:t>Reserves deducted from assets to which they apply:</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Allowances for doubtful accounts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$ 44,005</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w:t>
            </w: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56,141</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17,153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(32,351)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40,943</w:t>
            </w: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Valuation allowance against deferred tax asset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1,670,692</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5,543,975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7,214,667</w:t>
            </w:r>
          </w:p>
        </w:tc>
      </w:tr>
      <w:tr>
        <w:trPr>
          <w:trHeight w:val="216"/>
        </w:trPr>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1,726,833</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61,158</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(57,346)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5,543,975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7,274,620</w:t>
            </w:r>
          </w:p>
        </w:tc>
      </w:tr>
      <w:tr>
        <w:trPr>
          <w:trHeight w:val="20"/>
        </w:trPr>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2005</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w w:val="96"/>
              </w:rPr>
              <w:t>Reserves deducted from assets to which they apply:</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Allowances for doubtful accounts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11,702</w:t>
            </w: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44,439</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56,141</w:t>
            </w: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Valuation allowance against deferred tax asset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642,246</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1,028,446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1,670,692</w:t>
            </w:r>
          </w:p>
        </w:tc>
      </w:tr>
      <w:tr>
        <w:trPr>
          <w:trHeight w:val="216"/>
        </w:trPr>
        <w:tc>
          <w:tcPr>
            <w:tcW w:w="6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653,948</w:t>
            </w:r>
          </w:p>
        </w:tc>
        <w:tc>
          <w:tcPr>
            <w:tcW w:w="50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44,439</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1,028,446</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1,726,833</w:t>
            </w:r>
          </w:p>
        </w:tc>
      </w:tr>
      <w:tr>
        <w:trPr>
          <w:trHeight w:val="20"/>
        </w:trPr>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57"/>
        </w:trPr>
        <w:tc>
          <w:tcPr>
            <w:tcW w:w="6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20" w:type="dxa"/>
            <w:vAlign w:val="bottom"/>
          </w:tcPr>
          <w:p>
            <w:pPr>
              <w:ind w:left="24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060" w:type="dxa"/>
            <w:vAlign w:val="bottom"/>
            <w:gridSpan w:val="3"/>
          </w:tcPr>
          <w:p>
            <w:pPr>
              <w:ind w:left="320"/>
              <w:spacing w:after="0"/>
              <w:rPr>
                <w:sz w:val="20"/>
                <w:szCs w:val="20"/>
                <w:color w:val="auto"/>
              </w:rPr>
            </w:pPr>
            <w:r>
              <w:rPr>
                <w:rFonts w:ascii="Arial" w:cs="Arial" w:eastAsia="Arial" w:hAnsi="Arial"/>
                <w:sz w:val="14"/>
                <w:szCs w:val="14"/>
                <w:b w:val="1"/>
                <w:bCs w:val="1"/>
                <w:color w:val="auto"/>
              </w:rPr>
              <w:t>Exhibit Document</w:t>
            </w: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Amended and</w:t>
            </w:r>
          </w:p>
        </w:tc>
        <w:tc>
          <w:tcPr>
            <w:tcW w:w="8620" w:type="dxa"/>
            <w:vAlign w:val="bottom"/>
          </w:tcPr>
          <w:p>
            <w:pPr>
              <w:spacing w:after="0"/>
              <w:rPr>
                <w:sz w:val="20"/>
                <w:szCs w:val="20"/>
                <w:color w:val="auto"/>
              </w:rPr>
            </w:pPr>
            <w:r>
              <w:rPr>
                <w:rFonts w:ascii="Arial" w:cs="Arial" w:eastAsia="Arial" w:hAnsi="Arial"/>
                <w:sz w:val="18"/>
                <w:szCs w:val="18"/>
                <w:color w:val="auto"/>
              </w:rPr>
              <w:t>Restated Certificate of Incorporation of the Registrant (Exhibit 3.2)</w:t>
            </w:r>
          </w:p>
        </w:tc>
      </w:tr>
      <w:tr>
        <w:trPr>
          <w:trHeight w:val="3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the Registrant (Exhibit 3.4)</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Specimen Common Stock certificate of the Registrant (Exhibit 4.1)</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2003 Stock Plan (Exhibit 10.7)</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2006 Equity Incentive Plan (Exhibit 10.9)</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Form of Senior Convertible Promissory Note (Exhibit 4.2)</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Warrant to Purchase Common Stock of Luna Innovations Incorporated, issued on September 30, 2005 (Exhibit 4.3)</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Warrant to Purchase Common Stock of Luna Innovations Incorporated, issued on November 11, 2005 (Exhibit 4.4)</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Warrant to Purchase Common Stock of Luna Innovations Incorporated, issued on September 30, 2005 (Exhibit 4.5)</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Form of Warrant to Purchase Shares of Common Stock of Luna Innovations Incorporated (Exhibit 4.6)</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Form of Stock Option Agreement (Exhibit 4.7)</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Form of Indemnification Agreement for directors and executive officers (Exhibit 10.1)</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the Company and Kent A. Murphy (Exhibit 10.1)</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Employment Agreement by and between the Company and Dale E. Messick (Exhibit 10.1)</w:t>
            </w:r>
          </w:p>
        </w:tc>
      </w:tr>
      <w:tr>
        <w:trPr>
          <w:trHeight w:val="324"/>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Amended and Restated Employment Agreement by and between the Company and Scott A. Graeff (Exhibit 10.1)</w:t>
            </w:r>
          </w:p>
        </w:tc>
      </w:tr>
      <w:tr>
        <w:trPr>
          <w:trHeight w:val="31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w w:val="96"/>
              </w:rPr>
              <w:t>Amended Loan Agreement, dated as of May 12, 2006, by and between Luna Innovations Incorporated and First National Bank</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(Exhibit 10.6)</w:t>
            </w:r>
          </w:p>
        </w:tc>
      </w:tr>
      <w:tr>
        <w:trPr>
          <w:trHeight w:val="31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w w:val="90"/>
              </w:rPr>
              <w:t>Amended and Restated Investor Rights Agreement, dated December 30, 2005, by and among Luna Innovations Incorporated, Carilion</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Health System and certain stockholders (Exhibit 10.8)</w:t>
            </w:r>
          </w:p>
        </w:tc>
      </w:tr>
      <w:tr>
        <w:trPr>
          <w:trHeight w:val="31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10.7(8)</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w w:val="91"/>
              </w:rPr>
              <w:t>Amended Lease, dated July 20, 2006, by and between Carilion Medical Center and Luna Innovations Incorporated. (Riverside Center,</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Roanoke, Virginia) (Exhibit 10.1)</w:t>
            </w:r>
          </w:p>
        </w:tc>
      </w:tr>
      <w:tr>
        <w:trPr>
          <w:trHeight w:val="31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10.8(9)</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w w:val="93"/>
              </w:rPr>
              <w:t>Industrial Lease Agreement, dated March 21, 2006, by and between Luna Innovations Incorporated and the Industrial Development</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Authority of Montgomery County, Virginia (3157 State Street, Blacksburg, Virginia) (Exhibit 10.27)</w:t>
            </w:r>
          </w:p>
        </w:tc>
      </w:tr>
      <w:tr>
        <w:trPr>
          <w:trHeight w:val="318"/>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460" w:type="dxa"/>
            <w:vAlign w:val="bottom"/>
          </w:tcPr>
          <w:p>
            <w:pPr>
              <w:spacing w:after="0"/>
              <w:rPr>
                <w:sz w:val="24"/>
                <w:szCs w:val="24"/>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w w:val="90"/>
              </w:rPr>
              <w:t>First Amendment to Industrial Lease Agreement, dated May 11, 2006, by and between Luna Innovations Incorporated and the Industrial</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Development Authority of Montgomery County, Virginia (3150 State Street, Blacksburg, Virginia) (Exhibit 10.34)</w:t>
            </w:r>
          </w:p>
        </w:tc>
      </w:tr>
      <w:tr>
        <w:trPr>
          <w:trHeight w:val="318"/>
        </w:trPr>
        <w:tc>
          <w:tcPr>
            <w:tcW w:w="1180" w:type="dxa"/>
            <w:vAlign w:val="bottom"/>
            <w:gridSpan w:val="3"/>
          </w:tcPr>
          <w:p>
            <w:pPr>
              <w:ind w:left="180"/>
              <w:spacing w:after="0"/>
              <w:rPr>
                <w:sz w:val="20"/>
                <w:szCs w:val="20"/>
                <w:color w:val="auto"/>
              </w:rPr>
            </w:pPr>
            <w:r>
              <w:rPr>
                <w:rFonts w:ascii="Arial" w:cs="Arial" w:eastAsia="Arial" w:hAnsi="Arial"/>
                <w:sz w:val="18"/>
                <w:szCs w:val="18"/>
                <w:color w:val="auto"/>
              </w:rPr>
              <w:t>10.10(10)</w:t>
            </w: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w w:val="88"/>
              </w:rPr>
              <w:t>Commercial Lease, dated March 19, 2007, between Canvasback Real Estate &amp; Investments LLC and Luna Innovations Incorporated (705</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Dale Avenue, Charlottesville, Virginia) (Exhibit 10.1)</w:t>
            </w:r>
          </w:p>
        </w:tc>
      </w:tr>
      <w:tr>
        <w:trPr>
          <w:trHeight w:val="318"/>
        </w:trPr>
        <w:tc>
          <w:tcPr>
            <w:tcW w:w="1180" w:type="dxa"/>
            <w:vAlign w:val="bottom"/>
            <w:gridSpan w:val="3"/>
          </w:tcPr>
          <w:p>
            <w:pPr>
              <w:ind w:left="160"/>
              <w:spacing w:after="0"/>
              <w:rPr>
                <w:sz w:val="20"/>
                <w:szCs w:val="20"/>
                <w:color w:val="auto"/>
              </w:rPr>
            </w:pPr>
            <w:r>
              <w:rPr>
                <w:rFonts w:ascii="Arial" w:cs="Arial" w:eastAsia="Arial" w:hAnsi="Arial"/>
                <w:sz w:val="18"/>
                <w:szCs w:val="18"/>
                <w:color w:val="auto"/>
              </w:rPr>
              <w:t>10.11(2)</w:t>
            </w: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w w:val="88"/>
              </w:rPr>
              <w:t>Full Service Office Lease, dated August 2003, between Hampton R&amp;D Properties, LLC and Luna Innovations Incorporated (130 Research</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Drive, Hampton, Virginia) (Exhibit 10.15)</w:t>
            </w:r>
          </w:p>
        </w:tc>
      </w:tr>
      <w:tr>
        <w:trPr>
          <w:trHeight w:val="318"/>
        </w:trPr>
        <w:tc>
          <w:tcPr>
            <w:tcW w:w="1180" w:type="dxa"/>
            <w:vAlign w:val="bottom"/>
            <w:gridSpan w:val="3"/>
          </w:tcPr>
          <w:p>
            <w:pPr>
              <w:ind w:left="160"/>
              <w:spacing w:after="0"/>
              <w:rPr>
                <w:sz w:val="20"/>
                <w:szCs w:val="20"/>
                <w:color w:val="auto"/>
              </w:rPr>
            </w:pPr>
            <w:r>
              <w:rPr>
                <w:rFonts w:ascii="Arial" w:cs="Arial" w:eastAsia="Arial" w:hAnsi="Arial"/>
                <w:sz w:val="18"/>
                <w:szCs w:val="18"/>
                <w:color w:val="auto"/>
              </w:rPr>
              <w:t>10.12(2)</w:t>
            </w: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w w:val="89"/>
              </w:rPr>
              <w:t>Lease, effective as of January 1, 2005, between the Industrial Development Authority of Danville and Luna Innovations Incorporated (521</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60" w:type="dxa"/>
            <w:vAlign w:val="bottom"/>
            <w:gridSpan w:val="3"/>
          </w:tcPr>
          <w:p>
            <w:pPr>
              <w:ind w:left="320"/>
              <w:spacing w:after="0"/>
              <w:rPr>
                <w:sz w:val="20"/>
                <w:szCs w:val="20"/>
                <w:color w:val="auto"/>
              </w:rPr>
            </w:pPr>
            <w:r>
              <w:rPr>
                <w:rFonts w:ascii="Arial" w:cs="Arial" w:eastAsia="Arial" w:hAnsi="Arial"/>
                <w:sz w:val="18"/>
                <w:szCs w:val="18"/>
                <w:color w:val="auto"/>
              </w:rPr>
              <w:t>Bridge Street, Danville, Virginia) (Exhibit 10.17)</w:t>
            </w: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60" w:type="dxa"/>
            <w:vAlign w:val="bottom"/>
            <w:gridSpan w:val="3"/>
          </w:tcPr>
          <w:p>
            <w:pPr>
              <w:ind w:left="4440"/>
              <w:spacing w:after="0"/>
              <w:rPr>
                <w:sz w:val="20"/>
                <w:szCs w:val="20"/>
                <w:color w:val="auto"/>
              </w:rPr>
            </w:pPr>
            <w:r>
              <w:rPr>
                <w:rFonts w:ascii="Arial" w:cs="Arial" w:eastAsia="Arial" w:hAnsi="Arial"/>
                <w:sz w:val="18"/>
                <w:szCs w:val="18"/>
                <w:color w:val="auto"/>
              </w:rPr>
              <w:t>79</w:t>
            </w:r>
          </w:p>
        </w:tc>
      </w:tr>
    </w:tbl>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r>
      <w:tr>
        <w:trPr>
          <w:trHeight w:val="201"/>
        </w:trPr>
        <w:tc>
          <w:tcPr>
            <w:tcW w:w="20" w:type="dxa"/>
            <w:vAlign w:val="bottom"/>
          </w:tcPr>
          <w:p>
            <w:pPr>
              <w:spacing w:after="0"/>
              <w:rPr>
                <w:sz w:val="17"/>
                <w:szCs w:val="17"/>
                <w:color w:val="auto"/>
              </w:rPr>
            </w:pPr>
          </w:p>
        </w:tc>
        <w:tc>
          <w:tcPr>
            <w:tcW w:w="70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w w:val="77"/>
              </w:rPr>
              <w:t>10.13(2)</w:t>
            </w:r>
          </w:p>
        </w:tc>
        <w:tc>
          <w:tcPr>
            <w:tcW w:w="900" w:type="dxa"/>
            <w:vAlign w:val="bottom"/>
          </w:tcPr>
          <w:p>
            <w:pPr>
              <w:spacing w:after="0"/>
              <w:rPr>
                <w:sz w:val="17"/>
                <w:szCs w:val="17"/>
                <w:color w:val="auto"/>
              </w:rPr>
            </w:pPr>
          </w:p>
        </w:tc>
        <w:tc>
          <w:tcPr>
            <w:tcW w:w="1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6"/>
              </w:rPr>
              <w:t>Grant Agreement,</w:t>
            </w:r>
          </w:p>
        </w:tc>
        <w:tc>
          <w:tcPr>
            <w:tcW w:w="8660" w:type="dxa"/>
            <w:vAlign w:val="bottom"/>
          </w:tcPr>
          <w:p>
            <w:pPr>
              <w:ind w:left="180"/>
              <w:spacing w:after="0" w:line="201" w:lineRule="exact"/>
              <w:rPr>
                <w:sz w:val="20"/>
                <w:szCs w:val="20"/>
                <w:color w:val="auto"/>
              </w:rPr>
            </w:pPr>
            <w:r>
              <w:rPr>
                <w:rFonts w:ascii="Arial" w:cs="Arial" w:eastAsia="Arial" w:hAnsi="Arial"/>
                <w:sz w:val="18"/>
                <w:szCs w:val="18"/>
                <w:color w:val="auto"/>
              </w:rPr>
              <w:t>dated March 25, 2004, by and between the City of Danville, Virginia, and Luna Innovations Incorporated</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(Exhibit 10.21)</w:t>
            </w:r>
          </w:p>
        </w:tc>
      </w:tr>
      <w:tr>
        <w:trPr>
          <w:trHeight w:val="318"/>
        </w:trPr>
        <w:tc>
          <w:tcPr>
            <w:tcW w:w="2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10.14(3)†</w:t>
            </w: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License Agreement No. DN-982, dated June 10, 2002, by and between the National Aeronautics and Space Administration (NASA) and</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w w:val="91"/>
              </w:rPr>
              <w:t>Luna Innovations Incorporated; Modification No. 1 to License Agreement No. DN-982, dated January 23, 2006, by and between NASA</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and Luna Innovations Incorporated (Exhibit 10.22)</w:t>
            </w:r>
          </w:p>
        </w:tc>
      </w:tr>
      <w:tr>
        <w:trPr>
          <w:trHeight w:val="324"/>
        </w:trPr>
        <w:tc>
          <w:tcPr>
            <w:tcW w:w="2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10.15(3)†</w:t>
            </w:r>
          </w:p>
        </w:tc>
        <w:tc>
          <w:tcPr>
            <w:tcW w:w="9780" w:type="dxa"/>
            <w:vAlign w:val="bottom"/>
            <w:gridSpan w:val="2"/>
          </w:tcPr>
          <w:p>
            <w:pPr>
              <w:spacing w:after="0"/>
              <w:rPr>
                <w:sz w:val="20"/>
                <w:szCs w:val="20"/>
                <w:color w:val="auto"/>
              </w:rPr>
            </w:pPr>
            <w:r>
              <w:rPr>
                <w:rFonts w:ascii="Arial" w:cs="Arial" w:eastAsia="Arial" w:hAnsi="Arial"/>
                <w:sz w:val="18"/>
                <w:szCs w:val="18"/>
                <w:color w:val="auto"/>
                <w:w w:val="96"/>
              </w:rPr>
              <w:t>License Agreement No. DN-951, dated December 20, 2000, by and between NASA and Luna Technologies, Inc. (Exhibit 10.23)</w:t>
            </w:r>
          </w:p>
        </w:tc>
      </w:tr>
      <w:tr>
        <w:trPr>
          <w:trHeight w:val="324"/>
        </w:trPr>
        <w:tc>
          <w:tcPr>
            <w:tcW w:w="2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10.16(3)†</w:t>
            </w:r>
          </w:p>
        </w:tc>
        <w:tc>
          <w:tcPr>
            <w:tcW w:w="9780" w:type="dxa"/>
            <w:vAlign w:val="bottom"/>
            <w:gridSpan w:val="2"/>
          </w:tcPr>
          <w:p>
            <w:pPr>
              <w:spacing w:after="0"/>
              <w:rPr>
                <w:sz w:val="20"/>
                <w:szCs w:val="20"/>
                <w:color w:val="auto"/>
              </w:rPr>
            </w:pPr>
            <w:r>
              <w:rPr>
                <w:rFonts w:ascii="Arial" w:cs="Arial" w:eastAsia="Arial" w:hAnsi="Arial"/>
                <w:sz w:val="18"/>
                <w:szCs w:val="18"/>
                <w:color w:val="auto"/>
                <w:w w:val="97"/>
              </w:rPr>
              <w:t>License Agreement No. DE-384, dated October 28, 2004, by and between NASA and Luna Technologies, Inc. (Exhibit 10.24)</w:t>
            </w:r>
          </w:p>
        </w:tc>
      </w:tr>
      <w:tr>
        <w:trPr>
          <w:trHeight w:val="318"/>
        </w:trPr>
        <w:tc>
          <w:tcPr>
            <w:tcW w:w="2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10.17(3)†</w:t>
            </w:r>
          </w:p>
        </w:tc>
        <w:tc>
          <w:tcPr>
            <w:tcW w:w="9780" w:type="dxa"/>
            <w:vAlign w:val="bottom"/>
            <w:gridSpan w:val="2"/>
          </w:tcPr>
          <w:p>
            <w:pPr>
              <w:spacing w:after="0"/>
              <w:rPr>
                <w:sz w:val="20"/>
                <w:szCs w:val="20"/>
                <w:color w:val="auto"/>
              </w:rPr>
            </w:pPr>
            <w:r>
              <w:rPr>
                <w:rFonts w:ascii="Arial" w:cs="Arial" w:eastAsia="Arial" w:hAnsi="Arial"/>
                <w:sz w:val="18"/>
                <w:szCs w:val="18"/>
                <w:color w:val="auto"/>
                <w:w w:val="95"/>
              </w:rPr>
              <w:t>Fiber Optic Patent License, dated September 22, 2003, by and between United Technologies Corporation and Luna Innovations</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Incorporated (Exhibit 10.25)</w:t>
            </w:r>
          </w:p>
        </w:tc>
      </w:tr>
      <w:tr>
        <w:trPr>
          <w:trHeight w:val="318"/>
        </w:trPr>
        <w:tc>
          <w:tcPr>
            <w:tcW w:w="20" w:type="dxa"/>
            <w:vAlign w:val="bottom"/>
          </w:tcPr>
          <w:p>
            <w:pPr>
              <w:spacing w:after="0"/>
              <w:rPr>
                <w:sz w:val="24"/>
                <w:szCs w:val="24"/>
                <w:color w:val="auto"/>
              </w:rPr>
            </w:pP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10.18(3)†</w:t>
            </w: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Amended and Restated License Agreement, dated March 19, 2004, by and between Virginia Tech Intellectual Properties, Inc. and Luna</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Innovations Incorporated (Exhibit 10.26)</w:t>
            </w:r>
          </w:p>
        </w:tc>
      </w:tr>
      <w:tr>
        <w:trPr>
          <w:trHeight w:val="324"/>
        </w:trPr>
        <w:tc>
          <w:tcPr>
            <w:tcW w:w="2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rPr>
              <w:t>10.19(11)†</w:t>
            </w:r>
          </w:p>
        </w:tc>
        <w:tc>
          <w:tcPr>
            <w:tcW w:w="9780" w:type="dxa"/>
            <w:vAlign w:val="bottom"/>
            <w:gridSpan w:val="2"/>
          </w:tcPr>
          <w:p>
            <w:pPr>
              <w:spacing w:after="0"/>
              <w:rPr>
                <w:sz w:val="20"/>
                <w:szCs w:val="20"/>
                <w:color w:val="auto"/>
              </w:rPr>
            </w:pPr>
            <w:r>
              <w:rPr>
                <w:rFonts w:ascii="Arial" w:cs="Arial" w:eastAsia="Arial" w:hAnsi="Arial"/>
                <w:sz w:val="18"/>
                <w:szCs w:val="18"/>
                <w:color w:val="auto"/>
                <w:w w:val="93"/>
              </w:rPr>
              <w:t>Co-Operation Agreement, dated August 10, 2006, by and between Luna Technologies, Inc. and Acterna France SAS. (Exhibit 10.6)</w:t>
            </w:r>
          </w:p>
        </w:tc>
      </w:tr>
      <w:tr>
        <w:trPr>
          <w:trHeight w:val="324"/>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10.20(12)</w:t>
            </w:r>
          </w:p>
        </w:tc>
        <w:tc>
          <w:tcPr>
            <w:tcW w:w="9780" w:type="dxa"/>
            <w:vAlign w:val="bottom"/>
            <w:gridSpan w:val="2"/>
          </w:tcPr>
          <w:p>
            <w:pPr>
              <w:spacing w:after="0"/>
              <w:rPr>
                <w:sz w:val="20"/>
                <w:szCs w:val="20"/>
                <w:color w:val="auto"/>
              </w:rPr>
            </w:pPr>
            <w:r>
              <w:rPr>
                <w:rFonts w:ascii="Arial" w:cs="Arial" w:eastAsia="Arial" w:hAnsi="Arial"/>
                <w:sz w:val="18"/>
                <w:szCs w:val="18"/>
                <w:color w:val="auto"/>
              </w:rPr>
              <w:t>Asset Transfer and License Agreement by and between Luna Innovations Incorporated and Coherent, Inc. (Exhibit 10.21)</w:t>
            </w:r>
          </w:p>
        </w:tc>
      </w:tr>
      <w:tr>
        <w:trPr>
          <w:trHeight w:val="324"/>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10.21(9)</w:t>
            </w:r>
          </w:p>
        </w:tc>
        <w:tc>
          <w:tcPr>
            <w:tcW w:w="9780" w:type="dxa"/>
            <w:vAlign w:val="bottom"/>
            <w:gridSpan w:val="2"/>
          </w:tcPr>
          <w:p>
            <w:pPr>
              <w:spacing w:after="0"/>
              <w:rPr>
                <w:sz w:val="20"/>
                <w:szCs w:val="20"/>
                <w:color w:val="auto"/>
              </w:rPr>
            </w:pPr>
            <w:r>
              <w:rPr>
                <w:rFonts w:ascii="Arial" w:cs="Arial" w:eastAsia="Arial" w:hAnsi="Arial"/>
                <w:sz w:val="18"/>
                <w:szCs w:val="18"/>
                <w:color w:val="auto"/>
              </w:rPr>
              <w:t>Form of Stock Sale Restriction Letter Agreement (Exhibit 10.28)</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10.22(13)</w:t>
            </w:r>
          </w:p>
        </w:tc>
        <w:tc>
          <w:tcPr>
            <w:tcW w:w="9780" w:type="dxa"/>
            <w:vAlign w:val="bottom"/>
            <w:gridSpan w:val="2"/>
          </w:tcPr>
          <w:p>
            <w:pPr>
              <w:spacing w:after="0"/>
              <w:rPr>
                <w:sz w:val="20"/>
                <w:szCs w:val="20"/>
                <w:color w:val="auto"/>
              </w:rPr>
            </w:pPr>
            <w:r>
              <w:rPr>
                <w:rFonts w:ascii="Arial" w:cs="Arial" w:eastAsia="Arial" w:hAnsi="Arial"/>
                <w:sz w:val="18"/>
                <w:szCs w:val="18"/>
                <w:color w:val="auto"/>
                <w:w w:val="88"/>
              </w:rPr>
              <w:t>Amended and Restated Stock Sale Restriction Agreement by and between Luna Innovations Incorporated and Kent A. Murphy, dated as of</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January 23, 2007. (Exhibit 10.1)</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10.23(13)</w:t>
            </w:r>
          </w:p>
        </w:tc>
        <w:tc>
          <w:tcPr>
            <w:tcW w:w="9780" w:type="dxa"/>
            <w:vAlign w:val="bottom"/>
            <w:gridSpan w:val="2"/>
          </w:tcPr>
          <w:p>
            <w:pPr>
              <w:spacing w:after="0"/>
              <w:rPr>
                <w:sz w:val="20"/>
                <w:szCs w:val="20"/>
                <w:color w:val="auto"/>
              </w:rPr>
            </w:pPr>
            <w:r>
              <w:rPr>
                <w:rFonts w:ascii="Arial" w:cs="Arial" w:eastAsia="Arial" w:hAnsi="Arial"/>
                <w:sz w:val="18"/>
                <w:szCs w:val="18"/>
                <w:color w:val="auto"/>
                <w:w w:val="87"/>
              </w:rPr>
              <w:t>Amended and Restated Stock Sale Restriction Agreement by and between Luna Innovations Incorporated and Dale E. Messick, dated as of</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January 23, 2007. (Exhibit 10.2)</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10.24(13)</w:t>
            </w:r>
          </w:p>
        </w:tc>
        <w:tc>
          <w:tcPr>
            <w:tcW w:w="9780" w:type="dxa"/>
            <w:vAlign w:val="bottom"/>
            <w:gridSpan w:val="2"/>
          </w:tcPr>
          <w:p>
            <w:pPr>
              <w:spacing w:after="0"/>
              <w:rPr>
                <w:sz w:val="20"/>
                <w:szCs w:val="20"/>
                <w:color w:val="auto"/>
              </w:rPr>
            </w:pPr>
            <w:r>
              <w:rPr>
                <w:rFonts w:ascii="Arial" w:cs="Arial" w:eastAsia="Arial" w:hAnsi="Arial"/>
                <w:sz w:val="18"/>
                <w:szCs w:val="18"/>
                <w:color w:val="auto"/>
                <w:w w:val="88"/>
              </w:rPr>
              <w:t>Amended and Restated Stock Sale Restriction Agreement by and between Luna Innovations Incorporated and Scott A. Graeff, dated as of</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January 23, 2007. (Exhibit 10.3)</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10.25(13)</w:t>
            </w:r>
          </w:p>
        </w:tc>
        <w:tc>
          <w:tcPr>
            <w:tcW w:w="9780" w:type="dxa"/>
            <w:vAlign w:val="bottom"/>
            <w:gridSpan w:val="2"/>
          </w:tcPr>
          <w:p>
            <w:pPr>
              <w:spacing w:after="0"/>
              <w:rPr>
                <w:sz w:val="20"/>
                <w:szCs w:val="20"/>
                <w:color w:val="auto"/>
              </w:rPr>
            </w:pPr>
            <w:r>
              <w:rPr>
                <w:rFonts w:ascii="Arial" w:cs="Arial" w:eastAsia="Arial" w:hAnsi="Arial"/>
                <w:sz w:val="18"/>
                <w:szCs w:val="18"/>
                <w:color w:val="auto"/>
                <w:w w:val="88"/>
              </w:rPr>
              <w:t>Amended and Restated Stock Sale Restriction Agreement by and between Luna Innovations Incorporated and Robert P. Lenk, dated as of</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January 23, 2007. (Exhibit 10.4)</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10.26(13)</w:t>
            </w:r>
          </w:p>
        </w:tc>
        <w:tc>
          <w:tcPr>
            <w:tcW w:w="9780" w:type="dxa"/>
            <w:vAlign w:val="bottom"/>
            <w:gridSpan w:val="2"/>
          </w:tcPr>
          <w:p>
            <w:pPr>
              <w:spacing w:after="0"/>
              <w:rPr>
                <w:sz w:val="20"/>
                <w:szCs w:val="20"/>
                <w:color w:val="auto"/>
              </w:rPr>
            </w:pPr>
            <w:r>
              <w:rPr>
                <w:rFonts w:ascii="Arial" w:cs="Arial" w:eastAsia="Arial" w:hAnsi="Arial"/>
                <w:sz w:val="18"/>
                <w:szCs w:val="18"/>
                <w:color w:val="auto"/>
                <w:w w:val="88"/>
              </w:rPr>
              <w:t>Amended and Restated Stock Sale Restriction Agreement by and between Luna Innovations Incorporated and Scott A. Meller, dated as of</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January 23, 2007. (Exhibit 10.5)</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10.27(13)</w:t>
            </w:r>
          </w:p>
        </w:tc>
        <w:tc>
          <w:tcPr>
            <w:tcW w:w="9780" w:type="dxa"/>
            <w:vAlign w:val="bottom"/>
            <w:gridSpan w:val="2"/>
          </w:tcPr>
          <w:p>
            <w:pPr>
              <w:spacing w:after="0"/>
              <w:rPr>
                <w:sz w:val="20"/>
                <w:szCs w:val="20"/>
                <w:color w:val="auto"/>
              </w:rPr>
            </w:pPr>
            <w:r>
              <w:rPr>
                <w:rFonts w:ascii="Arial" w:cs="Arial" w:eastAsia="Arial" w:hAnsi="Arial"/>
                <w:sz w:val="18"/>
                <w:szCs w:val="18"/>
                <w:color w:val="auto"/>
                <w:w w:val="87"/>
              </w:rPr>
              <w:t>Amended and Restated Stock Sale Restriction Agreement by and between Luna Innovations Incorporated and Michael F. Gunther, dated as</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of January 23, 2007. (Exhibit 10.6)</w:t>
            </w:r>
          </w:p>
        </w:tc>
      </w:tr>
      <w:tr>
        <w:trPr>
          <w:trHeight w:val="318"/>
        </w:trPr>
        <w:tc>
          <w:tcPr>
            <w:tcW w:w="20" w:type="dxa"/>
            <w:vAlign w:val="bottom"/>
          </w:tcPr>
          <w:p>
            <w:pPr>
              <w:spacing w:after="0"/>
              <w:rPr>
                <w:sz w:val="24"/>
                <w:szCs w:val="24"/>
                <w:color w:val="auto"/>
              </w:rPr>
            </w:pPr>
          </w:p>
        </w:tc>
        <w:tc>
          <w:tcPr>
            <w:tcW w:w="1600" w:type="dxa"/>
            <w:vAlign w:val="bottom"/>
            <w:gridSpan w:val="2"/>
          </w:tcPr>
          <w:p>
            <w:pPr>
              <w:ind w:left="180"/>
              <w:spacing w:after="0"/>
              <w:rPr>
                <w:sz w:val="20"/>
                <w:szCs w:val="20"/>
                <w:color w:val="auto"/>
              </w:rPr>
            </w:pPr>
            <w:r>
              <w:rPr>
                <w:rFonts w:ascii="Arial" w:cs="Arial" w:eastAsia="Arial" w:hAnsi="Arial"/>
                <w:sz w:val="18"/>
                <w:szCs w:val="18"/>
                <w:color w:val="auto"/>
              </w:rPr>
              <w:t>10.28(14)†</w:t>
            </w:r>
          </w:p>
        </w:tc>
        <w:tc>
          <w:tcPr>
            <w:tcW w:w="9780" w:type="dxa"/>
            <w:vAlign w:val="bottom"/>
            <w:gridSpan w:val="2"/>
          </w:tcPr>
          <w:p>
            <w:pPr>
              <w:spacing w:after="0"/>
              <w:rPr>
                <w:sz w:val="20"/>
                <w:szCs w:val="20"/>
                <w:color w:val="auto"/>
              </w:rPr>
            </w:pPr>
            <w:r>
              <w:rPr>
                <w:rFonts w:ascii="Arial" w:cs="Arial" w:eastAsia="Arial" w:hAnsi="Arial"/>
                <w:sz w:val="18"/>
                <w:szCs w:val="18"/>
                <w:color w:val="auto"/>
                <w:w w:val="92"/>
              </w:rPr>
              <w:t>Development and Supply Agreement by and between Luna Innovations Incorporated and Intuitive Surgical, Inc. dated June 11, 2007</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(Exhibit 10.1)</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10.29(15)</w:t>
            </w: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Second Amended and Restated Stock Sale Restriction Agreement by and between Luna Innovations Incorporated and Kent A. Murphy,</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dated as of January 23, 2007. (Exhibit 10.1)</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10.30(15)</w:t>
            </w: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Second Amended and Restated Stock Sale Restriction Agreement by and between Luna Innovations Incorporated and Dale E. Messick,</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dated as of January 23, 2007. (Exhibit 10.2)</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10.31(15)</w:t>
            </w:r>
          </w:p>
        </w:tc>
        <w:tc>
          <w:tcPr>
            <w:tcW w:w="9780" w:type="dxa"/>
            <w:vAlign w:val="bottom"/>
            <w:gridSpan w:val="2"/>
          </w:tcPr>
          <w:p>
            <w:pPr>
              <w:spacing w:after="0"/>
              <w:rPr>
                <w:sz w:val="20"/>
                <w:szCs w:val="20"/>
                <w:color w:val="auto"/>
              </w:rPr>
            </w:pPr>
            <w:r>
              <w:rPr>
                <w:rFonts w:ascii="Arial" w:cs="Arial" w:eastAsia="Arial" w:hAnsi="Arial"/>
                <w:sz w:val="18"/>
                <w:szCs w:val="18"/>
                <w:color w:val="auto"/>
                <w:w w:val="90"/>
              </w:rPr>
              <w:t>Second Amended and Restated Stock Sale Restriction Agreement by and between Luna Innovations Incorporated and Scott A. Graeff,</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dated as of January 23, 2007. (Exhibit 10.3)</w:t>
            </w:r>
          </w:p>
        </w:tc>
      </w:tr>
      <w:tr>
        <w:trPr>
          <w:trHeight w:val="318"/>
        </w:trPr>
        <w:tc>
          <w:tcPr>
            <w:tcW w:w="1620" w:type="dxa"/>
            <w:vAlign w:val="bottom"/>
            <w:gridSpan w:val="3"/>
          </w:tcPr>
          <w:p>
            <w:pPr>
              <w:ind w:left="180"/>
              <w:spacing w:after="0"/>
              <w:rPr>
                <w:sz w:val="20"/>
                <w:szCs w:val="20"/>
                <w:color w:val="auto"/>
              </w:rPr>
            </w:pPr>
            <w:r>
              <w:rPr>
                <w:rFonts w:ascii="Arial" w:cs="Arial" w:eastAsia="Arial" w:hAnsi="Arial"/>
                <w:sz w:val="18"/>
                <w:szCs w:val="18"/>
                <w:color w:val="auto"/>
              </w:rPr>
              <w:t>10.32(15)</w:t>
            </w:r>
          </w:p>
        </w:tc>
        <w:tc>
          <w:tcPr>
            <w:tcW w:w="9780" w:type="dxa"/>
            <w:vAlign w:val="bottom"/>
            <w:gridSpan w:val="2"/>
          </w:tcPr>
          <w:p>
            <w:pPr>
              <w:spacing w:after="0"/>
              <w:rPr>
                <w:sz w:val="20"/>
                <w:szCs w:val="20"/>
                <w:color w:val="auto"/>
              </w:rPr>
            </w:pPr>
            <w:r>
              <w:rPr>
                <w:rFonts w:ascii="Arial" w:cs="Arial" w:eastAsia="Arial" w:hAnsi="Arial"/>
                <w:sz w:val="18"/>
                <w:szCs w:val="18"/>
                <w:color w:val="auto"/>
                <w:w w:val="88"/>
              </w:rPr>
              <w:t>Amended and Restated Stock Sale Restriction Agreement by and between Luna Innovations Incorporated and Robert P. Lenk, dated as of</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January 23, 2007. (Exhibit 10.4)</w:t>
            </w: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780" w:type="dxa"/>
            <w:vAlign w:val="bottom"/>
            <w:gridSpan w:val="2"/>
          </w:tcPr>
          <w:p>
            <w:pPr>
              <w:ind w:left="4000"/>
              <w:spacing w:after="0"/>
              <w:rPr>
                <w:sz w:val="20"/>
                <w:szCs w:val="20"/>
                <w:color w:val="auto"/>
              </w:rPr>
            </w:pPr>
            <w:r>
              <w:rPr>
                <w:rFonts w:ascii="Arial" w:cs="Arial" w:eastAsia="Arial" w:hAnsi="Arial"/>
                <w:sz w:val="18"/>
                <w:szCs w:val="18"/>
                <w:color w:val="auto"/>
              </w:rPr>
              <w:t>80</w:t>
            </w:r>
          </w:p>
        </w:tc>
      </w:tr>
    </w:tbl>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Exhibit No.</w:t>
            </w:r>
          </w:p>
        </w:tc>
        <w:tc>
          <w:tcPr>
            <w:tcW w:w="980" w:type="dxa"/>
            <w:vAlign w:val="bottom"/>
          </w:tcPr>
          <w:p>
            <w:pPr>
              <w:spacing w:after="0"/>
              <w:rPr>
                <w:sz w:val="14"/>
                <w:szCs w:val="14"/>
                <w:color w:val="auto"/>
              </w:rPr>
            </w:pPr>
          </w:p>
        </w:tc>
        <w:tc>
          <w:tcPr>
            <w:tcW w:w="950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980" w:type="dxa"/>
            <w:vAlign w:val="bottom"/>
            <w:vMerge w:val="continue"/>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16"/>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98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Consent of Grant Thornton LLP, Independent Registered Public Accounting Firm</w:t>
            </w:r>
          </w:p>
        </w:tc>
        <w:tc>
          <w:tcPr>
            <w:tcW w:w="0" w:type="dxa"/>
            <w:vAlign w:val="bottom"/>
          </w:tcPr>
          <w:p>
            <w:pPr>
              <w:spacing w:after="0"/>
              <w:rPr>
                <w:sz w:val="1"/>
                <w:szCs w:val="1"/>
                <w:color w:val="auto"/>
              </w:rPr>
            </w:pPr>
          </w:p>
        </w:tc>
      </w:tr>
      <w:tr>
        <w:trPr>
          <w:trHeight w:val="324"/>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24.1</w:t>
            </w:r>
          </w:p>
        </w:tc>
        <w:tc>
          <w:tcPr>
            <w:tcW w:w="98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Power of Attorney (see signature page)</w:t>
            </w:r>
          </w:p>
        </w:tc>
        <w:tc>
          <w:tcPr>
            <w:tcW w:w="0" w:type="dxa"/>
            <w:vAlign w:val="bottom"/>
          </w:tcPr>
          <w:p>
            <w:pPr>
              <w:spacing w:after="0"/>
              <w:rPr>
                <w:sz w:val="1"/>
                <w:szCs w:val="1"/>
                <w:color w:val="auto"/>
              </w:rPr>
            </w:pPr>
          </w:p>
        </w:tc>
      </w:tr>
      <w:tr>
        <w:trPr>
          <w:trHeight w:val="318"/>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98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Executive Officer pursuant to Rule 13a-14(a) and Rule 15d-14(a) of the Securities Exchange Act of 1934,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18"/>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98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90"/>
              </w:rPr>
              <w:t>Certification of the Chief Financial Officer pursuant to Rule 13a-14(a) and Rule 15d-14(a) of the Securities Exchange Act of 1934,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318"/>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98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r>
        <w:trPr>
          <w:trHeight w:val="318"/>
        </w:trPr>
        <w:tc>
          <w:tcPr>
            <w:tcW w:w="72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98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w w:val="88"/>
              </w:rPr>
              <w:t>Certification of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6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June 2, 2006. The number given in parentheses indicates the corresponding exhibit number in such Form 8-K.</w:t>
      </w:r>
    </w:p>
    <w:p>
      <w:pPr>
        <w:ind w:left="460" w:right="2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Registration Statement on Form S-1, Commission File No. 333-131764, filed on February 10, 2006. The number given in parentheses indicates the corresponding exhibit number in such Form S-1.</w:t>
      </w:r>
    </w:p>
    <w:p>
      <w:pPr>
        <w:ind w:left="460" w:right="22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5 of the Registrant’s Registration Statement on Form S-1, Commission File No. 333-131764, filed on April 19, 2006. The number given in parentheses indicates the corresponding exhibit number in such Form S-1.</w:t>
      </w:r>
    </w:p>
    <w:p>
      <w:pPr>
        <w:spacing w:after="0" w:line="1" w:lineRule="exact"/>
        <w:rPr>
          <w:rFonts w:ascii="Arial" w:cs="Arial" w:eastAsia="Arial" w:hAnsi="Arial"/>
          <w:sz w:val="16"/>
          <w:szCs w:val="16"/>
          <w:color w:val="auto"/>
        </w:rPr>
      </w:pPr>
    </w:p>
    <w:p>
      <w:pPr>
        <w:ind w:left="460" w:right="22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3 of the Registrant’s Registration Statement on Form S-1, Commission File No. 333-131764, filed on April 28, 2006. The number given in parentheses indicates the corresponding exhibit number in such Form S-1.</w:t>
      </w:r>
    </w:p>
    <w:p>
      <w:pPr>
        <w:spacing w:after="0" w:line="1" w:lineRule="exact"/>
        <w:rPr>
          <w:rFonts w:ascii="Arial" w:cs="Arial" w:eastAsia="Arial" w:hAnsi="Arial"/>
          <w:sz w:val="16"/>
          <w:szCs w:val="16"/>
          <w:color w:val="auto"/>
        </w:rPr>
      </w:pPr>
    </w:p>
    <w:p>
      <w:pPr>
        <w:ind w:left="460" w:right="58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July 14, 2006. The number given in parentheses indicates the corresponding exhibit number in such Form 8-K.</w:t>
      </w:r>
    </w:p>
    <w:p>
      <w:pPr>
        <w:ind w:left="460" w:right="3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August 29, 2006. The number given in parentheses indicates the corresponding exhibit number in such Form 8-K.</w:t>
      </w:r>
    </w:p>
    <w:p>
      <w:pPr>
        <w:ind w:left="460" w:right="1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December 20, 2006. The number given in parentheses indicates the corresponding exhibit number in such Form 8-K.</w:t>
      </w:r>
    </w:p>
    <w:p>
      <w:pPr>
        <w:ind w:left="460" w:right="58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July 20, 2006. The number given in parentheses indicates the corresponding exhibit number in such Form 8-K.</w:t>
      </w:r>
    </w:p>
    <w:p>
      <w:pPr>
        <w:ind w:left="460" w:right="22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2 of the Registrant’s Registration Statement on Form S-1, Commission File No. 333-131764, filed on April 10, 2006. The number given in parentheses indicates the corresponding exhibit number in such Form S-1.</w:t>
      </w:r>
    </w:p>
    <w:p>
      <w:pPr>
        <w:spacing w:after="0" w:line="1" w:lineRule="exact"/>
        <w:rPr>
          <w:rFonts w:ascii="Arial" w:cs="Arial" w:eastAsia="Arial" w:hAnsi="Arial"/>
          <w:sz w:val="16"/>
          <w:szCs w:val="16"/>
          <w:color w:val="auto"/>
        </w:rPr>
      </w:pPr>
    </w:p>
    <w:p>
      <w:pPr>
        <w:ind w:left="460" w:right="42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May 15, 2007. The number given in parentheses indicates the corresponding exhibit number in such Form 10-Q.</w:t>
      </w:r>
    </w:p>
    <w:p>
      <w:pPr>
        <w:ind w:left="46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Incorporated by reference to the exhibit to Registrant’s Quarterly Report on Form 10-Q, Commission File No. 000-52008, filed on November 13, 2006. The number given in parentheses indicates the corresponding exhibit number in such Form 10-Q.</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8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Incorporated by reference to the exhibit to Amendment No. 1 to Registrant’s Annual Report on Form 10-K, Commission File No. 000-52008, filed on April 6, 2007. The number given in parentheses indicates the corresponding exhibit number in such Form 10-K/A.</w:t>
      </w:r>
    </w:p>
    <w:p>
      <w:pPr>
        <w:ind w:left="4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January 23, 2007. The number given in parentheses indicates the corresponding exhibit number in such Form 8-K.</w:t>
      </w:r>
    </w:p>
    <w:p>
      <w:pPr>
        <w:ind w:left="460" w:right="24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June 11, 2007. The number given in parentheses indicates the corresponding exhibit number in such Form 8-K.</w:t>
      </w:r>
    </w:p>
    <w:p>
      <w:pPr>
        <w:ind w:left="460" w:right="18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exhibit to the Registrant’s Current Report on Form 8-K, Commission File No. 000-52008, dated March 3, 2008. The number given in parentheses indicates the corresponding exhibit number in such Form 8-K.</w:t>
      </w:r>
    </w:p>
    <w:p>
      <w:pPr>
        <w:spacing w:after="0" w:line="1" w:lineRule="exact"/>
        <w:rPr>
          <w:sz w:val="20"/>
          <w:szCs w:val="20"/>
          <w:color w:val="auto"/>
        </w:rPr>
      </w:pPr>
    </w:p>
    <w:p>
      <w:pPr>
        <w:ind w:left="460" w:hanging="408"/>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is requested</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240" w:top="459" w:right="5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UNA</w:t>
      </w:r>
      <w:r>
        <w:rPr>
          <w:rFonts w:ascii="Arial" w:cs="Arial" w:eastAsia="Arial" w:hAnsi="Arial"/>
          <w:sz w:val="18"/>
          <w:szCs w:val="18"/>
          <w:color w:val="auto"/>
        </w:rPr>
        <w:t xml:space="preserve"> I</w:t>
      </w:r>
      <w:r>
        <w:rPr>
          <w:rFonts w:ascii="Arial" w:cs="Arial" w:eastAsia="Arial" w:hAnsi="Arial"/>
          <w:sz w:val="14"/>
          <w:szCs w:val="14"/>
          <w:color w:val="auto"/>
        </w:rPr>
        <w:t>NNOVATIONS</w:t>
      </w:r>
      <w:r>
        <w:rPr>
          <w:rFonts w:ascii="Arial" w:cs="Arial" w:eastAsia="Arial" w:hAnsi="Arial"/>
          <w:sz w:val="18"/>
          <w:szCs w:val="18"/>
          <w:color w:val="auto"/>
        </w:rPr>
        <w:t xml:space="preserve"> I</w:t>
      </w:r>
      <w:r>
        <w:rPr>
          <w:rFonts w:ascii="Arial" w:cs="Arial" w:eastAsia="Arial" w:hAnsi="Arial"/>
          <w:sz w:val="14"/>
          <w:szCs w:val="14"/>
          <w:color w:val="auto"/>
        </w:rPr>
        <w:t>NCORPORATED</w:t>
      </w:r>
    </w:p>
    <w:p>
      <w:pPr>
        <w:spacing w:after="0" w:line="225" w:lineRule="exact"/>
        <w:rPr>
          <w:sz w:val="20"/>
          <w:szCs w:val="20"/>
          <w:color w:val="auto"/>
        </w:rPr>
      </w:pPr>
    </w:p>
    <w:p>
      <w:pPr>
        <w:ind w:left="6860"/>
        <w:spacing w:after="0"/>
        <w:tabs>
          <w:tab w:leader="none" w:pos="8040" w:val="left"/>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ENT</w:t>
      </w:r>
      <w:r>
        <w:rPr>
          <w:rFonts w:ascii="Arial" w:cs="Arial" w:eastAsia="Arial" w:hAnsi="Arial"/>
          <w:sz w:val="16"/>
          <w:szCs w:val="16"/>
          <w:color w:val="auto"/>
        </w:rPr>
        <w:t xml:space="preserve"> A. M</w:t>
      </w:r>
      <w:r>
        <w:rPr>
          <w:rFonts w:ascii="Arial" w:cs="Arial" w:eastAsia="Arial" w:hAnsi="Arial"/>
          <w:sz w:val="13"/>
          <w:szCs w:val="13"/>
          <w:color w:val="auto"/>
        </w:rPr>
        <w:t>URPHY</w:t>
      </w:r>
      <w:r>
        <w:rPr>
          <w:rFonts w:ascii="Arial" w:cs="Arial" w:eastAsia="Arial" w:hAnsi="Arial"/>
          <w:sz w:val="16"/>
          <w:szCs w:val="16"/>
          <w:color w:val="auto"/>
        </w:rPr>
        <w:t>, P</w:t>
      </w:r>
      <w:r>
        <w:rPr>
          <w:rFonts w:ascii="Arial" w:cs="Arial" w:eastAsia="Arial" w:hAnsi="Arial"/>
          <w:sz w:val="13"/>
          <w:szCs w:val="13"/>
          <w:color w:val="auto"/>
        </w:rPr>
        <w:t>H</w:t>
      </w: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Kent A. Murphy, Ph.D.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18, 2008</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Kent A. Murphy, Ph.D. and Dale E. Messick, and each of them acting individually, as his or her true and lawful attorneys-in-fact and agents, with full power of each to act alone, with full powers of substitution and resubstitution, for him or her and in his or her name, place and stead, in any and all capacities, to sign any and all amendments to this Annual Report on Form 10-K with all exhibits thereto and all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her, or their substitutes, may lawfully do or cause to be done by virtue hereof.</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4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4"/>
        </w:trPr>
        <w:tc>
          <w:tcPr>
            <w:tcW w:w="146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8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ENT</w:t>
            </w:r>
            <w:r>
              <w:rPr>
                <w:rFonts w:ascii="Arial" w:cs="Arial" w:eastAsia="Arial" w:hAnsi="Arial"/>
                <w:sz w:val="18"/>
                <w:szCs w:val="18"/>
                <w:color w:val="auto"/>
                <w:w w:val="98"/>
              </w:rPr>
              <w:t xml:space="preserve"> A. M</w:t>
            </w:r>
            <w:r>
              <w:rPr>
                <w:rFonts w:ascii="Arial" w:cs="Arial" w:eastAsia="Arial" w:hAnsi="Arial"/>
                <w:sz w:val="14"/>
                <w:szCs w:val="14"/>
                <w:color w:val="auto"/>
                <w:w w:val="98"/>
              </w:rPr>
              <w:t>URPHY</w:t>
            </w:r>
            <w:r>
              <w:rPr>
                <w:rFonts w:ascii="Arial" w:cs="Arial" w:eastAsia="Arial" w:hAnsi="Arial"/>
                <w:sz w:val="18"/>
                <w:szCs w:val="18"/>
                <w:color w:val="auto"/>
                <w:w w:val="98"/>
              </w:rPr>
              <w:t>, P</w:t>
            </w:r>
            <w:r>
              <w:rPr>
                <w:rFonts w:ascii="Arial" w:cs="Arial" w:eastAsia="Arial" w:hAnsi="Arial"/>
                <w:sz w:val="14"/>
                <w:szCs w:val="14"/>
                <w:color w:val="auto"/>
                <w:w w:val="98"/>
              </w:rPr>
              <w:t>H</w:t>
            </w:r>
            <w:r>
              <w:rPr>
                <w:rFonts w:ascii="Arial" w:cs="Arial" w:eastAsia="Arial" w:hAnsi="Arial"/>
                <w:sz w:val="18"/>
                <w:szCs w:val="18"/>
                <w:color w:val="auto"/>
                <w:w w:val="98"/>
              </w:rPr>
              <w:t>.D.</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President, Chief Executive Officer and 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18, 2008</w:t>
            </w:r>
          </w:p>
        </w:tc>
      </w:tr>
      <w:tr>
        <w:trPr>
          <w:trHeight w:val="202"/>
        </w:trPr>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2"/>
              </w:rPr>
              <w:t>Kent A. Murphy, Ph.D.</w:t>
            </w:r>
          </w:p>
        </w:tc>
        <w:tc>
          <w:tcPr>
            <w:tcW w:w="4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(Principal Executive Officer)</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6"/>
        </w:trPr>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ALE</w:t>
            </w:r>
            <w:r>
              <w:rPr>
                <w:rFonts w:ascii="Arial" w:cs="Arial" w:eastAsia="Arial" w:hAnsi="Arial"/>
                <w:sz w:val="18"/>
                <w:szCs w:val="18"/>
                <w:color w:val="auto"/>
                <w:w w:val="97"/>
              </w:rPr>
              <w:t xml:space="preserve"> E. M</w:t>
            </w:r>
            <w:r>
              <w:rPr>
                <w:rFonts w:ascii="Arial" w:cs="Arial" w:eastAsia="Arial" w:hAnsi="Arial"/>
                <w:sz w:val="14"/>
                <w:szCs w:val="14"/>
                <w:color w:val="auto"/>
                <w:w w:val="97"/>
              </w:rPr>
              <w:t>ESSICK</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(Principal Financial and</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18, 2008</w:t>
            </w:r>
          </w:p>
        </w:tc>
      </w:tr>
      <w:tr>
        <w:trPr>
          <w:trHeight w:val="202"/>
        </w:trPr>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7"/>
              </w:rPr>
              <w:t>Dale E. Messick</w:t>
            </w:r>
          </w:p>
        </w:tc>
        <w:tc>
          <w:tcPr>
            <w:tcW w:w="420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Accounting Officer)</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27"/>
        </w:trPr>
        <w:tc>
          <w:tcPr>
            <w:tcW w:w="14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7"/>
              </w:rPr>
              <w:t>N. L</w:t>
            </w:r>
            <w:r>
              <w:rPr>
                <w:rFonts w:ascii="Arial" w:cs="Arial" w:eastAsia="Arial" w:hAnsi="Arial"/>
                <w:sz w:val="14"/>
                <w:szCs w:val="14"/>
                <w:color w:val="auto"/>
                <w:w w:val="97"/>
              </w:rPr>
              <w:t>EIGH</w:t>
            </w:r>
            <w:r>
              <w:rPr>
                <w:rFonts w:ascii="Arial" w:cs="Arial" w:eastAsia="Arial" w:hAnsi="Arial"/>
                <w:sz w:val="18"/>
                <w:szCs w:val="18"/>
                <w:color w:val="auto"/>
                <w:w w:val="97"/>
              </w:rPr>
              <w:t xml:space="preserve"> A</w:t>
            </w:r>
            <w:r>
              <w:rPr>
                <w:rFonts w:ascii="Arial" w:cs="Arial" w:eastAsia="Arial" w:hAnsi="Arial"/>
                <w:sz w:val="14"/>
                <w:szCs w:val="14"/>
                <w:color w:val="auto"/>
                <w:w w:val="97"/>
              </w:rPr>
              <w:t>NDERSON</w:t>
            </w:r>
            <w:r>
              <w:rPr>
                <w:rFonts w:ascii="Arial" w:cs="Arial" w:eastAsia="Arial" w:hAnsi="Arial"/>
                <w:sz w:val="18"/>
                <w:szCs w:val="18"/>
                <w:color w:val="auto"/>
                <w:w w:val="97"/>
              </w:rPr>
              <w:t>, P</w:t>
            </w:r>
            <w:r>
              <w:rPr>
                <w:rFonts w:ascii="Arial" w:cs="Arial" w:eastAsia="Arial" w:hAnsi="Arial"/>
                <w:sz w:val="14"/>
                <w:szCs w:val="14"/>
                <w:color w:val="auto"/>
                <w:w w:val="97"/>
              </w:rPr>
              <w:t>H</w:t>
            </w:r>
            <w:r>
              <w:rPr>
                <w:rFonts w:ascii="Arial" w:cs="Arial" w:eastAsia="Arial" w:hAnsi="Arial"/>
                <w:sz w:val="18"/>
                <w:szCs w:val="18"/>
                <w:color w:val="auto"/>
                <w:w w:val="97"/>
              </w:rPr>
              <w:t>.D.</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18, 2008</w:t>
            </w:r>
          </w:p>
        </w:tc>
      </w:tr>
      <w:tr>
        <w:trPr>
          <w:trHeight w:val="169"/>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8"/>
              </w:rPr>
              <w:t>N. Leigh Anderson, Ph.D.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C. B</w:t>
            </w:r>
            <w:r>
              <w:rPr>
                <w:rFonts w:ascii="Arial" w:cs="Arial" w:eastAsia="Arial" w:hAnsi="Arial"/>
                <w:sz w:val="14"/>
                <w:szCs w:val="14"/>
                <w:color w:val="auto"/>
                <w:w w:val="98"/>
              </w:rPr>
              <w:t>ACKUS</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18, 2008</w:t>
            </w:r>
          </w:p>
        </w:tc>
      </w:tr>
      <w:tr>
        <w:trPr>
          <w:trHeight w:val="169"/>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7"/>
              </w:rPr>
              <w:t>John C. Backus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D</w:t>
            </w:r>
            <w:r>
              <w:rPr>
                <w:rFonts w:ascii="Arial" w:cs="Arial" w:eastAsia="Arial" w:hAnsi="Arial"/>
                <w:sz w:val="14"/>
                <w:szCs w:val="14"/>
                <w:color w:val="auto"/>
              </w:rPr>
              <w:t>ANIELS</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18, 2008</w:t>
            </w:r>
          </w:p>
        </w:tc>
      </w:tr>
      <w:tr>
        <w:trPr>
          <w:trHeight w:val="169"/>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7"/>
              </w:rPr>
              <w:t>Michael Daniels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OBBIE</w:t>
            </w:r>
            <w:r>
              <w:rPr>
                <w:rFonts w:ascii="Arial" w:cs="Arial" w:eastAsia="Arial" w:hAnsi="Arial"/>
                <w:sz w:val="18"/>
                <w:szCs w:val="18"/>
                <w:color w:val="auto"/>
              </w:rPr>
              <w:t xml:space="preserve"> K</w:t>
            </w:r>
            <w:r>
              <w:rPr>
                <w:rFonts w:ascii="Arial" w:cs="Arial" w:eastAsia="Arial" w:hAnsi="Arial"/>
                <w:sz w:val="14"/>
                <w:szCs w:val="14"/>
                <w:color w:val="auto"/>
              </w:rPr>
              <w:t>ILBERG</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18, 2008</w:t>
            </w:r>
          </w:p>
        </w:tc>
      </w:tr>
      <w:tr>
        <w:trPr>
          <w:trHeight w:val="169"/>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8"/>
              </w:rPr>
              <w:t>Bobbie Kilberg</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14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8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DWARD</w:t>
            </w:r>
            <w:r>
              <w:rPr>
                <w:rFonts w:ascii="Arial" w:cs="Arial" w:eastAsia="Arial" w:hAnsi="Arial"/>
                <w:sz w:val="18"/>
                <w:szCs w:val="18"/>
                <w:color w:val="auto"/>
                <w:w w:val="97"/>
              </w:rPr>
              <w:t xml:space="preserve"> G. M</w:t>
            </w:r>
            <w:r>
              <w:rPr>
                <w:rFonts w:ascii="Arial" w:cs="Arial" w:eastAsia="Arial" w:hAnsi="Arial"/>
                <w:sz w:val="14"/>
                <w:szCs w:val="14"/>
                <w:color w:val="auto"/>
                <w:w w:val="97"/>
              </w:rPr>
              <w:t>URPHY</w:t>
            </w:r>
            <w:r>
              <w:rPr>
                <w:rFonts w:ascii="Arial" w:cs="Arial" w:eastAsia="Arial" w:hAnsi="Arial"/>
                <w:sz w:val="18"/>
                <w:szCs w:val="18"/>
                <w:color w:val="auto"/>
                <w:w w:val="97"/>
              </w:rPr>
              <w:t>, M.D.</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18, 2008</w:t>
            </w:r>
          </w:p>
        </w:tc>
      </w:tr>
      <w:tr>
        <w:trPr>
          <w:trHeight w:val="169"/>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4"/>
              </w:rPr>
              <w:t>Edward G. Murphy, M.D.</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5"/>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R</w:t>
            </w:r>
            <w:r>
              <w:rPr>
                <w:rFonts w:ascii="Arial" w:cs="Arial" w:eastAsia="Arial" w:hAnsi="Arial"/>
                <w:sz w:val="14"/>
                <w:szCs w:val="14"/>
                <w:color w:val="auto"/>
              </w:rPr>
              <w:t>ICHARD</w:t>
            </w:r>
            <w:r>
              <w:rPr>
                <w:rFonts w:ascii="Arial" w:cs="Arial" w:eastAsia="Arial" w:hAnsi="Arial"/>
                <w:sz w:val="18"/>
                <w:szCs w:val="18"/>
                <w:color w:val="auto"/>
              </w:rPr>
              <w:t xml:space="preserve"> W. R</w:t>
            </w:r>
            <w:r>
              <w:rPr>
                <w:rFonts w:ascii="Arial" w:cs="Arial" w:eastAsia="Arial" w:hAnsi="Arial"/>
                <w:sz w:val="14"/>
                <w:szCs w:val="14"/>
                <w:color w:val="auto"/>
              </w:rPr>
              <w:t>OEDEL</w:t>
            </w:r>
          </w:p>
        </w:tc>
        <w:tc>
          <w:tcPr>
            <w:tcW w:w="420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512"/>
              <w:spacing w:after="0"/>
              <w:rPr>
                <w:sz w:val="20"/>
                <w:szCs w:val="20"/>
                <w:color w:val="auto"/>
              </w:rPr>
            </w:pPr>
            <w:r>
              <w:rPr>
                <w:rFonts w:ascii="Arial" w:cs="Arial" w:eastAsia="Arial" w:hAnsi="Arial"/>
                <w:sz w:val="18"/>
                <w:szCs w:val="18"/>
                <w:color w:val="auto"/>
                <w:w w:val="89"/>
              </w:rPr>
              <w:t>March 18, 2008</w:t>
            </w:r>
          </w:p>
        </w:tc>
      </w:tr>
      <w:tr>
        <w:trPr>
          <w:trHeight w:val="169"/>
        </w:trPr>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7"/>
              </w:rPr>
              <w:t>Richard W. Roedel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350"/>
        </w:trPr>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8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21.1</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SUBSIDIARIES</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Luna Technologies, Inc.</w:t>
      </w:r>
    </w:p>
    <w:p>
      <w:pPr>
        <w:sectPr>
          <w:pgSz w:w="11900" w:h="16838" w:orient="portrait"/>
          <w:cols w:equalWidth="0" w:num="1">
            <w:col w:w="10220"/>
          </w:cols>
          <w:pgMar w:left="14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issued our report dated March 18, 2008, accompanying the consolidated financial statements and schedule included in the Annual Report of Luna Innovations Incorporated on Form 10-K for the year ended December 31, 2007. We hereby consent to the incorporation by reference of said report in the Registration Statement of Luna Innovations Incorporated on Form S-8 (File No. 333-138745, effective November 16, 2006).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18, 2008</w:t>
      </w:r>
    </w:p>
    <w:p>
      <w:pPr>
        <w:spacing w:after="0" w:line="200" w:lineRule="exact"/>
        <w:rPr>
          <w:sz w:val="20"/>
          <w:szCs w:val="20"/>
          <w:color w:val="auto"/>
        </w:rPr>
      </w:pPr>
    </w:p>
    <w:p>
      <w:pPr>
        <w:spacing w:after="0" w:line="221" w:lineRule="exact"/>
        <w:rPr>
          <w:sz w:val="20"/>
          <w:szCs w:val="20"/>
          <w:color w:val="auto"/>
        </w:rPr>
      </w:pPr>
    </w:p>
    <w:p>
      <w:pPr>
        <w:ind w:left="7860"/>
        <w:spacing w:after="0"/>
        <w:tabs>
          <w:tab w:leader="none" w:pos="82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RANT</w:t>
      </w:r>
      <w:r>
        <w:rPr>
          <w:rFonts w:ascii="Arial" w:cs="Arial" w:eastAsia="Arial" w:hAnsi="Arial"/>
          <w:sz w:val="16"/>
          <w:szCs w:val="16"/>
          <w:color w:val="auto"/>
        </w:rPr>
        <w:t xml:space="preserve"> T</w:t>
      </w:r>
      <w:r>
        <w:rPr>
          <w:rFonts w:ascii="Arial" w:cs="Arial" w:eastAsia="Arial" w:hAnsi="Arial"/>
          <w:sz w:val="13"/>
          <w:szCs w:val="13"/>
          <w:color w:val="auto"/>
        </w:rPr>
        <w:t>HORNTON</w:t>
      </w:r>
      <w:r>
        <w:rPr>
          <w:rFonts w:ascii="Arial" w:cs="Arial" w:eastAsia="Arial" w:hAnsi="Arial"/>
          <w:sz w:val="16"/>
          <w:szCs w:val="16"/>
          <w:color w:val="auto"/>
        </w:rPr>
        <w: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8500"/>
        <w:spacing w:after="0"/>
        <w:rPr>
          <w:sz w:val="20"/>
          <w:szCs w:val="20"/>
          <w:color w:val="auto"/>
        </w:rPr>
      </w:pPr>
      <w:r>
        <w:rPr>
          <w:rFonts w:ascii="Arial" w:cs="Arial" w:eastAsia="Arial" w:hAnsi="Arial"/>
          <w:sz w:val="14"/>
          <w:szCs w:val="14"/>
          <w:b w:val="1"/>
          <w:bCs w:val="1"/>
          <w:color w:val="auto"/>
        </w:rPr>
        <w:t>Grant Thornton, LLP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31.1—CERTIFICATION OF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Kent A. Murphy, certify that:</w:t>
      </w:r>
    </w:p>
    <w:p>
      <w:pPr>
        <w:spacing w:after="0" w:line="90"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Luna Innovations Incorporated;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60" w:firstLine="443"/>
        <w:spacing w:after="0" w:line="259" w:lineRule="auto"/>
        <w:tabs>
          <w:tab w:leader="none" w:pos="113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2008</w:t>
      </w:r>
    </w:p>
    <w:p>
      <w:pPr>
        <w:spacing w:after="0" w:line="200" w:lineRule="exact"/>
        <w:rPr>
          <w:sz w:val="20"/>
          <w:szCs w:val="20"/>
          <w:color w:val="auto"/>
        </w:rPr>
      </w:pPr>
    </w:p>
    <w:p>
      <w:pPr>
        <w:spacing w:after="0" w:line="228" w:lineRule="exact"/>
        <w:rPr>
          <w:sz w:val="20"/>
          <w:szCs w:val="20"/>
          <w:color w:val="auto"/>
        </w:rPr>
      </w:pPr>
    </w:p>
    <w:p>
      <w:pPr>
        <w:ind w:left="7840"/>
        <w:spacing w:after="0"/>
        <w:tabs>
          <w:tab w:leader="none" w:pos="8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ENT</w:t>
      </w:r>
      <w:r>
        <w:rPr>
          <w:rFonts w:ascii="Arial" w:cs="Arial" w:eastAsia="Arial" w:hAnsi="Arial"/>
          <w:sz w:val="16"/>
          <w:szCs w:val="16"/>
          <w:color w:val="auto"/>
        </w:rPr>
        <w:t xml:space="preserve"> A. M</w:t>
      </w:r>
      <w:r>
        <w:rPr>
          <w:rFonts w:ascii="Arial" w:cs="Arial" w:eastAsia="Arial" w:hAnsi="Arial"/>
          <w:sz w:val="13"/>
          <w:szCs w:val="13"/>
          <w:color w:val="auto"/>
        </w:rPr>
        <w:t>URPHY</w:t>
      </w:r>
      <w:r>
        <w:rPr>
          <w:rFonts w:ascii="Arial" w:cs="Arial" w:eastAsia="Arial" w:hAnsi="Arial"/>
          <w:sz w:val="16"/>
          <w:szCs w:val="16"/>
          <w:color w:val="auto"/>
        </w:rPr>
        <w:t>, P</w:t>
      </w:r>
      <w:r>
        <w:rPr>
          <w:rFonts w:ascii="Arial" w:cs="Arial" w:eastAsia="Arial" w:hAnsi="Arial"/>
          <w:sz w:val="13"/>
          <w:szCs w:val="13"/>
          <w:color w:val="auto"/>
        </w:rPr>
        <w:t>H</w:t>
      </w: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Kent A. Murphy, Ph.D.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31.2—CERTIFICATION OF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Dale E. Messick, certify that:</w:t>
      </w:r>
    </w:p>
    <w:p>
      <w:pPr>
        <w:spacing w:after="0" w:line="90"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Luna Innovations Incorporated;</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60" w:firstLine="443"/>
        <w:spacing w:after="0" w:line="259"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2008</w:t>
      </w:r>
    </w:p>
    <w:p>
      <w:pPr>
        <w:spacing w:after="0" w:line="200" w:lineRule="exact"/>
        <w:rPr>
          <w:sz w:val="20"/>
          <w:szCs w:val="20"/>
          <w:color w:val="auto"/>
        </w:rPr>
      </w:pPr>
    </w:p>
    <w:p>
      <w:pPr>
        <w:spacing w:after="0" w:line="228" w:lineRule="exact"/>
        <w:rPr>
          <w:sz w:val="20"/>
          <w:szCs w:val="20"/>
          <w:color w:val="auto"/>
        </w:rPr>
      </w:pPr>
    </w:p>
    <w:p>
      <w:pPr>
        <w:ind w:left="8100"/>
        <w:spacing w:after="0"/>
        <w:tabs>
          <w:tab w:leader="none" w:pos="84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ALE</w:t>
      </w:r>
      <w:r>
        <w:rPr>
          <w:rFonts w:ascii="Arial" w:cs="Arial" w:eastAsia="Arial" w:hAnsi="Arial"/>
          <w:sz w:val="16"/>
          <w:szCs w:val="16"/>
          <w:color w:val="auto"/>
        </w:rPr>
        <w:t xml:space="preserve"> E. M</w:t>
      </w:r>
      <w:r>
        <w:rPr>
          <w:rFonts w:ascii="Arial" w:cs="Arial" w:eastAsia="Arial" w:hAnsi="Arial"/>
          <w:sz w:val="13"/>
          <w:szCs w:val="13"/>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Dale E. Messick</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32.1—CERTIFICATION OF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annual report of Luna Innovations Incorporated (the “Company”) on Form 10-K for the period ending December 31, 2007 as filed with the Securities and Exchange Commission on the date hereof (the “Report”), I, Kent A. Murphy, Chief Executive Officer of the Company, certify, pursuant to 18 U.S.C. § 1350, as adopted pursuant to § 906 of the Sarbanes-Oxley Act of 2002, that to my knowledge:</w:t>
      </w:r>
    </w:p>
    <w:p>
      <w:pPr>
        <w:spacing w:after="0" w:line="140" w:lineRule="exact"/>
        <w:rPr>
          <w:sz w:val="20"/>
          <w:szCs w:val="20"/>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520" w:firstLine="464"/>
        <w:spacing w:after="0" w:line="456"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March 18, 2008</w:t>
      </w:r>
    </w:p>
    <w:p>
      <w:pPr>
        <w:spacing w:after="0" w:line="226" w:lineRule="exact"/>
        <w:rPr>
          <w:sz w:val="20"/>
          <w:szCs w:val="20"/>
          <w:color w:val="auto"/>
        </w:rPr>
      </w:pPr>
    </w:p>
    <w:p>
      <w:pPr>
        <w:ind w:left="7840"/>
        <w:spacing w:after="0"/>
        <w:tabs>
          <w:tab w:leader="none" w:pos="8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ENT</w:t>
      </w:r>
      <w:r>
        <w:rPr>
          <w:rFonts w:ascii="Arial" w:cs="Arial" w:eastAsia="Arial" w:hAnsi="Arial"/>
          <w:sz w:val="16"/>
          <w:szCs w:val="16"/>
          <w:color w:val="auto"/>
        </w:rPr>
        <w:t xml:space="preserve"> A. M</w:t>
      </w:r>
      <w:r>
        <w:rPr>
          <w:rFonts w:ascii="Arial" w:cs="Arial" w:eastAsia="Arial" w:hAnsi="Arial"/>
          <w:sz w:val="13"/>
          <w:szCs w:val="13"/>
          <w:color w:val="auto"/>
        </w:rPr>
        <w:t>URPHY</w:t>
      </w:r>
      <w:r>
        <w:rPr>
          <w:rFonts w:ascii="Arial" w:cs="Arial" w:eastAsia="Arial" w:hAnsi="Arial"/>
          <w:sz w:val="16"/>
          <w:szCs w:val="16"/>
          <w:color w:val="auto"/>
        </w:rPr>
        <w:t>, P</w:t>
      </w:r>
      <w:r>
        <w:rPr>
          <w:rFonts w:ascii="Arial" w:cs="Arial" w:eastAsia="Arial" w:hAnsi="Arial"/>
          <w:sz w:val="13"/>
          <w:szCs w:val="13"/>
          <w:color w:val="auto"/>
        </w:rPr>
        <w:t>H</w:t>
      </w: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Kent A. Murphy, Ph.D.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President and Chief Executive Officer</w:t>
      </w:r>
    </w:p>
    <w:p>
      <w:pPr>
        <w:sectPr>
          <w:pgSz w:w="11900" w:h="16838" w:orient="portrait"/>
          <w:cols w:equalWidth="0" w:num="1">
            <w:col w:w="11420"/>
          </w:cols>
          <w:pgMar w:left="240" w:top="12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32.2—CERTIFICATION OF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annual report of Luna Innovations Incorporated (the “Company”) on Form 10-K for the period ending December 31, 2007 as filed with the Securities and Exchange Commission on the date hereof (the “Report”), I, Dale E. Messick, Chief Financial Officer of the Company, certify, pursuant to 18 U.S.C. § 1350, as adopted pursuant to §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520" w:firstLine="464"/>
        <w:spacing w:after="0" w:line="456"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March 18, 2008</w:t>
      </w:r>
    </w:p>
    <w:p>
      <w:pPr>
        <w:spacing w:after="0" w:line="226" w:lineRule="exact"/>
        <w:rPr>
          <w:sz w:val="20"/>
          <w:szCs w:val="20"/>
          <w:color w:val="auto"/>
        </w:rPr>
      </w:pPr>
    </w:p>
    <w:p>
      <w:pPr>
        <w:ind w:left="8100"/>
        <w:spacing w:after="0"/>
        <w:tabs>
          <w:tab w:leader="none" w:pos="84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ALE</w:t>
      </w:r>
      <w:r>
        <w:rPr>
          <w:rFonts w:ascii="Arial" w:cs="Arial" w:eastAsia="Arial" w:hAnsi="Arial"/>
          <w:sz w:val="16"/>
          <w:szCs w:val="16"/>
          <w:color w:val="auto"/>
        </w:rPr>
        <w:t xml:space="preserve"> E. M</w:t>
      </w:r>
      <w:r>
        <w:rPr>
          <w:rFonts w:ascii="Arial" w:cs="Arial" w:eastAsia="Arial" w:hAnsi="Arial"/>
          <w:sz w:val="13"/>
          <w:szCs w:val="13"/>
          <w:color w:val="auto"/>
        </w:rPr>
        <w:t>ESSICK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Dale E. Messick</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decimal"/>
      <w:start w:val="3"/>
    </w:lvl>
  </w:abstractNum>
  <w:abstractNum w:abstractNumId="26">
    <w:nsid w:val="77465F01"/>
    <w:multiLevelType w:val="hybridMultilevel"/>
    <w:lvl w:ilvl="0">
      <w:lvlJc w:val="left"/>
      <w:lvlText w:val="%1."/>
      <w:numFmt w:val="decimal"/>
      <w:start w:val="4"/>
    </w:lvl>
  </w:abstractNum>
  <w:abstractNum w:abstractNumId="27">
    <w:nsid w:val="7724C67E"/>
    <w:multiLevelType w:val="hybridMultilevel"/>
    <w:lvl w:ilvl="0">
      <w:lvlJc w:val="left"/>
      <w:lvlText w:val="%1."/>
      <w:numFmt w:val="decimal"/>
      <w:start w:val="5"/>
    </w:lvl>
  </w:abstractNum>
  <w:abstractNum w:abstractNumId="28">
    <w:nsid w:val="5C482A97"/>
    <w:multiLevelType w:val="hybridMultilevel"/>
    <w:lvl w:ilvl="0">
      <w:lvlJc w:val="left"/>
      <w:lvlText w:val="%1."/>
      <w:numFmt w:val="decimal"/>
      <w:start w:val="6"/>
    </w:lvl>
  </w:abstractNum>
  <w:abstractNum w:abstractNumId="29">
    <w:nsid w:val="2463B9EA"/>
    <w:multiLevelType w:val="hybridMultilevel"/>
    <w:lvl w:ilvl="0">
      <w:lvlJc w:val="left"/>
      <w:lvlText w:val="%1."/>
      <w:numFmt w:val="decimal"/>
      <w:start w:val="7"/>
    </w:lvl>
  </w:abstractNum>
  <w:abstractNum w:abstractNumId="30">
    <w:nsid w:val="5E884ADC"/>
    <w:multiLevelType w:val="hybridMultilevel"/>
    <w:lvl w:ilvl="0">
      <w:lvlJc w:val="left"/>
      <w:lvlText w:val="%1."/>
      <w:numFmt w:val="decimal"/>
      <w:start w:val="8"/>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9"/>
    </w:lvl>
  </w:abstractNum>
  <w:abstractNum w:abstractNumId="33">
    <w:nsid w:val="580BD78F"/>
    <w:multiLevelType w:val="hybridMultilevel"/>
    <w:lvl w:ilvl="0">
      <w:lvlJc w:val="left"/>
      <w:lvlText w:val="%1."/>
      <w:numFmt w:val="decimal"/>
      <w:start w:val="10"/>
    </w:lvl>
  </w:abstractNum>
  <w:abstractNum w:abstractNumId="34">
    <w:nsid w:val="153EA438"/>
    <w:multiLevelType w:val="hybridMultilevel"/>
    <w:lvl w:ilvl="0">
      <w:lvlJc w:val="left"/>
      <w:lvlText w:val="%1."/>
      <w:numFmt w:val="decimal"/>
      <w:start w:val="11"/>
    </w:lvl>
  </w:abstractNum>
  <w:abstractNum w:abstractNumId="35">
    <w:nsid w:val="3855585C"/>
    <w:multiLevelType w:val="hybridMultilevel"/>
    <w:lvl w:ilvl="0">
      <w:lvlJc w:val="left"/>
      <w:lvlText w:val="%1."/>
      <w:numFmt w:val="decimal"/>
      <w:start w:val="12"/>
    </w:lvl>
  </w:abstractNum>
  <w:abstractNum w:abstractNumId="36">
    <w:nsid w:val="70A64E2A"/>
    <w:multiLevelType w:val="hybridMultilevel"/>
    <w:lvl w:ilvl="0">
      <w:lvlJc w:val="left"/>
      <w:lvlText w:val="%1."/>
      <w:numFmt w:val="decimal"/>
      <w:start w:val="13"/>
    </w:lvl>
  </w:abstractNum>
  <w:abstractNum w:abstractNumId="37">
    <w:nsid w:val="6A2342EC"/>
    <w:multiLevelType w:val="hybridMultilevel"/>
    <w:lvl w:ilvl="0">
      <w:lvlJc w:val="left"/>
      <w:lvlText w:val="%1."/>
      <w:numFmt w:val="decimal"/>
      <w:start w:val="14"/>
    </w:lvl>
  </w:abstractNum>
  <w:abstractNum w:abstractNumId="38">
    <w:nsid w:val="2A487CB0"/>
    <w:multiLevelType w:val="hybridMultilevel"/>
    <w:lvl w:ilvl="0">
      <w:lvlJc w:val="left"/>
      <w:lvlText w:val="%1."/>
      <w:numFmt w:val="decimal"/>
      <w:start w:val="15"/>
    </w:lvl>
  </w:abstractNum>
  <w:abstractNum w:abstractNumId="39">
    <w:nsid w:val="1D4ED43B"/>
    <w:multiLevelType w:val="hybridMultilevel"/>
    <w:lvl w:ilvl="0">
      <w:lvlJc w:val="left"/>
      <w:lvlText w:val="(%1)"/>
      <w:numFmt w:val="lowerLetter"/>
      <w:start w:val="1"/>
    </w:lvl>
    <w:lvl w:ilvl="1">
      <w:lvlJc w:val="left"/>
      <w:lvlText w:val="(%2)"/>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2"/>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2019-12-15T07:53:48Z</dcterms:created>
  <dcterms:modified xsi:type="dcterms:W3CDTF">2019-12-15T07:53:48Z</dcterms:modified>
</cp:coreProperties>
</file>