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637540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64"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6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65"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398145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CURRENT REPORT</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Pursuant to Section 13 or 15(d)</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 December 5,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90" w:lineRule="exact"/>
        <w:rPr>
          <w:sz w:val="24"/>
          <w:szCs w:val="24"/>
          <w:color w:val="auto"/>
        </w:rPr>
      </w:pPr>
    </w:p>
    <w:p>
      <w:pPr>
        <w:jc w:val="center"/>
        <w:ind w:right="-119"/>
        <w:spacing w:after="0"/>
        <w:rPr>
          <w:sz w:val="20"/>
          <w:szCs w:val="20"/>
          <w:color w:val="auto"/>
        </w:rPr>
      </w:pPr>
      <w:r>
        <w:rPr>
          <w:rFonts w:ascii="Arial" w:cs="Arial" w:eastAsia="Arial" w:hAnsi="Arial"/>
          <w:sz w:val="36"/>
          <w:szCs w:val="36"/>
          <w:b w:val="1"/>
          <w:bCs w:val="1"/>
          <w:color w:val="auto"/>
        </w:rPr>
        <w:t>Luna Innovations Incorporated</w:t>
      </w:r>
    </w:p>
    <w:p>
      <w:pPr>
        <w:spacing w:after="0" w:line="9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386080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tbl>
      <w:tblPr>
        <w:tblLayout w:type="fixed"/>
        <w:tblInd w:w="1100" w:type="dxa"/>
        <w:tblCellMar>
          <w:top w:w="0" w:type="dxa"/>
          <w:left w:w="0" w:type="dxa"/>
          <w:bottom w:w="0" w:type="dxa"/>
          <w:right w:w="0" w:type="dxa"/>
        </w:tblCellMar>
      </w:tblPr>
      <w:tr>
        <w:trPr>
          <w:trHeight w:val="234"/>
        </w:trPr>
        <w:tc>
          <w:tcPr>
            <w:tcW w:w="2180" w:type="dxa"/>
            <w:vAlign w:val="bottom"/>
          </w:tcPr>
          <w:p>
            <w:pPr>
              <w:jc w:val="center"/>
              <w:ind w:right="482"/>
              <w:spacing w:after="0"/>
              <w:rPr>
                <w:sz w:val="20"/>
                <w:szCs w:val="20"/>
                <w:color w:val="auto"/>
              </w:rPr>
            </w:pPr>
            <w:r>
              <w:rPr>
                <w:rFonts w:ascii="Arial" w:cs="Arial" w:eastAsia="Arial" w:hAnsi="Arial"/>
                <w:sz w:val="18"/>
                <w:szCs w:val="18"/>
                <w:b w:val="1"/>
                <w:bCs w:val="1"/>
                <w:color w:val="auto"/>
                <w:w w:val="93"/>
              </w:rPr>
              <w:t>Delaware</w:t>
            </w:r>
          </w:p>
        </w:tc>
        <w:tc>
          <w:tcPr>
            <w:tcW w:w="5060" w:type="dxa"/>
            <w:vAlign w:val="bottom"/>
          </w:tcPr>
          <w:p>
            <w:pPr>
              <w:ind w:left="2120"/>
              <w:spacing w:after="0"/>
              <w:rPr>
                <w:sz w:val="20"/>
                <w:szCs w:val="20"/>
                <w:color w:val="auto"/>
              </w:rPr>
            </w:pPr>
            <w:r>
              <w:rPr>
                <w:rFonts w:ascii="Arial" w:cs="Arial" w:eastAsia="Arial" w:hAnsi="Arial"/>
                <w:sz w:val="18"/>
                <w:szCs w:val="18"/>
                <w:b w:val="1"/>
                <w:bCs w:val="1"/>
                <w:color w:val="auto"/>
              </w:rPr>
              <w:t>000-52008</w:t>
            </w:r>
          </w:p>
        </w:tc>
        <w:tc>
          <w:tcPr>
            <w:tcW w:w="1860" w:type="dxa"/>
            <w:vAlign w:val="bottom"/>
          </w:tcPr>
          <w:p>
            <w:pPr>
              <w:jc w:val="center"/>
              <w:ind w:left="642"/>
              <w:spacing w:after="0"/>
              <w:rPr>
                <w:sz w:val="20"/>
                <w:szCs w:val="20"/>
                <w:color w:val="auto"/>
              </w:rPr>
            </w:pPr>
            <w:r>
              <w:rPr>
                <w:rFonts w:ascii="Arial" w:cs="Arial" w:eastAsia="Arial" w:hAnsi="Arial"/>
                <w:sz w:val="18"/>
                <w:szCs w:val="18"/>
                <w:b w:val="1"/>
                <w:bCs w:val="1"/>
                <w:color w:val="auto"/>
                <w:w w:val="89"/>
              </w:rPr>
              <w:t>54-1560050</w:t>
            </w:r>
          </w:p>
        </w:tc>
      </w:tr>
      <w:tr>
        <w:trPr>
          <w:trHeight w:val="234"/>
        </w:trPr>
        <w:tc>
          <w:tcPr>
            <w:tcW w:w="2180" w:type="dxa"/>
            <w:vAlign w:val="bottom"/>
          </w:tcPr>
          <w:p>
            <w:pPr>
              <w:jc w:val="center"/>
              <w:ind w:right="462"/>
              <w:spacing w:after="0"/>
              <w:rPr>
                <w:sz w:val="20"/>
                <w:szCs w:val="20"/>
                <w:color w:val="auto"/>
              </w:rPr>
            </w:pPr>
            <w:r>
              <w:rPr>
                <w:rFonts w:ascii="Arial" w:cs="Arial" w:eastAsia="Arial" w:hAnsi="Arial"/>
                <w:sz w:val="14"/>
                <w:szCs w:val="14"/>
                <w:b w:val="1"/>
                <w:bCs w:val="1"/>
                <w:color w:val="auto"/>
                <w:w w:val="93"/>
              </w:rPr>
              <w:t>(State or other jurisdiction</w:t>
            </w:r>
          </w:p>
        </w:tc>
        <w:tc>
          <w:tcPr>
            <w:tcW w:w="5060" w:type="dxa"/>
            <w:vAlign w:val="bottom"/>
          </w:tcPr>
          <w:p>
            <w:pPr>
              <w:ind w:left="2100"/>
              <w:spacing w:after="0"/>
              <w:rPr>
                <w:sz w:val="20"/>
                <w:szCs w:val="20"/>
                <w:color w:val="auto"/>
              </w:rPr>
            </w:pPr>
            <w:r>
              <w:rPr>
                <w:rFonts w:ascii="Arial" w:cs="Arial" w:eastAsia="Arial" w:hAnsi="Arial"/>
                <w:sz w:val="14"/>
                <w:szCs w:val="14"/>
                <w:b w:val="1"/>
                <w:bCs w:val="1"/>
                <w:color w:val="auto"/>
              </w:rPr>
              <w:t>(Commission</w:t>
            </w:r>
          </w:p>
        </w:tc>
        <w:tc>
          <w:tcPr>
            <w:tcW w:w="1860" w:type="dxa"/>
            <w:vAlign w:val="bottom"/>
          </w:tcPr>
          <w:p>
            <w:pPr>
              <w:jc w:val="center"/>
              <w:ind w:left="642"/>
              <w:spacing w:after="0"/>
              <w:rPr>
                <w:sz w:val="20"/>
                <w:szCs w:val="20"/>
                <w:color w:val="auto"/>
              </w:rPr>
            </w:pPr>
            <w:r>
              <w:rPr>
                <w:rFonts w:ascii="Arial" w:cs="Arial" w:eastAsia="Arial" w:hAnsi="Arial"/>
                <w:sz w:val="14"/>
                <w:szCs w:val="14"/>
                <w:b w:val="1"/>
                <w:bCs w:val="1"/>
                <w:color w:val="auto"/>
                <w:w w:val="98"/>
              </w:rPr>
              <w:t>(IRS Employer</w:t>
            </w:r>
          </w:p>
        </w:tc>
      </w:tr>
      <w:tr>
        <w:trPr>
          <w:trHeight w:val="186"/>
        </w:trPr>
        <w:tc>
          <w:tcPr>
            <w:tcW w:w="2180" w:type="dxa"/>
            <w:vAlign w:val="bottom"/>
          </w:tcPr>
          <w:p>
            <w:pPr>
              <w:jc w:val="center"/>
              <w:ind w:right="482"/>
              <w:spacing w:after="0"/>
              <w:rPr>
                <w:sz w:val="20"/>
                <w:szCs w:val="20"/>
                <w:color w:val="auto"/>
              </w:rPr>
            </w:pPr>
            <w:r>
              <w:rPr>
                <w:rFonts w:ascii="Arial" w:cs="Arial" w:eastAsia="Arial" w:hAnsi="Arial"/>
                <w:sz w:val="14"/>
                <w:szCs w:val="14"/>
                <w:b w:val="1"/>
                <w:bCs w:val="1"/>
                <w:color w:val="auto"/>
                <w:w w:val="94"/>
              </w:rPr>
              <w:t>of incorporation)</w:t>
            </w:r>
          </w:p>
        </w:tc>
        <w:tc>
          <w:tcPr>
            <w:tcW w:w="5060" w:type="dxa"/>
            <w:vAlign w:val="bottom"/>
          </w:tcPr>
          <w:p>
            <w:pPr>
              <w:ind w:left="2080"/>
              <w:spacing w:after="0"/>
              <w:rPr>
                <w:sz w:val="20"/>
                <w:szCs w:val="20"/>
                <w:color w:val="auto"/>
              </w:rPr>
            </w:pPr>
            <w:r>
              <w:rPr>
                <w:rFonts w:ascii="Arial" w:cs="Arial" w:eastAsia="Arial" w:hAnsi="Arial"/>
                <w:sz w:val="14"/>
                <w:szCs w:val="14"/>
                <w:b w:val="1"/>
                <w:bCs w:val="1"/>
                <w:color w:val="auto"/>
              </w:rPr>
              <w:t>File Number)</w:t>
            </w:r>
          </w:p>
        </w:tc>
        <w:tc>
          <w:tcPr>
            <w:tcW w:w="1860" w:type="dxa"/>
            <w:vAlign w:val="bottom"/>
          </w:tcPr>
          <w:p>
            <w:pPr>
              <w:jc w:val="center"/>
              <w:ind w:left="642"/>
              <w:spacing w:after="0"/>
              <w:rPr>
                <w:sz w:val="20"/>
                <w:szCs w:val="20"/>
                <w:color w:val="auto"/>
              </w:rPr>
            </w:pPr>
            <w:r>
              <w:rPr>
                <w:rFonts w:ascii="Arial" w:cs="Arial" w:eastAsia="Arial" w:hAnsi="Arial"/>
                <w:sz w:val="14"/>
                <w:szCs w:val="14"/>
                <w:b w:val="1"/>
                <w:bCs w:val="1"/>
                <w:color w:val="auto"/>
                <w:w w:val="96"/>
              </w:rPr>
              <w:t>Identification No.)</w:t>
            </w:r>
          </w:p>
        </w:tc>
      </w:tr>
      <w:tr>
        <w:trPr>
          <w:trHeight w:val="520"/>
        </w:trPr>
        <w:tc>
          <w:tcPr>
            <w:tcW w:w="2180" w:type="dxa"/>
            <w:vAlign w:val="bottom"/>
          </w:tcPr>
          <w:p>
            <w:pPr>
              <w:spacing w:after="0"/>
              <w:rPr>
                <w:sz w:val="24"/>
                <w:szCs w:val="24"/>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87"/>
              </w:rPr>
              <w:t>301 1</w:t>
            </w:r>
            <w:r>
              <w:rPr>
                <w:rFonts w:ascii="Arial" w:cs="Arial" w:eastAsia="Arial" w:hAnsi="Arial"/>
                <w:sz w:val="25"/>
                <w:szCs w:val="25"/>
                <w:b w:val="1"/>
                <w:bCs w:val="1"/>
                <w:color w:val="auto"/>
                <w:w w:val="87"/>
                <w:vertAlign w:val="superscript"/>
              </w:rPr>
              <w:t>st</w:t>
            </w:r>
            <w:r>
              <w:rPr>
                <w:rFonts w:ascii="Arial" w:cs="Arial" w:eastAsia="Arial" w:hAnsi="Arial"/>
                <w:sz w:val="18"/>
                <w:szCs w:val="18"/>
                <w:b w:val="1"/>
                <w:bCs w:val="1"/>
                <w:color w:val="auto"/>
                <w:w w:val="87"/>
              </w:rPr>
              <w:t xml:space="preserve"> Street SW, Suite 200</w:t>
            </w:r>
          </w:p>
        </w:tc>
        <w:tc>
          <w:tcPr>
            <w:tcW w:w="1860" w:type="dxa"/>
            <w:vAlign w:val="bottom"/>
          </w:tcPr>
          <w:p>
            <w:pPr>
              <w:spacing w:after="0"/>
              <w:rPr>
                <w:sz w:val="24"/>
                <w:szCs w:val="24"/>
                <w:color w:val="auto"/>
              </w:rPr>
            </w:pPr>
          </w:p>
        </w:tc>
      </w:tr>
      <w:tr>
        <w:trPr>
          <w:trHeight w:val="234"/>
        </w:trPr>
        <w:tc>
          <w:tcPr>
            <w:tcW w:w="2180" w:type="dxa"/>
            <w:vAlign w:val="bottom"/>
          </w:tcPr>
          <w:p>
            <w:pPr>
              <w:spacing w:after="0"/>
              <w:rPr>
                <w:sz w:val="20"/>
                <w:szCs w:val="20"/>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91"/>
              </w:rPr>
              <w:t>Roanoke, Virginia 24011</w:t>
            </w:r>
          </w:p>
        </w:tc>
        <w:tc>
          <w:tcPr>
            <w:tcW w:w="1860" w:type="dxa"/>
            <w:vAlign w:val="bottom"/>
          </w:tcPr>
          <w:p>
            <w:pPr>
              <w:spacing w:after="0"/>
              <w:rPr>
                <w:sz w:val="20"/>
                <w:szCs w:val="20"/>
                <w:color w:val="auto"/>
              </w:rPr>
            </w:pPr>
          </w:p>
        </w:tc>
      </w:tr>
      <w:tr>
        <w:trPr>
          <w:trHeight w:val="204"/>
        </w:trPr>
        <w:tc>
          <w:tcPr>
            <w:tcW w:w="2180" w:type="dxa"/>
            <w:vAlign w:val="bottom"/>
          </w:tcPr>
          <w:p>
            <w:pPr>
              <w:spacing w:after="0"/>
              <w:rPr>
                <w:sz w:val="17"/>
                <w:szCs w:val="17"/>
                <w:color w:val="auto"/>
              </w:rPr>
            </w:pPr>
          </w:p>
        </w:tc>
        <w:tc>
          <w:tcPr>
            <w:tcW w:w="5060" w:type="dxa"/>
            <w:vAlign w:val="bottom"/>
          </w:tcPr>
          <w:p>
            <w:pPr>
              <w:jc w:val="center"/>
              <w:ind w:right="100"/>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1860" w:type="dxa"/>
            <w:vAlign w:val="bottom"/>
          </w:tcPr>
          <w:p>
            <w:pPr>
              <w:spacing w:after="0"/>
              <w:rPr>
                <w:sz w:val="17"/>
                <w:szCs w:val="17"/>
                <w:color w:val="auto"/>
              </w:rPr>
            </w:pPr>
          </w:p>
        </w:tc>
      </w:tr>
      <w:tr>
        <w:trPr>
          <w:trHeight w:val="417"/>
        </w:trPr>
        <w:tc>
          <w:tcPr>
            <w:tcW w:w="2180" w:type="dxa"/>
            <w:vAlign w:val="bottom"/>
          </w:tcPr>
          <w:p>
            <w:pPr>
              <w:spacing w:after="0"/>
              <w:rPr>
                <w:sz w:val="24"/>
                <w:szCs w:val="24"/>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90"/>
              </w:rPr>
              <w:t>540-769-8400</w:t>
            </w:r>
          </w:p>
        </w:tc>
        <w:tc>
          <w:tcPr>
            <w:tcW w:w="1860" w:type="dxa"/>
            <w:vAlign w:val="bottom"/>
          </w:tcPr>
          <w:p>
            <w:pPr>
              <w:spacing w:after="0"/>
              <w:rPr>
                <w:sz w:val="24"/>
                <w:szCs w:val="24"/>
                <w:color w:val="auto"/>
              </w:rPr>
            </w:pPr>
          </w:p>
        </w:tc>
      </w:tr>
      <w:tr>
        <w:trPr>
          <w:trHeight w:val="204"/>
        </w:trPr>
        <w:tc>
          <w:tcPr>
            <w:tcW w:w="2180" w:type="dxa"/>
            <w:vAlign w:val="bottom"/>
          </w:tcPr>
          <w:p>
            <w:pPr>
              <w:spacing w:after="0"/>
              <w:rPr>
                <w:sz w:val="17"/>
                <w:szCs w:val="17"/>
                <w:color w:val="auto"/>
              </w:rPr>
            </w:pPr>
          </w:p>
        </w:tc>
        <w:tc>
          <w:tcPr>
            <w:tcW w:w="5060" w:type="dxa"/>
            <w:vAlign w:val="bottom"/>
          </w:tcPr>
          <w:p>
            <w:pPr>
              <w:jc w:val="center"/>
              <w:ind w:right="12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860" w:type="dxa"/>
            <w:vAlign w:val="bottom"/>
          </w:tcPr>
          <w:p>
            <w:pPr>
              <w:spacing w:after="0"/>
              <w:rPr>
                <w:sz w:val="17"/>
                <w:szCs w:val="17"/>
                <w:color w:val="auto"/>
              </w:rPr>
            </w:pPr>
          </w:p>
        </w:tc>
      </w:tr>
      <w:tr>
        <w:trPr>
          <w:trHeight w:val="567"/>
        </w:trPr>
        <w:tc>
          <w:tcPr>
            <w:tcW w:w="2180" w:type="dxa"/>
            <w:vAlign w:val="bottom"/>
          </w:tcPr>
          <w:p>
            <w:pPr>
              <w:spacing w:after="0"/>
              <w:rPr>
                <w:sz w:val="24"/>
                <w:szCs w:val="24"/>
                <w:color w:val="auto"/>
              </w:rPr>
            </w:pPr>
          </w:p>
        </w:tc>
        <w:tc>
          <w:tcPr>
            <w:tcW w:w="5060" w:type="dxa"/>
            <w:vAlign w:val="bottom"/>
          </w:tcPr>
          <w:p>
            <w:pPr>
              <w:jc w:val="center"/>
              <w:ind w:right="100"/>
              <w:spacing w:after="0"/>
              <w:rPr>
                <w:sz w:val="20"/>
                <w:szCs w:val="20"/>
                <w:color w:val="auto"/>
              </w:rPr>
            </w:pPr>
            <w:r>
              <w:rPr>
                <w:rFonts w:ascii="Arial" w:cs="Arial" w:eastAsia="Arial" w:hAnsi="Arial"/>
                <w:sz w:val="14"/>
                <w:szCs w:val="14"/>
                <w:b w:val="1"/>
                <w:bCs w:val="1"/>
                <w:color w:val="auto"/>
                <w:w w:val="92"/>
              </w:rPr>
              <w:t>(Former name or former address, if changed since last report)</w:t>
            </w:r>
          </w:p>
        </w:tc>
        <w:tc>
          <w:tcPr>
            <w:tcW w:w="18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91"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11" w:lineRule="exact"/>
        <w:rPr>
          <w:sz w:val="24"/>
          <w:szCs w:val="24"/>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ectPr>
          <w:pgSz w:w="11900" w:h="16838" w:orient="portrait"/>
          <w:cols w:equalWidth="0" w:num="1">
            <w:col w:w="11300"/>
          </w:cols>
          <w:pgMar w:left="240" w:top="1183" w:right="359" w:bottom="1440" w:gutter="0" w:footer="0" w:header="0"/>
        </w:sectPr>
      </w:pPr>
    </w:p>
    <w:p>
      <w:pPr>
        <w:spacing w:after="0" w:line="315" w:lineRule="exact"/>
        <w:rPr>
          <w:sz w:val="24"/>
          <w:szCs w:val="24"/>
          <w:color w:val="auto"/>
        </w:rPr>
      </w:pPr>
    </w:p>
    <w:p>
      <w:pPr>
        <w:spacing w:after="0"/>
        <w:rPr>
          <w:sz w:val="20"/>
          <w:szCs w:val="20"/>
          <w:color w:val="auto"/>
        </w:rPr>
      </w:pPr>
      <w:r>
        <w:rPr>
          <w:rFonts w:ascii="Arial" w:cs="Arial" w:eastAsia="Arial" w:hAnsi="Arial"/>
          <w:sz w:val="13"/>
          <w:szCs w:val="13"/>
          <w:color w:val="auto"/>
        </w:rPr>
        <w:t>156389539 v1</w:t>
      </w:r>
    </w:p>
    <w:p>
      <w:pPr>
        <w:sectPr>
          <w:pgSz w:w="11900" w:h="16838" w:orient="portrait"/>
          <w:cols w:equalWidth="0" w:num="1">
            <w:col w:w="11300"/>
          </w:cols>
          <w:pgMar w:left="240" w:top="1183" w:right="359" w:bottom="1440" w:gutter="0" w:footer="0" w:header="0"/>
          <w:type w:val="continuous"/>
        </w:sectPr>
      </w:pPr>
    </w:p>
    <w:bookmarkStart w:id="1" w:name="page2"/>
    <w:bookmarkEnd w:id="1"/>
    <w:p>
      <w:pPr>
        <w:spacing w:after="0" w:line="223" w:lineRule="exact"/>
        <w:rPr>
          <w:sz w:val="20"/>
          <w:szCs w:val="20"/>
          <w:color w:val="auto"/>
        </w:rPr>
      </w:pPr>
      <w:r>
        <w:rPr>
          <w:rFonts w:ascii="Arial" w:cs="Arial" w:eastAsia="Arial" w:hAnsi="Arial"/>
          <w:sz w:val="18"/>
          <w:szCs w:val="18"/>
          <w:color w:val="auto"/>
        </w:rPr>
        <w:t>Indícate by check mark whether the registrant is an emerging growth Company as defined in Rule 405 of the Securities Act of 1933 (§230.405 of this chapter) or Rule 12b</w:t>
      </w:r>
      <w:r>
        <w:rPr>
          <w:rFonts w:ascii="MS PGothic" w:cs="MS PGothic" w:eastAsia="MS PGothic" w:hAnsi="MS PGothic"/>
          <w:sz w:val="18"/>
          <w:szCs w:val="18"/>
          <w:color w:val="auto"/>
        </w:rPr>
        <w:t>‑</w:t>
      </w:r>
      <w:r>
        <w:rPr>
          <w:rFonts w:ascii="Arial" w:cs="Arial" w:eastAsia="Arial" w:hAnsi="Arial"/>
          <w:sz w:val="18"/>
          <w:szCs w:val="18"/>
          <w:color w:val="auto"/>
        </w:rPr>
        <w:t>2 of the Securities Exchange Act of 1934 (§240.12b</w:t>
      </w:r>
      <w:r>
        <w:rPr>
          <w:rFonts w:ascii="MS PGothic" w:cs="MS PGothic" w:eastAsia="MS PGothic" w:hAnsi="MS PGothic"/>
          <w:sz w:val="18"/>
          <w:szCs w:val="18"/>
          <w:color w:val="auto"/>
        </w:rPr>
        <w:t>‑</w:t>
      </w:r>
      <w:r>
        <w:rPr>
          <w:rFonts w:ascii="Arial" w:cs="Arial" w:eastAsia="Arial" w:hAnsi="Arial"/>
          <w:sz w:val="18"/>
          <w:szCs w:val="18"/>
          <w:color w:val="auto"/>
        </w:rPr>
        <w:t>2 of this chapter).</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14"/>
          <w:szCs w:val="14"/>
          <w:color w:val="auto"/>
        </w:rPr>
        <w:t>156389539 v1</w:t>
      </w:r>
    </w:p>
    <w:p>
      <w:pPr>
        <w:sectPr>
          <w:pgSz w:w="11900" w:h="16838" w:orient="portrait"/>
          <w:cols w:equalWidth="0" w:num="1">
            <w:col w:w="11420"/>
          </w:cols>
          <w:pgMar w:left="240" w:top="935" w:right="239" w:bottom="1440" w:gutter="0" w:footer="0" w:header="0"/>
        </w:sectPr>
      </w:pPr>
    </w:p>
    <w:bookmarkStart w:id="2" w:name="page3"/>
    <w:bookmarkEnd w:id="2"/>
    <w:p>
      <w:pPr>
        <w:jc w:val="both"/>
        <w:ind w:right="38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Amended and Restated Employment Agreement with Scott A. Graeff</w:t>
      </w:r>
    </w:p>
    <w:p>
      <w:pPr>
        <w:spacing w:after="0" w:line="171" w:lineRule="exact"/>
        <w:rPr>
          <w:sz w:val="20"/>
          <w:szCs w:val="20"/>
          <w:color w:val="auto"/>
        </w:rPr>
      </w:pPr>
    </w:p>
    <w:p>
      <w:pPr>
        <w:jc w:val="both"/>
        <w:ind w:right="380" w:firstLine="446"/>
        <w:spacing w:after="0" w:line="259" w:lineRule="auto"/>
        <w:rPr>
          <w:sz w:val="20"/>
          <w:szCs w:val="20"/>
          <w:color w:val="auto"/>
        </w:rPr>
      </w:pPr>
      <w:r>
        <w:rPr>
          <w:rFonts w:ascii="Arial" w:cs="Arial" w:eastAsia="Arial" w:hAnsi="Arial"/>
          <w:sz w:val="18"/>
          <w:szCs w:val="18"/>
          <w:color w:val="auto"/>
        </w:rPr>
        <w:t>On December 5, 2017, Luna Innovations Incorporated (the “Company”) entered into an amended and rested employment agreement with Scott A. Graeff in connection with his recent appointment as President and Chief Executive Officer of the Company. Pursuant to the employment agreement, Mr. Graeff will be employed by the Company on an “at-will” basis, meaning either party may terminate the agreement at any time, with or without cause or advanced notice.</w:t>
      </w:r>
    </w:p>
    <w:p>
      <w:pPr>
        <w:spacing w:after="0" w:line="133" w:lineRule="exact"/>
        <w:rPr>
          <w:sz w:val="20"/>
          <w:szCs w:val="20"/>
          <w:color w:val="auto"/>
        </w:rPr>
      </w:pPr>
    </w:p>
    <w:p>
      <w:pPr>
        <w:ind w:right="120" w:firstLine="446"/>
        <w:spacing w:after="0" w:line="259" w:lineRule="auto"/>
        <w:rPr>
          <w:sz w:val="20"/>
          <w:szCs w:val="20"/>
          <w:color w:val="auto"/>
        </w:rPr>
      </w:pPr>
      <w:r>
        <w:rPr>
          <w:rFonts w:ascii="Arial" w:cs="Arial" w:eastAsia="Arial" w:hAnsi="Arial"/>
          <w:sz w:val="18"/>
          <w:szCs w:val="18"/>
          <w:color w:val="auto"/>
        </w:rPr>
        <w:t>Pursuant to the employment agreement, effective as of October 1, 2017, Mr. Graeff’s initial annual base salary is $325,000 per year, subject to review and adjustment from time to time in the discretion of the Company’s board of directors (the “Board”). Mr. Graeff is eligible to earn an annual performance cash bonus at a target amount of 50% of his then current base salary, and up to 75% of his then current base salary, subject to his achievement of individual and corporate performance goals to be determined by the Board.</w:t>
      </w:r>
    </w:p>
    <w:p>
      <w:pPr>
        <w:spacing w:after="0" w:line="133" w:lineRule="exact"/>
        <w:rPr>
          <w:sz w:val="20"/>
          <w:szCs w:val="20"/>
          <w:color w:val="auto"/>
        </w:rPr>
      </w:pPr>
    </w:p>
    <w:p>
      <w:pPr>
        <w:ind w:right="400" w:firstLine="446"/>
        <w:spacing w:after="0" w:line="277" w:lineRule="auto"/>
        <w:rPr>
          <w:sz w:val="20"/>
          <w:szCs w:val="20"/>
          <w:color w:val="auto"/>
        </w:rPr>
      </w:pPr>
      <w:r>
        <w:rPr>
          <w:rFonts w:ascii="Arial" w:cs="Arial" w:eastAsia="Arial" w:hAnsi="Arial"/>
          <w:sz w:val="18"/>
          <w:szCs w:val="18"/>
          <w:color w:val="auto"/>
        </w:rPr>
        <w:t>Pursuant to the employment agreement, on December 5, 2017, the Company granted Mr. Graeff 50,000 shares of restricted stock. These restricted shares will vest in three equal installments on October 1, 2018, October 1, 2019 and October 1, 2020.</w:t>
      </w:r>
    </w:p>
    <w:p>
      <w:pPr>
        <w:spacing w:after="0" w:line="116" w:lineRule="exact"/>
        <w:rPr>
          <w:sz w:val="20"/>
          <w:szCs w:val="20"/>
          <w:color w:val="auto"/>
        </w:rPr>
      </w:pPr>
    </w:p>
    <w:p>
      <w:pPr>
        <w:ind w:right="60" w:firstLine="446"/>
        <w:spacing w:after="0" w:line="264" w:lineRule="auto"/>
        <w:rPr>
          <w:sz w:val="20"/>
          <w:szCs w:val="20"/>
          <w:color w:val="auto"/>
        </w:rPr>
      </w:pPr>
      <w:r>
        <w:rPr>
          <w:rFonts w:ascii="Arial" w:cs="Arial" w:eastAsia="Arial" w:hAnsi="Arial"/>
          <w:sz w:val="18"/>
          <w:szCs w:val="18"/>
          <w:color w:val="auto"/>
        </w:rPr>
        <w:t>In the event that Mr. Graeff’s employment is terminated by the Company “without cause” or by Mr. Graeff for “good reason” (each as defined in his employment agreement), subject to Mr. Graeff’s entering into and not revoking a separation agreement that includes, among other terms, a general release of claims in favor of the Company, in a form acceptable to the Company, Mr. Graeff will be entitled to receive:</w:t>
      </w:r>
    </w:p>
    <w:p>
      <w:pPr>
        <w:spacing w:after="0" w:line="289" w:lineRule="exact"/>
        <w:rPr>
          <w:sz w:val="20"/>
          <w:szCs w:val="20"/>
          <w:color w:val="auto"/>
        </w:rPr>
      </w:pPr>
    </w:p>
    <w:p>
      <w:pPr>
        <w:ind w:left="960" w:right="300" w:hanging="344"/>
        <w:spacing w:after="0" w:line="182" w:lineRule="auto"/>
        <w:tabs>
          <w:tab w:leader="none" w:pos="960" w:val="left"/>
        </w:tabs>
        <w:numPr>
          <w:ilvl w:val="0"/>
          <w:numId w:val="2"/>
        </w:numPr>
        <w:rPr>
          <w:rFonts w:ascii="Arial" w:cs="Arial" w:eastAsia="Arial" w:hAnsi="Arial"/>
          <w:sz w:val="34"/>
          <w:szCs w:val="34"/>
          <w:color w:val="auto"/>
          <w:vertAlign w:val="superscript"/>
        </w:rPr>
      </w:pPr>
      <w:r>
        <w:rPr>
          <w:rFonts w:ascii="Arial" w:cs="Arial" w:eastAsia="Arial" w:hAnsi="Arial"/>
          <w:sz w:val="17"/>
          <w:szCs w:val="17"/>
          <w:color w:val="auto"/>
        </w:rPr>
        <w:t>severance payments equal to his then applicable base salary for a period of 12 months paid in installments on the Company’s regular payroll dates;</w:t>
      </w:r>
    </w:p>
    <w:p>
      <w:pPr>
        <w:spacing w:after="0" w:line="200" w:lineRule="exact"/>
        <w:rPr>
          <w:rFonts w:ascii="Arial" w:cs="Arial" w:eastAsia="Arial" w:hAnsi="Arial"/>
          <w:sz w:val="34"/>
          <w:szCs w:val="34"/>
          <w:color w:val="auto"/>
          <w:vertAlign w:val="superscript"/>
        </w:rPr>
      </w:pPr>
    </w:p>
    <w:p>
      <w:pPr>
        <w:spacing w:after="0" w:line="273" w:lineRule="exact"/>
        <w:rPr>
          <w:rFonts w:ascii="Arial" w:cs="Arial" w:eastAsia="Arial" w:hAnsi="Arial"/>
          <w:sz w:val="34"/>
          <w:szCs w:val="34"/>
          <w:color w:val="auto"/>
          <w:vertAlign w:val="superscript"/>
        </w:rPr>
      </w:pPr>
    </w:p>
    <w:p>
      <w:pPr>
        <w:ind w:left="960" w:hanging="344"/>
        <w:spacing w:after="0" w:line="217" w:lineRule="auto"/>
        <w:tabs>
          <w:tab w:leader="none" w:pos="960" w:val="left"/>
        </w:tabs>
        <w:numPr>
          <w:ilvl w:val="0"/>
          <w:numId w:val="2"/>
        </w:numPr>
        <w:rPr>
          <w:rFonts w:ascii="Arial" w:cs="Arial" w:eastAsia="Arial" w:hAnsi="Arial"/>
          <w:sz w:val="36"/>
          <w:szCs w:val="36"/>
          <w:color w:val="auto"/>
          <w:vertAlign w:val="superscript"/>
        </w:rPr>
      </w:pPr>
      <w:r>
        <w:rPr>
          <w:rFonts w:ascii="Arial" w:cs="Arial" w:eastAsia="Arial" w:hAnsi="Arial"/>
          <w:sz w:val="18"/>
          <w:szCs w:val="18"/>
          <w:color w:val="auto"/>
        </w:rPr>
        <w:t>a discretionary lump sum bonus payment equal to the target bonus that he would have been eligible to receive for the year in which the termination occurs, which will be paid when the Company otherwise pays annual bonuses, so long as that date is no later than March 15th the year following the year in which the termination occurs; provided, however, if the termination occurs within three months prior to or 12 months following a “change of control” transaction (as defined in the employment agreement), then Mr. Graeff will be entitled to receive a discretionary lump sum bonus payment equal to the maximum target bonus that he would have been eligible to receive for the year in which the termination occurs;</w:t>
      </w:r>
    </w:p>
    <w:p>
      <w:pPr>
        <w:spacing w:after="0" w:line="200" w:lineRule="exact"/>
        <w:rPr>
          <w:rFonts w:ascii="Arial" w:cs="Arial" w:eastAsia="Arial" w:hAnsi="Arial"/>
          <w:sz w:val="36"/>
          <w:szCs w:val="36"/>
          <w:color w:val="auto"/>
          <w:vertAlign w:val="superscript"/>
        </w:rPr>
      </w:pPr>
    </w:p>
    <w:p>
      <w:pPr>
        <w:spacing w:after="0" w:line="272" w:lineRule="exact"/>
        <w:rPr>
          <w:rFonts w:ascii="Arial" w:cs="Arial" w:eastAsia="Arial" w:hAnsi="Arial"/>
          <w:sz w:val="36"/>
          <w:szCs w:val="36"/>
          <w:color w:val="auto"/>
          <w:vertAlign w:val="superscript"/>
        </w:rPr>
      </w:pPr>
    </w:p>
    <w:p>
      <w:pPr>
        <w:ind w:left="960" w:hanging="344"/>
        <w:spacing w:after="0" w:line="203" w:lineRule="auto"/>
        <w:tabs>
          <w:tab w:leader="none" w:pos="960" w:val="left"/>
        </w:tabs>
        <w:numPr>
          <w:ilvl w:val="0"/>
          <w:numId w:val="2"/>
        </w:numPr>
        <w:rPr>
          <w:rFonts w:ascii="Arial" w:cs="Arial" w:eastAsia="Arial" w:hAnsi="Arial"/>
          <w:sz w:val="36"/>
          <w:szCs w:val="36"/>
          <w:color w:val="auto"/>
          <w:vertAlign w:val="superscript"/>
        </w:rPr>
      </w:pPr>
      <w:r>
        <w:rPr>
          <w:rFonts w:ascii="Arial" w:cs="Arial" w:eastAsia="Arial" w:hAnsi="Arial"/>
          <w:sz w:val="18"/>
          <w:szCs w:val="18"/>
          <w:color w:val="auto"/>
        </w:rPr>
        <w:t>if he timely elects and remains eligible for continued coverage under COBRA, the health insurance premiums that the Company was paying on behalf of Mr. Graeff and his covered dependents prior to the date of termination, until the earliest of (i) 12 months following termination, (ii) the date Mr. Graeff becomes eligible for substantially equivalent insurance in connection with new employment or self-employment, or (iii) the date Mr. Graeff ceases to be eligible for COBRA continuation coverage; and</w:t>
      </w:r>
    </w:p>
    <w:p>
      <w:pPr>
        <w:spacing w:after="0" w:line="291" w:lineRule="exact"/>
        <w:rPr>
          <w:rFonts w:ascii="Arial" w:cs="Arial" w:eastAsia="Arial" w:hAnsi="Arial"/>
          <w:sz w:val="36"/>
          <w:szCs w:val="36"/>
          <w:color w:val="auto"/>
          <w:vertAlign w:val="superscript"/>
        </w:rPr>
      </w:pPr>
    </w:p>
    <w:p>
      <w:pPr>
        <w:ind w:left="960" w:hanging="344"/>
        <w:spacing w:after="0"/>
        <w:tabs>
          <w:tab w:leader="none" w:pos="960" w:val="left"/>
        </w:tabs>
        <w:numPr>
          <w:ilvl w:val="0"/>
          <w:numId w:val="2"/>
        </w:numPr>
        <w:rPr>
          <w:rFonts w:ascii="Arial" w:cs="Arial" w:eastAsia="Arial" w:hAnsi="Arial"/>
          <w:sz w:val="36"/>
          <w:szCs w:val="36"/>
          <w:color w:val="auto"/>
          <w:vertAlign w:val="superscript"/>
        </w:rPr>
      </w:pPr>
      <w:r>
        <w:rPr>
          <w:rFonts w:ascii="Arial" w:cs="Arial" w:eastAsia="Arial" w:hAnsi="Arial"/>
          <w:sz w:val="18"/>
          <w:szCs w:val="18"/>
          <w:color w:val="auto"/>
        </w:rPr>
        <w:t>a cash payment for any unvested company matching contributions in Mr. Graeff’s account under the Company’s 401(k) plan.</w:t>
      </w:r>
    </w:p>
    <w:p>
      <w:pPr>
        <w:spacing w:after="0" w:line="310" w:lineRule="exact"/>
        <w:rPr>
          <w:sz w:val="20"/>
          <w:szCs w:val="20"/>
          <w:color w:val="auto"/>
        </w:rPr>
      </w:pPr>
    </w:p>
    <w:p>
      <w:pPr>
        <w:ind w:firstLine="446"/>
        <w:spacing w:after="0" w:line="264" w:lineRule="auto"/>
        <w:rPr>
          <w:sz w:val="20"/>
          <w:szCs w:val="20"/>
          <w:color w:val="auto"/>
        </w:rPr>
      </w:pPr>
      <w:r>
        <w:rPr>
          <w:rFonts w:ascii="Arial" w:cs="Arial" w:eastAsia="Arial" w:hAnsi="Arial"/>
          <w:sz w:val="18"/>
          <w:szCs w:val="18"/>
          <w:color w:val="auto"/>
        </w:rPr>
        <w:t>In addition, if Mr. Graeff’s employment is terminated by the Company “without cause” or by Mr. Graeff for “good reason” within three months prior to or 12 months following a “change of control” transaction, all unvested stock options and other stock awards for the Company’s common stock held by Mr. Graeff as of immediately prior to the termination date will accelerate in full.</w:t>
      </w:r>
    </w:p>
    <w:p>
      <w:pPr>
        <w:spacing w:after="0" w:line="127" w:lineRule="exact"/>
        <w:rPr>
          <w:sz w:val="20"/>
          <w:szCs w:val="20"/>
          <w:color w:val="auto"/>
        </w:rPr>
      </w:pPr>
    </w:p>
    <w:p>
      <w:pPr>
        <w:ind w:right="540" w:firstLine="446"/>
        <w:spacing w:after="0" w:line="277" w:lineRule="auto"/>
        <w:rPr>
          <w:sz w:val="20"/>
          <w:szCs w:val="20"/>
          <w:color w:val="auto"/>
        </w:rPr>
      </w:pPr>
      <w:r>
        <w:rPr>
          <w:rFonts w:ascii="Arial" w:cs="Arial" w:eastAsia="Arial" w:hAnsi="Arial"/>
          <w:sz w:val="18"/>
          <w:szCs w:val="18"/>
          <w:color w:val="auto"/>
        </w:rPr>
        <w:t>The foregoing description of Mr. Graeff’s employment agreement is not complete and is qualified in its entirety by reference to the employment agreement, which will be filed as an exhibit to the Company’s Form 10-K for the year ending December 31, 2017.</w:t>
      </w:r>
    </w:p>
    <w:p>
      <w:pPr>
        <w:spacing w:after="0" w:line="207" w:lineRule="exact"/>
        <w:rPr>
          <w:sz w:val="20"/>
          <w:szCs w:val="20"/>
          <w:color w:val="auto"/>
        </w:rPr>
      </w:pPr>
    </w:p>
    <w:p>
      <w:pPr>
        <w:spacing w:after="0"/>
        <w:rPr>
          <w:sz w:val="20"/>
          <w:szCs w:val="20"/>
          <w:color w:val="auto"/>
        </w:rPr>
      </w:pPr>
      <w:r>
        <w:rPr>
          <w:rFonts w:ascii="Arial" w:cs="Arial" w:eastAsia="Arial" w:hAnsi="Arial"/>
          <w:sz w:val="14"/>
          <w:szCs w:val="14"/>
          <w:color w:val="auto"/>
        </w:rPr>
        <w:t>156389539 v1</w:t>
      </w:r>
    </w:p>
    <w:p>
      <w:pPr>
        <w:sectPr>
          <w:pgSz w:w="11900" w:h="16838" w:orient="portrait"/>
          <w:cols w:equalWidth="0" w:num="1">
            <w:col w:w="11360"/>
          </w:cols>
          <w:pgMar w:left="240" w:top="877" w:right="299" w:bottom="1440" w:gutter="0" w:footer="0" w:header="0"/>
        </w:sectPr>
      </w:pPr>
    </w:p>
    <w:bookmarkStart w:id="3" w:name="page4"/>
    <w:bookmarkEnd w:id="3"/>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96" w:lineRule="exact"/>
        <w:rPr>
          <w:sz w:val="20"/>
          <w:szCs w:val="20"/>
          <w:color w:val="auto"/>
        </w:rPr>
      </w:pPr>
    </w:p>
    <w:p>
      <w:pPr>
        <w:ind w:left="3700"/>
        <w:spacing w:after="0"/>
        <w:rPr>
          <w:sz w:val="20"/>
          <w:szCs w:val="20"/>
          <w:color w:val="auto"/>
        </w:rPr>
      </w:pPr>
      <w:r>
        <w:rPr>
          <w:rFonts w:ascii="Arial" w:cs="Arial" w:eastAsia="Arial" w:hAnsi="Arial"/>
          <w:sz w:val="18"/>
          <w:szCs w:val="18"/>
          <w:b w:val="1"/>
          <w:bCs w:val="1"/>
          <w:color w:val="auto"/>
        </w:rPr>
        <w:t>Luna Innovations Incorporated</w:t>
      </w:r>
    </w:p>
    <w:p>
      <w:pPr>
        <w:spacing w:after="0" w:line="200" w:lineRule="exact"/>
        <w:rPr>
          <w:sz w:val="20"/>
          <w:szCs w:val="20"/>
          <w:color w:val="auto"/>
        </w:rPr>
      </w:pPr>
    </w:p>
    <w:p>
      <w:pPr>
        <w:spacing w:after="0" w:line="218" w:lineRule="exact"/>
        <w:rPr>
          <w:sz w:val="20"/>
          <w:szCs w:val="20"/>
          <w:color w:val="auto"/>
        </w:rPr>
      </w:pPr>
    </w:p>
    <w:p>
      <w:pPr>
        <w:ind w:left="3600"/>
        <w:spacing w:after="0"/>
        <w:tabs>
          <w:tab w:leader="none" w:pos="44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48895</wp:posOffset>
            </wp:positionV>
            <wp:extent cx="25387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111"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Scott A. Graeff</w:t>
      </w:r>
    </w:p>
    <w:p>
      <w:pPr>
        <w:spacing w:after="0" w:line="2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President and Chief Executive Officer</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Date: December 7, 2017</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4"/>
          <w:szCs w:val="14"/>
          <w:color w:val="auto"/>
        </w:rPr>
        <w:t>156389539 v1</w:t>
      </w:r>
    </w:p>
    <w:sectPr>
      <w:pgSz w:w="11900" w:h="16838" w:orient="portrait"/>
      <w:cols w:equalWidth="0" w:num="1">
        <w:col w:w="11220"/>
      </w:cols>
      <w:pgMar w:left="240" w:top="90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o"/>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2019-12-06T19:51:02Z</dcterms:created>
  <dcterms:modified xsi:type="dcterms:W3CDTF">2019-12-06T19:51:02Z</dcterms:modified>
</cp:coreProperties>
</file>