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063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890"/>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0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line="203"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19"/>
        <w:spacing w:after="0" w:line="213" w:lineRule="auto"/>
        <w:rPr>
          <w:sz w:val="20"/>
          <w:szCs w:val="20"/>
          <w:color w:val="auto"/>
        </w:rPr>
      </w:pPr>
      <w:r>
        <w:rPr>
          <w:rFonts w:ascii="Times New Roman" w:cs="Times New Roman" w:eastAsia="Times New Roman" w:hAnsi="Times New Roman"/>
          <w:sz w:val="32"/>
          <w:szCs w:val="32"/>
          <w:b w:val="1"/>
          <w:bCs w:val="1"/>
          <w:color w:val="auto"/>
        </w:rPr>
        <w:t>FORM 8-K</w:t>
      </w:r>
    </w:p>
    <w:p>
      <w:pPr>
        <w:ind w:left="4500"/>
        <w:spacing w:after="0" w:line="204"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jc w:val="center"/>
        <w:ind w:right="-19"/>
        <w:spacing w:after="0" w:line="205" w:lineRule="auto"/>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19"/>
        <w:spacing w:after="0" w:line="205"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line="205"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19"/>
        <w:spacing w:after="0" w:line="205" w:lineRule="auto"/>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12, 2024</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LUNA INNOVATIONS INCORPORATED</w:t>
      </w:r>
    </w:p>
    <w:p>
      <w:pPr>
        <w:jc w:val="center"/>
        <w:ind w:right="-19"/>
        <w:spacing w:after="0" w:line="21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ectPr>
          <w:pgSz w:w="11900" w:h="16838" w:orient="portrait"/>
          <w:cols w:equalWidth="0" w:num="1">
            <w:col w:w="11220"/>
          </w:cols>
          <w:pgMar w:left="320" w:top="1292" w:right="359" w:bottom="1440" w:gutter="0" w:footer="0" w:header="0"/>
        </w:sectPr>
      </w:pPr>
    </w:p>
    <w:p>
      <w:pPr>
        <w:spacing w:after="0" w:line="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000-52008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54-1560050</w:t>
      </w:r>
    </w:p>
    <w:p>
      <w:pPr>
        <w:spacing w:after="0" w:line="40" w:lineRule="exact"/>
        <w:rPr>
          <w:sz w:val="24"/>
          <w:szCs w:val="24"/>
          <w:color w:val="auto"/>
        </w:rPr>
      </w:pPr>
    </w:p>
    <w:p>
      <w:pPr>
        <w:sectPr>
          <w:pgSz w:w="11900" w:h="16838" w:orient="portrait"/>
          <w:cols w:equalWidth="0" w:num="3">
            <w:col w:w="4440" w:space="720"/>
            <w:col w:w="2960" w:space="720"/>
            <w:col w:w="2380"/>
          </w:cols>
          <w:pgMar w:left="320" w:top="1292" w:right="35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80" w:space="720"/>
            <w:col w:w="2500"/>
          </w:cols>
          <w:pgMar w:left="320" w:top="1292" w:right="359" w:bottom="1440" w:gutter="0" w:footer="0" w:header="0"/>
          <w:type w:val="continuous"/>
        </w:sectPr>
      </w:pPr>
    </w:p>
    <w:p>
      <w:pPr>
        <w:spacing w:after="0" w:line="168"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7"/>
          <w:szCs w:val="17"/>
          <w:b w:val="1"/>
          <w:bCs w:val="1"/>
          <w:color w:val="auto"/>
        </w:rPr>
        <w:t>301 1st Street SW</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 xml:space="preserve"> Suite 200</w:t>
      </w:r>
    </w:p>
    <w:p>
      <w:pPr>
        <w:spacing w:after="0" w:line="31" w:lineRule="exact"/>
        <w:rPr>
          <w:sz w:val="24"/>
          <w:szCs w:val="24"/>
          <w:color w:val="auto"/>
        </w:rPr>
      </w:pPr>
    </w:p>
    <w:p>
      <w:pPr>
        <w:jc w:val="center"/>
        <w:ind w:left="260"/>
        <w:spacing w:after="0"/>
        <w:rPr>
          <w:sz w:val="20"/>
          <w:szCs w:val="20"/>
          <w:color w:val="auto"/>
        </w:rPr>
      </w:pPr>
      <w:r>
        <w:rPr>
          <w:rFonts w:ascii="Times New Roman" w:cs="Times New Roman" w:eastAsia="Times New Roman" w:hAnsi="Times New Roman"/>
          <w:sz w:val="18"/>
          <w:szCs w:val="18"/>
          <w:b w:val="1"/>
          <w:bCs w:val="1"/>
          <w:color w:val="auto"/>
        </w:rPr>
        <w:t>Roanoke</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VA</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24011</w:t>
      </w:r>
    </w:p>
    <w:p>
      <w:pPr>
        <w:spacing w:after="0" w:line="497" w:lineRule="exact"/>
        <w:rPr>
          <w:sz w:val="24"/>
          <w:szCs w:val="24"/>
          <w:color w:val="auto"/>
        </w:rPr>
      </w:pPr>
    </w:p>
    <w:p>
      <w:pPr>
        <w:sectPr>
          <w:pgSz w:w="11900" w:h="16838" w:orient="portrait"/>
          <w:cols w:equalWidth="0" w:num="2">
            <w:col w:w="5780" w:space="720"/>
            <w:col w:w="4720"/>
          </w:cols>
          <w:pgMar w:left="320" w:top="1292" w:right="359" w:bottom="1440" w:gutter="0" w:footer="0" w:header="0"/>
          <w:type w:val="continuous"/>
        </w:sectPr>
      </w:pP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730-0360</w:t>
      </w:r>
    </w:p>
    <w:p>
      <w:pPr>
        <w:jc w:val="center"/>
        <w:ind w:right="-39"/>
        <w:spacing w:after="0" w:line="193" w:lineRule="auto"/>
        <w:rPr>
          <w:sz w:val="20"/>
          <w:szCs w:val="20"/>
          <w:color w:val="auto"/>
        </w:rPr>
      </w:pPr>
      <w:r>
        <w:rPr>
          <w:rFonts w:ascii="Times New Roman" w:cs="Times New Roman" w:eastAsia="Times New Roman" w:hAnsi="Times New Roman"/>
          <w:sz w:val="18"/>
          <w:szCs w:val="18"/>
          <w:b w:val="1"/>
          <w:bCs w:val="1"/>
          <w:color w:val="auto"/>
        </w:rPr>
        <w:t>N/A</w:t>
      </w:r>
    </w:p>
    <w:p>
      <w:pPr>
        <w:jc w:val="center"/>
        <w:ind w:right="-39"/>
        <w:spacing w:after="0" w:line="227" w:lineRule="auto"/>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500"/>
        <w:spacing w:after="0" w:line="209" w:lineRule="auto"/>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1" w:lineRule="exact"/>
        <w:rPr>
          <w:sz w:val="24"/>
          <w:szCs w:val="24"/>
          <w:color w:val="auto"/>
        </w:rPr>
      </w:pPr>
    </w:p>
    <w:p>
      <w:pPr>
        <w:ind w:right="180" w:firstLine="486"/>
        <w:spacing w:after="0" w:line="22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5"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5"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5"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5"/>
        </w:trPr>
        <w:tc>
          <w:tcPr>
            <w:tcW w:w="4580" w:type="dxa"/>
            <w:vAlign w:val="bottom"/>
            <w:gridSpan w:val="2"/>
            <w:vMerge w:val="continue"/>
          </w:tcPr>
          <w:p>
            <w:pPr>
              <w:spacing w:after="0"/>
              <w:rPr>
                <w:sz w:val="16"/>
                <w:szCs w:val="16"/>
                <w:color w:val="auto"/>
              </w:rPr>
            </w:pPr>
          </w:p>
        </w:tc>
        <w:tc>
          <w:tcPr>
            <w:tcW w:w="2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3"/>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8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LUNA</w:t>
            </w:r>
          </w:p>
        </w:tc>
        <w:tc>
          <w:tcPr>
            <w:tcW w:w="18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c>
          <w:tcPr>
            <w:tcW w:w="0" w:type="dxa"/>
            <w:vAlign w:val="bottom"/>
          </w:tcPr>
          <w:p>
            <w:pPr>
              <w:spacing w:after="0"/>
              <w:rPr>
                <w:sz w:val="1"/>
                <w:szCs w:val="1"/>
                <w:color w:val="auto"/>
              </w:rPr>
            </w:pPr>
          </w:p>
        </w:tc>
      </w:tr>
    </w:tbl>
    <w:p>
      <w:pPr>
        <w:spacing w:after="0" w:line="58" w:lineRule="exact"/>
        <w:rPr>
          <w:sz w:val="24"/>
          <w:szCs w:val="24"/>
          <w:color w:val="auto"/>
        </w:rPr>
      </w:pPr>
    </w:p>
    <w:p>
      <w:pPr>
        <w:ind w:right="320" w:firstLine="486"/>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ind w:left="500"/>
        <w:spacing w:after="0" w:line="205" w:lineRule="auto"/>
        <w:rPr>
          <w:sz w:val="20"/>
          <w:szCs w:val="20"/>
          <w:color w:val="auto"/>
        </w:rPr>
      </w:pPr>
      <w:r>
        <w:rPr>
          <w:rFonts w:ascii="Times New Roman" w:cs="Times New Roman" w:eastAsia="Times New Roman" w:hAnsi="Times New Roman"/>
          <w:sz w:val="18"/>
          <w:szCs w:val="18"/>
          <w:color w:val="auto"/>
        </w:rPr>
        <w:t>Emerging growth company</w:t>
      </w:r>
    </w:p>
    <w:p>
      <w:pPr>
        <w:ind w:firstLine="486"/>
        <w:spacing w:after="0" w:line="22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Special Committee of the Board of Directors (the “Board”) of Luna Innovations Incorporated (the “Company”) is conducting an independent review, with the assistance of external legal and financial advisors, of certain transactions for which revenue was recognized in the second and third quarters of 2023 that did not qualify for revenue recognition under U.S. generally accepted accounting principles. The Special Committee is examining the circumstances surrounding these issues and is evaluating, among other things, the Company’s disclosure controls and internal control over financial reporting and whether changes in accounting policies or other policies are necessary.</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While the independent review is ongoing, on March 12, 2024, the Audit Committee (the “Audit Committee”) of the Board, based on preliminary findings of the review, and after consultation with, the Company’s management and the Special Committee’s external legal and financial advisors, concluded that the Company’s previously issued unaudited interim condensed consolidated financial statements for the quarters ended June 30, 2023, and September 30, 2023, as previously filed with the Securities and Exchange Commission (the “SEC”), should no longer be relied upon and should be restated.</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independent review, the Company has identified material weaknesses in its internal control over financial reporting that existed as of June 30, 2023, and September 30, 2023, and has re-evaluated the effectiveness of the Company’s disclosure controls and procedures as of those dates. Based on this assessment, the Company’s disclosure controls and procedures were ineffective for the quarters ended June 30, 2023, and September 30, 2023. The Company is continuing to evaluate its internal control over financial reporting and will report its remediation plan and further information regarding the material weaknesses when it reports its restated results for the affected periods.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independent review remains ongoing, the Company has not yet determined the full extent of the impact on the second and third quarters of 2023 and whether and to what extent there may be an impact on financial statements for any other periods.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and the Audit Committee have discussed the matters disclosed in this current report on Form 8-K with Ernst &amp; Young LLP, the Company’s independent registered public accounting firm.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The words “anticipate,” “will,” “expect” “potential,” and similar terms and phrases are used in this Form 12b-25 to identify forward-looking statements, including expectations regarding the ongoing review being overseen by the Special Committee, the impacts of the results of the independent review, including the extent of any impact on the Company’s reported historical financial statements, the expected timing of the Company’s filing of its Form 10-K and the determinations with respect to necessary changes in accounting or other policies resulting from the review. These forward-looking statements are only predictions and are subject to a number of both known and unknown risks and uncertainties, and actual results, performance, and/or achievements of the Company may differ materially from the future results, performance, and/or achievements expressed or implied by these forward-looking statements as a result of a number of factors. These factors include, without limitation, the review being overseen by the Special Committee is still ongoing, the determinations with respect to the degree of transactions and relevant financial reporting periods implicated thereby, the resulting effects on the Company’s reported financial results and the delay in the Company’s reporting of its financial results and filing of its Form 10-K with the SEC, as well as the risks and uncertainties set forth in the sections entitled “Risk Factors” in the Company's Quarterly Reports on Form 10-Q for the quarter ended September 30, 2023, as well as subsequent filings with the SEC. The statements made in this filing are based on information available to the Company as of the date of this filing and the Company undertakes no obligation to update any of the forward-looking statements after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Luna Innovations Incorporated</w:t>
      </w:r>
    </w:p>
    <w:p>
      <w:pPr>
        <w:spacing w:after="0" w:line="2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Scott A. Graeff</w:t>
      </w:r>
    </w:p>
    <w:p>
      <w:pPr>
        <w:spacing w:after="0" w:line="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Scott A. Graeff</w:t>
      </w:r>
    </w:p>
    <w:p>
      <w:pPr>
        <w:jc w:val="center"/>
        <w:ind w:right="-13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2024</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2024-03-12T15:33:14Z</dcterms:created>
  <dcterms:modified xsi:type="dcterms:W3CDTF">2024-03-12T15:33:14Z</dcterms:modified>
</cp:coreProperties>
</file>