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Luna Innovations Incorporated</w:t>
      </w:r>
    </w:p>
    <w:p>
      <w:pPr>
        <w:spacing w:after="0" w:line="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2180" w:type="dxa"/>
            <w:vAlign w:val="bottom"/>
          </w:tcPr>
          <w:p>
            <w:pPr>
              <w:jc w:val="center"/>
              <w:ind w:right="4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06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000-52008</w:t>
            </w:r>
          </w:p>
        </w:tc>
        <w:tc>
          <w:tcPr>
            <w:tcW w:w="1860" w:type="dxa"/>
            <w:vAlign w:val="bottom"/>
          </w:tcPr>
          <w:p>
            <w:pPr>
              <w:jc w:val="center"/>
              <w:ind w:left="642"/>
              <w:spacing w:after="0"/>
              <w:rPr>
                <w:sz w:val="20"/>
                <w:szCs w:val="20"/>
                <w:color w:val="auto"/>
              </w:rPr>
            </w:pPr>
            <w:r>
              <w:rPr>
                <w:rFonts w:ascii="Times New Roman" w:cs="Times New Roman" w:eastAsia="Times New Roman" w:hAnsi="Times New Roman"/>
                <w:sz w:val="18"/>
                <w:szCs w:val="18"/>
                <w:b w:val="1"/>
                <w:bCs w:val="1"/>
                <w:color w:val="auto"/>
                <w:w w:val="98"/>
              </w:rPr>
              <w:t>54-1560050</w:t>
            </w:r>
          </w:p>
        </w:tc>
      </w:tr>
      <w:tr>
        <w:trPr>
          <w:trHeight w:val="232"/>
        </w:trPr>
        <w:tc>
          <w:tcPr>
            <w:tcW w:w="218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60" w:type="dxa"/>
            <w:vAlign w:val="bottom"/>
          </w:tcPr>
          <w:p>
            <w:pPr>
              <w:ind w:left="210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60" w:type="dxa"/>
            <w:vAlign w:val="bottom"/>
          </w:tcPr>
          <w:p>
            <w:pPr>
              <w:jc w:val="center"/>
              <w:ind w:left="64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80" w:type="dxa"/>
            <w:vAlign w:val="bottom"/>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60" w:type="dxa"/>
            <w:vAlign w:val="bottom"/>
          </w:tcPr>
          <w:p>
            <w:pPr>
              <w:ind w:left="20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60" w:type="dxa"/>
            <w:vAlign w:val="bottom"/>
          </w:tcPr>
          <w:p>
            <w:pPr>
              <w:jc w:val="center"/>
              <w:ind w:left="6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14"/>
        </w:trPr>
        <w:tc>
          <w:tcPr>
            <w:tcW w:w="2180" w:type="dxa"/>
            <w:vAlign w:val="bottom"/>
          </w:tcPr>
          <w:p>
            <w:pPr>
              <w:spacing w:after="0"/>
              <w:rPr>
                <w:sz w:val="24"/>
                <w:szCs w:val="24"/>
                <w:color w:val="auto"/>
              </w:rPr>
            </w:pPr>
          </w:p>
        </w:tc>
        <w:tc>
          <w:tcPr>
            <w:tcW w:w="5060" w:type="dxa"/>
            <w:vAlign w:val="bottom"/>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301 1</w:t>
            </w:r>
            <w:r>
              <w:rPr>
                <w:rFonts w:ascii="Times New Roman" w:cs="Times New Roman" w:eastAsia="Times New Roman" w:hAnsi="Times New Roman"/>
                <w:sz w:val="25"/>
                <w:szCs w:val="25"/>
                <w:b w:val="1"/>
                <w:bCs w:val="1"/>
                <w:color w:val="auto"/>
                <w:w w:val="97"/>
                <w:vertAlign w:val="superscript"/>
              </w:rPr>
              <w:t>st</w:t>
            </w:r>
            <w:r>
              <w:rPr>
                <w:rFonts w:ascii="Times New Roman" w:cs="Times New Roman" w:eastAsia="Times New Roman" w:hAnsi="Times New Roman"/>
                <w:sz w:val="18"/>
                <w:szCs w:val="18"/>
                <w:b w:val="1"/>
                <w:bCs w:val="1"/>
                <w:color w:val="auto"/>
                <w:w w:val="97"/>
              </w:rPr>
              <w:t xml:space="preserve"> Street SW, Suite 200</w:t>
            </w:r>
          </w:p>
        </w:tc>
        <w:tc>
          <w:tcPr>
            <w:tcW w:w="1860" w:type="dxa"/>
            <w:vAlign w:val="bottom"/>
          </w:tcPr>
          <w:p>
            <w:pPr>
              <w:spacing w:after="0"/>
              <w:rPr>
                <w:sz w:val="24"/>
                <w:szCs w:val="24"/>
                <w:color w:val="auto"/>
              </w:rPr>
            </w:pPr>
          </w:p>
        </w:tc>
      </w:tr>
      <w:tr>
        <w:trPr>
          <w:trHeight w:val="238"/>
        </w:trPr>
        <w:tc>
          <w:tcPr>
            <w:tcW w:w="2180" w:type="dxa"/>
            <w:vAlign w:val="bottom"/>
          </w:tcPr>
          <w:p>
            <w:pPr>
              <w:spacing w:after="0"/>
              <w:rPr>
                <w:sz w:val="20"/>
                <w:szCs w:val="20"/>
                <w:color w:val="auto"/>
              </w:rPr>
            </w:pPr>
          </w:p>
        </w:tc>
        <w:tc>
          <w:tcPr>
            <w:tcW w:w="5060" w:type="dxa"/>
            <w:vAlign w:val="bottom"/>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Roanoke, Virginia 24011</w:t>
            </w:r>
          </w:p>
        </w:tc>
        <w:tc>
          <w:tcPr>
            <w:tcW w:w="1860" w:type="dxa"/>
            <w:vAlign w:val="bottom"/>
          </w:tcPr>
          <w:p>
            <w:pPr>
              <w:spacing w:after="0"/>
              <w:rPr>
                <w:sz w:val="20"/>
                <w:szCs w:val="20"/>
                <w:color w:val="auto"/>
              </w:rPr>
            </w:pPr>
          </w:p>
        </w:tc>
      </w:tr>
      <w:tr>
        <w:trPr>
          <w:trHeight w:val="206"/>
        </w:trPr>
        <w:tc>
          <w:tcPr>
            <w:tcW w:w="2180" w:type="dxa"/>
            <w:vAlign w:val="bottom"/>
          </w:tcPr>
          <w:p>
            <w:pPr>
              <w:spacing w:after="0"/>
              <w:rPr>
                <w:sz w:val="17"/>
                <w:szCs w:val="17"/>
                <w:color w:val="auto"/>
              </w:rPr>
            </w:pPr>
          </w:p>
        </w:tc>
        <w:tc>
          <w:tcPr>
            <w:tcW w:w="50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60" w:type="dxa"/>
            <w:vAlign w:val="bottom"/>
          </w:tcPr>
          <w:p>
            <w:pPr>
              <w:spacing w:after="0"/>
              <w:rPr>
                <w:sz w:val="17"/>
                <w:szCs w:val="17"/>
                <w:color w:val="auto"/>
              </w:rPr>
            </w:pPr>
          </w:p>
        </w:tc>
      </w:tr>
      <w:tr>
        <w:trPr>
          <w:trHeight w:val="415"/>
        </w:trPr>
        <w:tc>
          <w:tcPr>
            <w:tcW w:w="2180" w:type="dxa"/>
            <w:vAlign w:val="bottom"/>
          </w:tcPr>
          <w:p>
            <w:pPr>
              <w:spacing w:after="0"/>
              <w:rPr>
                <w:sz w:val="24"/>
                <w:szCs w:val="24"/>
                <w:color w:val="auto"/>
              </w:rPr>
            </w:pPr>
          </w:p>
        </w:tc>
        <w:tc>
          <w:tcPr>
            <w:tcW w:w="5060" w:type="dxa"/>
            <w:vAlign w:val="bottom"/>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540-769-8400</w:t>
            </w:r>
          </w:p>
        </w:tc>
        <w:tc>
          <w:tcPr>
            <w:tcW w:w="1860" w:type="dxa"/>
            <w:vAlign w:val="bottom"/>
          </w:tcPr>
          <w:p>
            <w:pPr>
              <w:spacing w:after="0"/>
              <w:rPr>
                <w:sz w:val="24"/>
                <w:szCs w:val="24"/>
                <w:color w:val="auto"/>
              </w:rPr>
            </w:pPr>
          </w:p>
        </w:tc>
      </w:tr>
      <w:tr>
        <w:trPr>
          <w:trHeight w:val="206"/>
        </w:trPr>
        <w:tc>
          <w:tcPr>
            <w:tcW w:w="2180" w:type="dxa"/>
            <w:vAlign w:val="bottom"/>
          </w:tcPr>
          <w:p>
            <w:pPr>
              <w:spacing w:after="0"/>
              <w:rPr>
                <w:sz w:val="17"/>
                <w:szCs w:val="17"/>
                <w:color w:val="auto"/>
              </w:rPr>
            </w:pPr>
          </w:p>
        </w:tc>
        <w:tc>
          <w:tcPr>
            <w:tcW w:w="50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60" w:type="dxa"/>
            <w:vAlign w:val="bottom"/>
          </w:tcPr>
          <w:p>
            <w:pPr>
              <w:spacing w:after="0"/>
              <w:rPr>
                <w:sz w:val="17"/>
                <w:szCs w:val="17"/>
                <w:color w:val="auto"/>
              </w:rPr>
            </w:pPr>
          </w:p>
        </w:tc>
      </w:tr>
      <w:tr>
        <w:trPr>
          <w:trHeight w:val="594"/>
        </w:trPr>
        <w:tc>
          <w:tcPr>
            <w:tcW w:w="2180" w:type="dxa"/>
            <w:vAlign w:val="bottom"/>
          </w:tcPr>
          <w:p>
            <w:pPr>
              <w:spacing w:after="0"/>
              <w:rPr>
                <w:sz w:val="24"/>
                <w:szCs w:val="24"/>
                <w:color w:val="auto"/>
              </w:rPr>
            </w:pPr>
          </w:p>
        </w:tc>
        <w:tc>
          <w:tcPr>
            <w:tcW w:w="50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8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2" w:lineRule="exact"/>
        <w:rPr>
          <w:sz w:val="24"/>
          <w:szCs w:val="24"/>
          <w:color w:val="auto"/>
        </w:rPr>
      </w:pPr>
    </w:p>
    <w:p>
      <w:pPr>
        <w:ind w:left="840" w:hanging="697"/>
        <w:spacing w:after="0"/>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840" w:hanging="697"/>
        <w:spacing w:after="0"/>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ectPr>
          <w:pgSz w:w="11900" w:h="16838" w:orient="portrait"/>
          <w:cols w:equalWidth="0" w:num="1">
            <w:col w:w="11300"/>
          </w:cols>
          <w:pgMar w:left="240" w:top="1186" w:right="359" w:bottom="1440" w:gutter="0" w:footer="0" w:header="0"/>
        </w:sectPr>
      </w:pPr>
    </w:p>
    <w:bookmarkStart w:id="1" w:name="page2"/>
    <w:bookmarkEnd w:id="1"/>
    <w:p>
      <w:pPr>
        <w:ind w:left="840" w:hanging="697"/>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840" w:hanging="697"/>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Indícate by check mark whether the registrant is an emerging growth Company as defined in Rule 405 of the Securities Act of 1933 (§230.405 of this chapter) or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Securities Exchange Act of 1934 (§240.12b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this chapter).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958" w:right="239" w:bottom="1440" w:gutter="0" w:footer="0" w:header="0"/>
        </w:sectPr>
      </w:pPr>
    </w:p>
    <w:bookmarkStart w:id="2" w:name="page3"/>
    <w:bookmarkEnd w:id="2"/>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compensation committee (the “Committee”) of the Board of Directors of Luna Innovations Incorporated (the “Company”) has recently undertaken a thorough review of the Company’s executive compensation programs, including salary, cash bonus, and equity-based incentive compensation. After completing this review, on January 14, 2019, the Committee approved equity awards for the Company’s executive officers reflecting a revised approach for annual grants of equity compensation (the “2019 Grants”). Beginning with the 2019 Grants, the Committee intends to provide for annual grants of equity compensation comprising a combination of service-based restricted stock units, which will vest over time, and performance-based restricted stock units that will vest based on the Company’s achievement of long-term performance goals. With respect to the 2019 Grants, the service-based restricted stock units are scheduled to vest in three equal annual installments and the performance-based restricted stock units are scheduled to vest, if at all, based on the Company’s levels of 2021 revenue and operating income, in each case subject to the executive officer’s continuous service through vesting. The performance-based awards establish threshold, target and maximum vesting amounts based on pre-defined levels of each of 2021 revenue and operating income, subject to the overall achievement of a minimum level of operating income for the year ending December 31,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table summarizing the 2019 Grants by executive officer:</w:t>
      </w: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220" w:type="dxa"/>
            <w:vAlign w:val="bottom"/>
            <w:tcBorders>
              <w:top w:val="single" w:sz="8" w:color="00000A"/>
              <w:left w:val="single" w:sz="8" w:color="00000A"/>
              <w:right w:val="single" w:sz="8" w:color="00000A"/>
            </w:tcBorders>
          </w:tcPr>
          <w:p>
            <w:pPr>
              <w:spacing w:after="0"/>
              <w:rPr>
                <w:sz w:val="20"/>
                <w:szCs w:val="20"/>
                <w:color w:val="auto"/>
              </w:rPr>
            </w:pPr>
          </w:p>
        </w:tc>
        <w:tc>
          <w:tcPr>
            <w:tcW w:w="17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Time-Based</w:t>
            </w:r>
          </w:p>
        </w:tc>
        <w:tc>
          <w:tcPr>
            <w:tcW w:w="1700" w:type="dxa"/>
            <w:vAlign w:val="bottom"/>
            <w:tcBorders>
              <w:top w:val="single" w:sz="8" w:color="00000A"/>
            </w:tcBorders>
          </w:tcPr>
          <w:p>
            <w:pPr>
              <w:spacing w:after="0"/>
              <w:rPr>
                <w:sz w:val="20"/>
                <w:szCs w:val="20"/>
                <w:color w:val="auto"/>
              </w:rPr>
            </w:pPr>
          </w:p>
        </w:tc>
        <w:tc>
          <w:tcPr>
            <w:tcW w:w="1680" w:type="dxa"/>
            <w:vAlign w:val="bottom"/>
            <w:tcBorders>
              <w:top w:val="single" w:sz="8" w:color="00000A"/>
            </w:tcBorders>
          </w:tcPr>
          <w:p>
            <w:pPr>
              <w:spacing w:after="0"/>
              <w:rPr>
                <w:sz w:val="20"/>
                <w:szCs w:val="20"/>
                <w:color w:val="auto"/>
              </w:rPr>
            </w:pPr>
          </w:p>
        </w:tc>
        <w:tc>
          <w:tcPr>
            <w:tcW w:w="1680" w:type="dxa"/>
            <w:vAlign w:val="bottom"/>
            <w:tcBorders>
              <w:top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tcBorders>
              <w:left w:val="single" w:sz="8" w:color="00000A"/>
              <w:right w:val="single" w:sz="8" w:color="00000A"/>
            </w:tcBorders>
          </w:tcPr>
          <w:p>
            <w:pPr>
              <w:spacing w:after="0"/>
              <w:rPr>
                <w:sz w:val="18"/>
                <w:szCs w:val="18"/>
                <w:color w:val="auto"/>
              </w:rPr>
            </w:pPr>
          </w:p>
        </w:tc>
        <w:tc>
          <w:tcPr>
            <w:tcW w:w="17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5060" w:type="dxa"/>
            <w:vAlign w:val="bottom"/>
            <w:tcBorders>
              <w:right w:val="single" w:sz="8" w:color="00000A"/>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Performance-Based Restricted Stock Units</w:t>
            </w:r>
          </w:p>
        </w:tc>
        <w:tc>
          <w:tcPr>
            <w:tcW w:w="0" w:type="dxa"/>
            <w:vAlign w:val="bottom"/>
          </w:tcPr>
          <w:p>
            <w:pPr>
              <w:spacing w:after="0"/>
              <w:rPr>
                <w:sz w:val="1"/>
                <w:szCs w:val="1"/>
                <w:color w:val="auto"/>
              </w:rPr>
            </w:pPr>
          </w:p>
        </w:tc>
      </w:tr>
      <w:tr>
        <w:trPr>
          <w:trHeight w:val="49"/>
        </w:trPr>
        <w:tc>
          <w:tcPr>
            <w:tcW w:w="3220" w:type="dxa"/>
            <w:vAlign w:val="bottom"/>
            <w:tcBorders>
              <w:left w:val="single" w:sz="8" w:color="00000A"/>
              <w:right w:val="single" w:sz="8" w:color="00000A"/>
            </w:tcBorders>
          </w:tcPr>
          <w:p>
            <w:pPr>
              <w:spacing w:after="0"/>
              <w:rPr>
                <w:sz w:val="4"/>
                <w:szCs w:val="4"/>
                <w:color w:val="auto"/>
              </w:rPr>
            </w:pPr>
          </w:p>
        </w:tc>
        <w:tc>
          <w:tcPr>
            <w:tcW w:w="172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700" w:type="dxa"/>
            <w:vAlign w:val="bottom"/>
            <w:tcBorders>
              <w:bottom w:val="single" w:sz="8" w:color="00000A"/>
            </w:tcBorders>
          </w:tcPr>
          <w:p>
            <w:pPr>
              <w:spacing w:after="0"/>
              <w:rPr>
                <w:sz w:val="4"/>
                <w:szCs w:val="4"/>
                <w:color w:val="auto"/>
              </w:rPr>
            </w:pPr>
          </w:p>
        </w:tc>
        <w:tc>
          <w:tcPr>
            <w:tcW w:w="1680" w:type="dxa"/>
            <w:vAlign w:val="bottom"/>
            <w:tcBorders>
              <w:bottom w:val="single" w:sz="8" w:color="00000A"/>
            </w:tcBorders>
          </w:tcPr>
          <w:p>
            <w:pPr>
              <w:spacing w:after="0"/>
              <w:rPr>
                <w:sz w:val="4"/>
                <w:szCs w:val="4"/>
                <w:color w:val="auto"/>
              </w:rPr>
            </w:pPr>
          </w:p>
        </w:tc>
        <w:tc>
          <w:tcPr>
            <w:tcW w:w="1680" w:type="dxa"/>
            <w:vAlign w:val="bottom"/>
            <w:tcBorders>
              <w:bottom w:val="single" w:sz="8" w:color="00000A"/>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220" w:type="dxa"/>
            <w:vAlign w:val="bottom"/>
            <w:tcBorders>
              <w:left w:val="single" w:sz="8" w:color="00000A"/>
              <w:right w:val="single" w:sz="8" w:color="00000A"/>
            </w:tcBorders>
          </w:tcPr>
          <w:p>
            <w:pPr>
              <w:spacing w:after="0"/>
              <w:rPr>
                <w:sz w:val="14"/>
                <w:szCs w:val="14"/>
                <w:color w:val="auto"/>
              </w:rPr>
            </w:pPr>
          </w:p>
        </w:tc>
        <w:tc>
          <w:tcPr>
            <w:tcW w:w="1720" w:type="dxa"/>
            <w:vAlign w:val="bottom"/>
            <w:tcBorders>
              <w:right w:val="single" w:sz="8" w:color="00000A"/>
            </w:tcBorders>
            <w:vMerge w:val="continue"/>
          </w:tcPr>
          <w:p>
            <w:pPr>
              <w:spacing w:after="0"/>
              <w:rPr>
                <w:sz w:val="14"/>
                <w:szCs w:val="14"/>
                <w:color w:val="auto"/>
              </w:rPr>
            </w:pPr>
          </w:p>
        </w:tc>
        <w:tc>
          <w:tcPr>
            <w:tcW w:w="1700" w:type="dxa"/>
            <w:vAlign w:val="bottom"/>
            <w:tcBorders>
              <w:right w:val="single" w:sz="8" w:color="00000A"/>
            </w:tcBorders>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68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680" w:type="dxa"/>
            <w:vAlign w:val="bottom"/>
            <w:tcBorders>
              <w:right w:val="single" w:sz="8" w:color="00000A"/>
            </w:tcBorders>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0" w:type="dxa"/>
            <w:vAlign w:val="bottom"/>
          </w:tcPr>
          <w:p>
            <w:pPr>
              <w:spacing w:after="0"/>
              <w:rPr>
                <w:sz w:val="1"/>
                <w:szCs w:val="1"/>
                <w:color w:val="auto"/>
              </w:rPr>
            </w:pPr>
          </w:p>
        </w:tc>
      </w:tr>
      <w:tr>
        <w:trPr>
          <w:trHeight w:val="68"/>
        </w:trPr>
        <w:tc>
          <w:tcPr>
            <w:tcW w:w="3220" w:type="dxa"/>
            <w:vAlign w:val="bottom"/>
            <w:tcBorders>
              <w:left w:val="single" w:sz="8" w:color="00000A"/>
              <w:right w:val="single" w:sz="8" w:color="00000A"/>
            </w:tcBorders>
          </w:tcPr>
          <w:p>
            <w:pPr>
              <w:spacing w:after="0"/>
              <w:rPr>
                <w:sz w:val="5"/>
                <w:szCs w:val="5"/>
                <w:color w:val="auto"/>
              </w:rPr>
            </w:pPr>
          </w:p>
        </w:tc>
        <w:tc>
          <w:tcPr>
            <w:tcW w:w="1720" w:type="dxa"/>
            <w:vAlign w:val="bottom"/>
            <w:tcBorders>
              <w:right w:val="single" w:sz="8" w:color="00000A"/>
            </w:tcBorders>
          </w:tcPr>
          <w:p>
            <w:pPr>
              <w:spacing w:after="0"/>
              <w:rPr>
                <w:sz w:val="5"/>
                <w:szCs w:val="5"/>
                <w:color w:val="auto"/>
              </w:rPr>
            </w:pPr>
          </w:p>
        </w:tc>
        <w:tc>
          <w:tcPr>
            <w:tcW w:w="1700" w:type="dxa"/>
            <w:vAlign w:val="bottom"/>
            <w:tcBorders>
              <w:right w:val="single" w:sz="8" w:color="00000A"/>
            </w:tcBorders>
            <w:vMerge w:val="continue"/>
          </w:tcPr>
          <w:p>
            <w:pPr>
              <w:spacing w:after="0"/>
              <w:rPr>
                <w:sz w:val="5"/>
                <w:szCs w:val="5"/>
                <w:color w:val="auto"/>
              </w:rPr>
            </w:pPr>
          </w:p>
        </w:tc>
        <w:tc>
          <w:tcPr>
            <w:tcW w:w="1680" w:type="dxa"/>
            <w:vAlign w:val="bottom"/>
            <w:tcBorders>
              <w:right w:val="single" w:sz="8" w:color="00000A"/>
            </w:tcBorders>
            <w:vMerge w:val="continue"/>
          </w:tcPr>
          <w:p>
            <w:pPr>
              <w:spacing w:after="0"/>
              <w:rPr>
                <w:sz w:val="5"/>
                <w:szCs w:val="5"/>
                <w:color w:val="auto"/>
              </w:rPr>
            </w:pPr>
          </w:p>
        </w:tc>
        <w:tc>
          <w:tcPr>
            <w:tcW w:w="1680" w:type="dxa"/>
            <w:vAlign w:val="bottom"/>
            <w:tcBorders>
              <w:right w:val="single" w:sz="8" w:color="00000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3220" w:type="dxa"/>
            <w:vAlign w:val="bottom"/>
            <w:tcBorders>
              <w:left w:val="single" w:sz="8" w:color="00000A"/>
              <w:bottom w:val="single" w:sz="8" w:color="00000A"/>
              <w:right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22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Scott A. Graeff, President and Chief</w:t>
            </w:r>
          </w:p>
        </w:tc>
        <w:tc>
          <w:tcPr>
            <w:tcW w:w="172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92,000</w:t>
            </w:r>
          </w:p>
        </w:tc>
        <w:tc>
          <w:tcPr>
            <w:tcW w:w="1700" w:type="dxa"/>
            <w:vAlign w:val="bottom"/>
            <w:tcBorders>
              <w:right w:val="single" w:sz="8" w:color="00000A"/>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11,500</w:t>
            </w:r>
          </w:p>
        </w:tc>
        <w:tc>
          <w:tcPr>
            <w:tcW w:w="1680" w:type="dxa"/>
            <w:vAlign w:val="bottom"/>
            <w:tcBorders>
              <w:right w:val="single" w:sz="8" w:color="00000A"/>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23,000</w:t>
            </w:r>
          </w:p>
        </w:tc>
        <w:tc>
          <w:tcPr>
            <w:tcW w:w="1680" w:type="dxa"/>
            <w:vAlign w:val="bottom"/>
            <w:tcBorders>
              <w:right w:val="single" w:sz="8" w:color="00000A"/>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34,500</w:t>
            </w:r>
          </w:p>
        </w:tc>
        <w:tc>
          <w:tcPr>
            <w:tcW w:w="0" w:type="dxa"/>
            <w:vAlign w:val="bottom"/>
          </w:tcPr>
          <w:p>
            <w:pPr>
              <w:spacing w:after="0"/>
              <w:rPr>
                <w:sz w:val="1"/>
                <w:szCs w:val="1"/>
                <w:color w:val="auto"/>
              </w:rPr>
            </w:pPr>
          </w:p>
        </w:tc>
      </w:tr>
      <w:tr>
        <w:trPr>
          <w:trHeight w:val="130"/>
        </w:trPr>
        <w:tc>
          <w:tcPr>
            <w:tcW w:w="3220" w:type="dxa"/>
            <w:vAlign w:val="bottom"/>
            <w:tcBorders>
              <w:left w:val="single" w:sz="8" w:color="00000A"/>
              <w:right w:val="single" w:sz="8" w:color="00000A"/>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Officer</w:t>
            </w:r>
          </w:p>
        </w:tc>
        <w:tc>
          <w:tcPr>
            <w:tcW w:w="1720" w:type="dxa"/>
            <w:vAlign w:val="bottom"/>
            <w:tcBorders>
              <w:right w:val="single" w:sz="8" w:color="00000A"/>
            </w:tcBorders>
            <w:vMerge w:val="continue"/>
          </w:tcPr>
          <w:p>
            <w:pPr>
              <w:spacing w:after="0"/>
              <w:rPr>
                <w:sz w:val="11"/>
                <w:szCs w:val="11"/>
                <w:color w:val="auto"/>
              </w:rPr>
            </w:pPr>
          </w:p>
        </w:tc>
        <w:tc>
          <w:tcPr>
            <w:tcW w:w="1700" w:type="dxa"/>
            <w:vAlign w:val="bottom"/>
            <w:tcBorders>
              <w:right w:val="single" w:sz="8" w:color="00000A"/>
            </w:tcBorders>
            <w:vMerge w:val="continue"/>
          </w:tcPr>
          <w:p>
            <w:pPr>
              <w:spacing w:after="0"/>
              <w:rPr>
                <w:sz w:val="11"/>
                <w:szCs w:val="11"/>
                <w:color w:val="auto"/>
              </w:rPr>
            </w:pPr>
          </w:p>
        </w:tc>
        <w:tc>
          <w:tcPr>
            <w:tcW w:w="1680" w:type="dxa"/>
            <w:vAlign w:val="bottom"/>
            <w:tcBorders>
              <w:right w:val="single" w:sz="8" w:color="00000A"/>
            </w:tcBorders>
            <w:vMerge w:val="continue"/>
          </w:tcPr>
          <w:p>
            <w:pPr>
              <w:spacing w:after="0"/>
              <w:rPr>
                <w:sz w:val="11"/>
                <w:szCs w:val="11"/>
                <w:color w:val="auto"/>
              </w:rPr>
            </w:pPr>
          </w:p>
        </w:tc>
        <w:tc>
          <w:tcPr>
            <w:tcW w:w="1680" w:type="dxa"/>
            <w:vAlign w:val="bottom"/>
            <w:tcBorders>
              <w:right w:val="single" w:sz="8" w:color="00000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20" w:type="dxa"/>
            <w:vAlign w:val="bottom"/>
            <w:tcBorders>
              <w:left w:val="single" w:sz="8" w:color="00000A"/>
              <w:right w:val="single" w:sz="8" w:color="00000A"/>
            </w:tcBorders>
            <w:vMerge w:val="continue"/>
          </w:tcPr>
          <w:p>
            <w:pPr>
              <w:spacing w:after="0"/>
              <w:rPr>
                <w:sz w:val="9"/>
                <w:szCs w:val="9"/>
                <w:color w:val="auto"/>
              </w:rPr>
            </w:pPr>
          </w:p>
        </w:tc>
        <w:tc>
          <w:tcPr>
            <w:tcW w:w="1720" w:type="dxa"/>
            <w:vAlign w:val="bottom"/>
            <w:tcBorders>
              <w:right w:val="single" w:sz="8" w:color="00000A"/>
            </w:tcBorders>
          </w:tcPr>
          <w:p>
            <w:pPr>
              <w:spacing w:after="0"/>
              <w:rPr>
                <w:sz w:val="9"/>
                <w:szCs w:val="9"/>
                <w:color w:val="auto"/>
              </w:rPr>
            </w:pPr>
          </w:p>
        </w:tc>
        <w:tc>
          <w:tcPr>
            <w:tcW w:w="1700" w:type="dxa"/>
            <w:vAlign w:val="bottom"/>
            <w:tcBorders>
              <w:right w:val="single" w:sz="8" w:color="00000A"/>
            </w:tcBorders>
          </w:tcPr>
          <w:p>
            <w:pPr>
              <w:spacing w:after="0"/>
              <w:rPr>
                <w:sz w:val="9"/>
                <w:szCs w:val="9"/>
                <w:color w:val="auto"/>
              </w:rPr>
            </w:pPr>
          </w:p>
        </w:tc>
        <w:tc>
          <w:tcPr>
            <w:tcW w:w="1680" w:type="dxa"/>
            <w:vAlign w:val="bottom"/>
            <w:tcBorders>
              <w:right w:val="single" w:sz="8" w:color="00000A"/>
            </w:tcBorders>
          </w:tcPr>
          <w:p>
            <w:pPr>
              <w:spacing w:after="0"/>
              <w:rPr>
                <w:sz w:val="9"/>
                <w:szCs w:val="9"/>
                <w:color w:val="auto"/>
              </w:rPr>
            </w:pPr>
          </w:p>
        </w:tc>
        <w:tc>
          <w:tcPr>
            <w:tcW w:w="168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220" w:type="dxa"/>
            <w:vAlign w:val="bottom"/>
            <w:tcBorders>
              <w:left w:val="single" w:sz="8" w:color="00000A"/>
              <w:bottom w:val="single" w:sz="8" w:color="00000A"/>
              <w:right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Dale E. Messick, Chief Financial Officer</w:t>
            </w:r>
          </w:p>
        </w:tc>
        <w:tc>
          <w:tcPr>
            <w:tcW w:w="17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20,000</w:t>
            </w:r>
          </w:p>
        </w:tc>
        <w:tc>
          <w:tcPr>
            <w:tcW w:w="1700" w:type="dxa"/>
            <w:vAlign w:val="bottom"/>
            <w:tcBorders>
              <w:right w:val="single" w:sz="8" w:color="00000A"/>
            </w:tcBorders>
          </w:tcPr>
          <w:p>
            <w:pPr>
              <w:jc w:val="right"/>
              <w:ind w:right="570"/>
              <w:spacing w:after="0"/>
              <w:rPr>
                <w:sz w:val="20"/>
                <w:szCs w:val="20"/>
                <w:color w:val="auto"/>
              </w:rPr>
            </w:pPr>
            <w:r>
              <w:rPr>
                <w:rFonts w:ascii="Times New Roman" w:cs="Times New Roman" w:eastAsia="Times New Roman" w:hAnsi="Times New Roman"/>
                <w:sz w:val="18"/>
                <w:szCs w:val="18"/>
                <w:color w:val="auto"/>
              </w:rPr>
              <w:t>2,500</w:t>
            </w:r>
          </w:p>
        </w:tc>
        <w:tc>
          <w:tcPr>
            <w:tcW w:w="1680" w:type="dxa"/>
            <w:vAlign w:val="bottom"/>
            <w:tcBorders>
              <w:right w:val="single" w:sz="8" w:color="00000A"/>
            </w:tcBorders>
          </w:tcPr>
          <w:p>
            <w:pPr>
              <w:jc w:val="right"/>
              <w:ind w:right="570"/>
              <w:spacing w:after="0"/>
              <w:rPr>
                <w:sz w:val="20"/>
                <w:szCs w:val="20"/>
                <w:color w:val="auto"/>
              </w:rPr>
            </w:pPr>
            <w:r>
              <w:rPr>
                <w:rFonts w:ascii="Times New Roman" w:cs="Times New Roman" w:eastAsia="Times New Roman" w:hAnsi="Times New Roman"/>
                <w:sz w:val="18"/>
                <w:szCs w:val="18"/>
                <w:color w:val="auto"/>
              </w:rPr>
              <w:t>5,000</w:t>
            </w:r>
          </w:p>
        </w:tc>
        <w:tc>
          <w:tcPr>
            <w:tcW w:w="1680" w:type="dxa"/>
            <w:vAlign w:val="bottom"/>
            <w:tcBorders>
              <w:right w:val="single" w:sz="8" w:color="00000A"/>
            </w:tcBorders>
          </w:tcPr>
          <w:p>
            <w:pPr>
              <w:jc w:val="right"/>
              <w:ind w:right="55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7"/>
        </w:trPr>
        <w:tc>
          <w:tcPr>
            <w:tcW w:w="3220" w:type="dxa"/>
            <w:vAlign w:val="bottom"/>
            <w:tcBorders>
              <w:left w:val="single" w:sz="8" w:color="00000A"/>
              <w:bottom w:val="single" w:sz="8" w:color="00000A"/>
              <w:right w:val="single" w:sz="8" w:color="00000A"/>
            </w:tcBorders>
          </w:tcPr>
          <w:p>
            <w:pPr>
              <w:spacing w:after="0"/>
              <w:rPr>
                <w:sz w:val="2"/>
                <w:szCs w:val="2"/>
                <w:color w:val="auto"/>
              </w:rPr>
            </w:pPr>
          </w:p>
        </w:tc>
        <w:tc>
          <w:tcPr>
            <w:tcW w:w="1720" w:type="dxa"/>
            <w:vAlign w:val="bottom"/>
            <w:tcBorders>
              <w:bottom w:val="single" w:sz="8" w:color="00000A"/>
              <w:right w:val="single" w:sz="8" w:color="00000A"/>
            </w:tcBorders>
          </w:tcPr>
          <w:p>
            <w:pPr>
              <w:spacing w:after="0"/>
              <w:rPr>
                <w:sz w:val="2"/>
                <w:szCs w:val="2"/>
                <w:color w:val="auto"/>
              </w:rPr>
            </w:pPr>
          </w:p>
        </w:tc>
        <w:tc>
          <w:tcPr>
            <w:tcW w:w="1700" w:type="dxa"/>
            <w:vAlign w:val="bottom"/>
            <w:tcBorders>
              <w:bottom w:val="single" w:sz="8" w:color="00000A"/>
              <w:right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restricted stock units described above were issued under the Company’s 2016 Equity Incentive Plan, pursuant to Restricted Stock Unit Award Agreements in the form filed herewith as Exhibit 4.1 to this report, which is incorporated herein by reference.</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87" w:lineRule="exact"/>
        <w:rPr>
          <w:sz w:val="20"/>
          <w:szCs w:val="20"/>
          <w:color w:val="auto"/>
        </w:rPr>
      </w:pPr>
    </w:p>
    <w:p>
      <w:pPr>
        <w:ind w:left="460" w:hanging="425"/>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68605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60540" cy="17145"/>
                    </a:xfrm>
                    <a:prstGeom prst="rect">
                      <a:avLst/>
                    </a:prstGeom>
                    <a:noFill/>
                  </pic:spPr>
                </pic:pic>
              </a:graphicData>
            </a:graphic>
          </wp:anchor>
        </w:drawing>
      </w:r>
    </w:p>
    <w:p>
      <w:pPr>
        <w:spacing w:after="0" w:line="101" w:lineRule="exact"/>
        <w:rPr>
          <w:sz w:val="20"/>
          <w:szCs w:val="20"/>
          <w:color w:val="auto"/>
        </w:rPr>
      </w:pPr>
    </w:p>
    <w:p>
      <w:pPr>
        <w:ind w:left="60"/>
        <w:spacing w:after="0"/>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w:anchor="page5">
        <w:r>
          <w:rPr>
            <w:rFonts w:ascii="Times New Roman" w:cs="Times New Roman" w:eastAsia="Times New Roman" w:hAnsi="Times New Roman"/>
            <w:sz w:val="17"/>
            <w:szCs w:val="17"/>
            <w:u w:val="single" w:color="auto"/>
            <w:color w:val="0000FF"/>
          </w:rPr>
          <w:t>Luna Innovations Incorporated 2016 Equity Incentive Plan Form of Restricted Stock Unit Award Agreement</w:t>
        </w:r>
      </w:hyperlink>
    </w:p>
    <w:p>
      <w:pPr>
        <w:sectPr>
          <w:pgSz w:w="11900" w:h="16838" w:orient="portrait"/>
          <w:cols w:equalWidth="0" w:num="1">
            <w:col w:w="11240"/>
          </w:cols>
          <w:pgMar w:left="240" w:top="873" w:right="41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Luna Innovations Incorporated</w:t>
      </w:r>
    </w:p>
    <w:p>
      <w:pPr>
        <w:spacing w:after="0" w:line="200" w:lineRule="exact"/>
        <w:rPr>
          <w:sz w:val="20"/>
          <w:szCs w:val="20"/>
          <w:color w:val="auto"/>
        </w:rPr>
      </w:pPr>
    </w:p>
    <w:p>
      <w:pPr>
        <w:spacing w:after="0" w:line="218" w:lineRule="exact"/>
        <w:rPr>
          <w:sz w:val="20"/>
          <w:szCs w:val="20"/>
          <w:color w:val="auto"/>
        </w:rPr>
      </w:pPr>
    </w:p>
    <w:p>
      <w:pPr>
        <w:ind w:left="260"/>
        <w:spacing w:after="0"/>
        <w:tabs>
          <w:tab w:leader="none" w:pos="1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A. Graeff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51435</wp:posOffset>
            </wp:positionV>
            <wp:extent cx="36106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1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Scott A. Graeff</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16, 2019</w:t>
      </w:r>
    </w:p>
    <w:p>
      <w:pPr>
        <w:sectPr>
          <w:pgSz w:w="11900" w:h="16838" w:orient="portrait"/>
          <w:cols w:equalWidth="0" w:num="1">
            <w:col w:w="11220"/>
          </w:cols>
          <w:pgMar w:left="240" w:top="900"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Exhibit 4.1</w:t>
      </w:r>
    </w:p>
    <w:p>
      <w:pPr>
        <w:spacing w:after="0" w:line="2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LUNA INNOVATIONS INCORPORATED</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(2016 EQUITY INCENTIVE PLAN)</w:t>
      </w:r>
    </w:p>
    <w:p>
      <w:pPr>
        <w:spacing w:after="0" w:line="200" w:lineRule="exact"/>
        <w:rPr>
          <w:sz w:val="20"/>
          <w:szCs w:val="20"/>
          <w:color w:val="auto"/>
        </w:rPr>
      </w:pPr>
    </w:p>
    <w:p>
      <w:pPr>
        <w:spacing w:after="0" w:line="286"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9"/>
          <w:szCs w:val="19"/>
          <w:color w:val="auto"/>
        </w:rPr>
        <w:t>Luna Innovations Incorporated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pursuant to Section 6(b) of the Company’s 2016 Equity Incentive Plan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hereby awards to Participant Restricted Stock Units for the number of shares of the Company’s Common Stock (“</w:t>
      </w:r>
      <w:r>
        <w:rPr>
          <w:rFonts w:ascii="Times New Roman" w:cs="Times New Roman" w:eastAsia="Times New Roman" w:hAnsi="Times New Roman"/>
          <w:sz w:val="19"/>
          <w:szCs w:val="19"/>
          <w:b w:val="1"/>
          <w:bCs w:val="1"/>
          <w:i w:val="1"/>
          <w:iCs w:val="1"/>
          <w:color w:val="auto"/>
        </w:rPr>
        <w:t>RSUs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Restricted Stock Units</w:t>
      </w:r>
      <w:r>
        <w:rPr>
          <w:rFonts w:ascii="Times New Roman" w:cs="Times New Roman" w:eastAsia="Times New Roman" w:hAnsi="Times New Roman"/>
          <w:sz w:val="19"/>
          <w:szCs w:val="19"/>
          <w:color w:val="auto"/>
        </w:rPr>
        <w:t>”) set forth below (sometimes referred to as the “</w:t>
      </w:r>
      <w:r>
        <w:rPr>
          <w:rFonts w:ascii="Times New Roman" w:cs="Times New Roman" w:eastAsia="Times New Roman" w:hAnsi="Times New Roman"/>
          <w:sz w:val="19"/>
          <w:szCs w:val="19"/>
          <w:b w:val="1"/>
          <w:bCs w:val="1"/>
          <w:i w:val="1"/>
          <w:iCs w:val="1"/>
          <w:color w:val="auto"/>
        </w:rPr>
        <w:t>Award</w:t>
      </w:r>
      <w:r>
        <w:rPr>
          <w:rFonts w:ascii="Times New Roman" w:cs="Times New Roman" w:eastAsia="Times New Roman" w:hAnsi="Times New Roman"/>
          <w:sz w:val="19"/>
          <w:szCs w:val="19"/>
          <w:color w:val="auto"/>
        </w:rPr>
        <w:t>”). The Award is subject to all of the terms and conditions as set forth in this grant notice (this “</w:t>
      </w:r>
      <w:r>
        <w:rPr>
          <w:rFonts w:ascii="Times New Roman" w:cs="Times New Roman" w:eastAsia="Times New Roman" w:hAnsi="Times New Roman"/>
          <w:sz w:val="19"/>
          <w:szCs w:val="19"/>
          <w:b w:val="1"/>
          <w:bCs w:val="1"/>
          <w:i w:val="1"/>
          <w:iCs w:val="1"/>
          <w:color w:val="auto"/>
        </w:rPr>
        <w:t>Restricted Stock Unit Grant Notice</w:t>
      </w:r>
      <w:r>
        <w:rPr>
          <w:rFonts w:ascii="Times New Roman" w:cs="Times New Roman" w:eastAsia="Times New Roman" w:hAnsi="Times New Roman"/>
          <w:sz w:val="19"/>
          <w:szCs w:val="19"/>
          <w:color w:val="auto"/>
        </w:rPr>
        <w:t>”) and in the Plan and the Restricted Stock Unit Agreement (the “</w:t>
      </w:r>
      <w:r>
        <w:rPr>
          <w:rFonts w:ascii="Times New Roman" w:cs="Times New Roman" w:eastAsia="Times New Roman" w:hAnsi="Times New Roman"/>
          <w:sz w:val="19"/>
          <w:szCs w:val="19"/>
          <w:b w:val="1"/>
          <w:bCs w:val="1"/>
          <w:i w:val="1"/>
          <w:iCs w:val="1"/>
          <w:color w:val="auto"/>
        </w:rPr>
        <w:t>Award Agreement</w:t>
      </w:r>
      <w:r>
        <w:rPr>
          <w:rFonts w:ascii="Times New Roman" w:cs="Times New Roman" w:eastAsia="Times New Roman" w:hAnsi="Times New Roman"/>
          <w:sz w:val="19"/>
          <w:szCs w:val="19"/>
          <w:color w:val="auto"/>
        </w:rPr>
        <w:t>”), both of which are attached hereto and incorporated herein in their entirety. Capitalized terms not otherwise defined herein shall have the meanings set forth in the Plan or the Award Agreement. In the event of any conflict between the terms in the Award and the Plan, the terms of the Plan shall control.</w:t>
      </w:r>
    </w:p>
    <w:p>
      <w:pPr>
        <w:spacing w:after="0" w:line="37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31115</wp:posOffset>
            </wp:positionV>
            <wp:extent cx="1989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3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31115</wp:posOffset>
            </wp:positionV>
            <wp:extent cx="19894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3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31115</wp:posOffset>
            </wp:positionV>
            <wp:extent cx="19894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3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Number of Restricted Stock Units/Shares: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31115</wp:posOffset>
            </wp:positionV>
            <wp:extent cx="19894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460" w:right="120" w:hanging="2376"/>
        <w:spacing w:after="0" w:line="269" w:lineRule="auto"/>
        <w:tabs>
          <w:tab w:leader="none" w:pos="2440" w:val="left"/>
        </w:tabs>
        <w:rPr>
          <w:sz w:val="20"/>
          <w:szCs w:val="20"/>
          <w:color w:val="auto"/>
        </w:rPr>
      </w:pPr>
      <w:r>
        <w:rPr>
          <w:rFonts w:ascii="Times New Roman" w:cs="Times New Roman" w:eastAsia="Times New Roman" w:hAnsi="Times New Roman"/>
          <w:sz w:val="20"/>
          <w:szCs w:val="20"/>
          <w:b w:val="1"/>
          <w:bCs w:val="1"/>
          <w:color w:val="auto"/>
        </w:rPr>
        <w:t>Vesting Schedule:</w:t>
      </w:r>
      <w:r>
        <w:rPr>
          <w:sz w:val="20"/>
          <w:szCs w:val="20"/>
          <w:color w:val="auto"/>
        </w:rPr>
        <w:tab/>
      </w:r>
      <w:r>
        <w:rPr>
          <w:rFonts w:ascii="Times New Roman" w:cs="Times New Roman" w:eastAsia="Times New Roman" w:hAnsi="Times New Roman"/>
          <w:sz w:val="20"/>
          <w:szCs w:val="20"/>
          <w:color w:val="auto"/>
        </w:rPr>
        <w:t>Subject to the Participant’s Continuous Service through each applicable vesting date, the RSUs shall vest as follows: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900" w:right="120" w:hanging="1809"/>
        <w:spacing w:after="0" w:line="269" w:lineRule="auto"/>
        <w:tabs>
          <w:tab w:leader="none" w:pos="1880" w:val="left"/>
        </w:tabs>
        <w:rPr>
          <w:sz w:val="20"/>
          <w:szCs w:val="20"/>
          <w:color w:val="auto"/>
        </w:rPr>
      </w:pPr>
      <w:r>
        <w:rPr>
          <w:rFonts w:ascii="Times New Roman" w:cs="Times New Roman" w:eastAsia="Times New Roman" w:hAnsi="Times New Roman"/>
          <w:sz w:val="20"/>
          <w:szCs w:val="20"/>
          <w:b w:val="1"/>
          <w:bCs w:val="1"/>
          <w:color w:val="auto"/>
        </w:rPr>
        <w:t>Issuance Schedule:</w:t>
      </w:r>
      <w:r>
        <w:rPr>
          <w:sz w:val="20"/>
          <w:szCs w:val="20"/>
          <w:color w:val="auto"/>
        </w:rPr>
        <w:tab/>
      </w:r>
      <w:r>
        <w:rPr>
          <w:rFonts w:ascii="Times New Roman" w:cs="Times New Roman" w:eastAsia="Times New Roman" w:hAnsi="Times New Roman"/>
          <w:sz w:val="20"/>
          <w:szCs w:val="20"/>
          <w:color w:val="auto"/>
        </w:rPr>
        <w:t>Subject to any change on a Capitalization Adjustment, one share of Common Stock will be issued for each Restricted Stock Unit that vests at the time set forth in Section 6 of the Award Agreement.</w:t>
      </w:r>
    </w:p>
    <w:p>
      <w:pPr>
        <w:spacing w:after="0" w:line="200" w:lineRule="exact"/>
        <w:rPr>
          <w:sz w:val="20"/>
          <w:szCs w:val="20"/>
          <w:color w:val="auto"/>
        </w:rPr>
      </w:pPr>
    </w:p>
    <w:p>
      <w:pPr>
        <w:spacing w:after="0" w:line="297"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9"/>
          <w:szCs w:val="19"/>
          <w:b w:val="1"/>
          <w:bCs w:val="1"/>
          <w:color w:val="auto"/>
        </w:rPr>
        <w:t xml:space="preserve">Additional Terms/Acknowledgements: </w:t>
      </w:r>
      <w:r>
        <w:rPr>
          <w:rFonts w:ascii="Times New Roman" w:cs="Times New Roman" w:eastAsia="Times New Roman" w:hAnsi="Times New Roman"/>
          <w:sz w:val="19"/>
          <w:szCs w:val="19"/>
          <w:color w:val="auto"/>
        </w:rPr>
        <w:t>By accepting this Award, Participant acknowledges (i) having received and read this Restricted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Unit Grant Notice, the Award Agreement and the Plan and understands and agrees to all of the terms and conditions set forth in these documents, (ii) that the Award is subject to all the provisions of the Plan, the provisions of which are part of the Award, and is further subject to all interpretations, amendments, rules and regulations which may from time to time be promulgated and adopted pursuant to the Plan, (iii) that this Restricted Stock Unit Grant Notice and the Award Agreement may not be modified, amended or revised except as provided in the Plan and</w:t>
      </w:r>
    </w:p>
    <w:p>
      <w:pPr>
        <w:spacing w:after="0" w:line="2" w:lineRule="exact"/>
        <w:rPr>
          <w:sz w:val="20"/>
          <w:szCs w:val="20"/>
          <w:color w:val="auto"/>
        </w:rPr>
      </w:pPr>
    </w:p>
    <w:p>
      <w:pPr>
        <w:jc w:val="both"/>
        <w:ind w:firstLine="8"/>
        <w:spacing w:after="0" w:line="300" w:lineRule="auto"/>
        <w:tabs>
          <w:tab w:leader="none" w:pos="34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as of the Date of Grant, this Restricted Stock Unit Grant Notice, the Award Agreement and the Plan set forth the entire understanding between Participant and the Company regarding the acquisition of the Common Stock pursuant to the Award specified above and supersede all prior oral and written agreements, promises and/or representations regarding the terms of this Award with the exception, if applicable, of (A) any compensation recovery policy that is adopted by the Company or compensation recoupment requirement otherwise required by applicable law, (B) the Company’s stock ownership guidelines, and (C) any written employment, offer letter or severance agreement, or any written severance plan or policy that would provide for vesting acceleration of this Award upon the terms and conditions set forth therein, including but not limited to upon a Change in Control or upon an involuntary termination of Participant’s employment by the Company in connection with a Change in Control, if applicable.</w:t>
      </w:r>
    </w:p>
    <w:p>
      <w:pPr>
        <w:spacing w:after="0" w:line="200" w:lineRule="exact"/>
        <w:rPr>
          <w:sz w:val="20"/>
          <w:szCs w:val="20"/>
          <w:color w:val="auto"/>
        </w:rPr>
      </w:pPr>
    </w:p>
    <w:p>
      <w:pPr>
        <w:spacing w:after="0" w:line="20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By accepting this award, Participant also (i) further acknowledges his or her obligation to satisfy any tax withholding obligations imposed on the Company with respect to the Award or vesting of RSUs, or the delivery of the underlying Common Stock, as a condition to the receipt of any shares of Common Stock hereunder, including by requiring a cash payment to the Company by Participant and (ii) consents to receive this Restricted Stock Unit Grant Notice, the Award Agreement, the Plan, the prospectus for the Plan and any other Plan-related documents by electronic delivery and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20"/>
          <w:szCs w:val="20"/>
          <w:b w:val="1"/>
          <w:bCs w:val="1"/>
          <w:color w:val="auto"/>
        </w:rPr>
        <w:t>LUNA INNOVATIONS INCORPORATED</w:t>
      </w:r>
      <w:r>
        <w:rPr>
          <w:sz w:val="20"/>
          <w:szCs w:val="20"/>
          <w:color w:val="auto"/>
        </w:rPr>
        <w:tab/>
      </w:r>
      <w:r>
        <w:rPr>
          <w:rFonts w:ascii="Times New Roman" w:cs="Times New Roman" w:eastAsia="Times New Roman" w:hAnsi="Times New Roman"/>
          <w:sz w:val="19"/>
          <w:szCs w:val="19"/>
          <w:b w:val="1"/>
          <w:bCs w:val="1"/>
          <w:color w:val="auto"/>
        </w:rPr>
        <w:t>PARTICIPANT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5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-10795</wp:posOffset>
            </wp:positionV>
            <wp:extent cx="1257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 w:lineRule="exact"/>
        <w:rPr>
          <w:sz w:val="20"/>
          <w:szCs w:val="20"/>
          <w:color w:val="auto"/>
        </w:rPr>
      </w:pPr>
    </w:p>
    <w:p>
      <w:pPr>
        <w:ind w:left="1460"/>
        <w:spacing w:after="0"/>
        <w:tabs>
          <w:tab w:leader="none" w:pos="2400" w:val="left"/>
        </w:tabs>
        <w:rPr>
          <w:sz w:val="20"/>
          <w:szCs w:val="20"/>
          <w:color w:val="auto"/>
        </w:rPr>
      </w:pPr>
      <w:r>
        <w:rPr>
          <w:rFonts w:ascii="Times New Roman" w:cs="Times New Roman" w:eastAsia="Times New Roman" w:hAnsi="Times New Roman"/>
          <w:sz w:val="20"/>
          <w:szCs w:val="20"/>
          <w:color w:val="auto"/>
        </w:rPr>
        <w:t>Signature</w:t>
        <w:tab/>
        <w:t>[Name]</w:t>
      </w:r>
    </w:p>
    <w:p>
      <w:pPr>
        <w:spacing w:after="0" w:line="19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-10795</wp:posOffset>
            </wp:positionV>
            <wp:extent cx="125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859155</wp:posOffset>
            </wp:positionH>
            <wp:positionV relativeFrom="paragraph">
              <wp:posOffset>-10795</wp:posOffset>
            </wp:positionV>
            <wp:extent cx="125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-10795</wp:posOffset>
            </wp:positionV>
            <wp:extent cx="125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
        <w:spacing w:after="0"/>
        <w:tabs>
          <w:tab w:leader="none" w:pos="2260" w:val="left"/>
        </w:tabs>
        <w:rPr>
          <w:sz w:val="20"/>
          <w:szCs w:val="20"/>
          <w:color w:val="auto"/>
        </w:rPr>
      </w:pPr>
      <w:r>
        <w:rPr>
          <w:rFonts w:ascii="Times New Roman" w:cs="Times New Roman" w:eastAsia="Times New Roman" w:hAnsi="Times New Roman"/>
          <w:sz w:val="20"/>
          <w:szCs w:val="20"/>
          <w:b w:val="1"/>
          <w:bCs w:val="1"/>
          <w:color w:val="auto"/>
        </w:rPr>
        <w:t>ATTACHMENTS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Restricted Stock Unit Agreement and 2016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LUNA INNOVATIONS INCORPORATED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(2016 EQUITY INCENTIVE PLAN)</w:t>
      </w:r>
    </w:p>
    <w:p>
      <w:pPr>
        <w:spacing w:after="0" w:line="366"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22"/>
          <w:szCs w:val="22"/>
          <w:color w:val="auto"/>
        </w:rPr>
        <w:t>Pursuant to the Restricted Stock Unit Grant Notice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and this Restricted Stock Unit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Luna Innovations Incorporated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awarded you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Restricted Stock Units (“Restricted Stock Units” or “RSUs,” sometimes referred to generally as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pursuant to Section 6(b) of the Company’s 2016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for the number of Restricted Stock Units indicated in the Grant Notice. Capitalized terms not explicitly defined in this Agreement or the Grant Notice shall have the same meanings given to them in the Plan. The terms of your RSUs, in addition to those set forth in the Grant Notice, are as follows.</w:t>
      </w:r>
    </w:p>
    <w:p>
      <w:pPr>
        <w:spacing w:after="0" w:line="178" w:lineRule="exact"/>
        <w:rPr>
          <w:sz w:val="20"/>
          <w:szCs w:val="20"/>
          <w:color w:val="auto"/>
        </w:rPr>
      </w:pPr>
    </w:p>
    <w:p>
      <w:pPr>
        <w:jc w:val="both"/>
        <w:ind w:firstLine="8"/>
        <w:spacing w:after="0" w:line="309" w:lineRule="auto"/>
        <w:tabs>
          <w:tab w:leader="none" w:pos="45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 xml:space="preserve">GRANT OF THE AWARD. </w:t>
      </w:r>
      <w:r>
        <w:rPr>
          <w:rFonts w:ascii="Times New Roman" w:cs="Times New Roman" w:eastAsia="Times New Roman" w:hAnsi="Times New Roman"/>
          <w:sz w:val="22"/>
          <w:szCs w:val="22"/>
          <w:color w:val="auto"/>
        </w:rPr>
        <w:t>This Award represents the right to be issued on a future date one (1) share of Common Stock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Restricted Stock Unit that vests on the applicable vesting date(s) (subject to any adjustment under Section 3 below) as indicated in the Grant Notice. This Award was granted in consideration of your past or expected future services to the Company or its Affiliates.</w:t>
      </w:r>
    </w:p>
    <w:p>
      <w:pPr>
        <w:spacing w:after="0" w:line="169" w:lineRule="exact"/>
        <w:rPr>
          <w:rFonts w:ascii="Times New Roman" w:cs="Times New Roman" w:eastAsia="Times New Roman" w:hAnsi="Times New Roman"/>
          <w:sz w:val="18"/>
          <w:szCs w:val="18"/>
          <w:b w:val="1"/>
          <w:bCs w:val="1"/>
          <w:color w:val="auto"/>
        </w:rPr>
      </w:pPr>
    </w:p>
    <w:p>
      <w:pPr>
        <w:jc w:val="both"/>
        <w:ind w:firstLine="8"/>
        <w:spacing w:after="0" w:line="305" w:lineRule="auto"/>
        <w:tabs>
          <w:tab w:leader="none" w:pos="45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Subject to the limitations contained herein, your RSUs will vest, if at all, in accordance with the vesting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in the Grant Notice, provided that vesting will cease upon the termination of your Continuous Service. Upon such termination of your Continuous Service, the Restricted Stock Units that were not vested on the date of such termination will be forfeited at no cost to the Company and you will have no further right, title or interest in or to the underlying shares of Common Stock subject to the forfeited RSUs.</w:t>
      </w:r>
    </w:p>
    <w:p>
      <w:pPr>
        <w:spacing w:after="0" w:line="175" w:lineRule="exact"/>
        <w:rPr>
          <w:rFonts w:ascii="Times New Roman" w:cs="Times New Roman" w:eastAsia="Times New Roman" w:hAnsi="Times New Roman"/>
          <w:sz w:val="18"/>
          <w:szCs w:val="18"/>
          <w:b w:val="1"/>
          <w:bCs w:val="1"/>
          <w:color w:val="auto"/>
        </w:rPr>
      </w:pPr>
    </w:p>
    <w:p>
      <w:pPr>
        <w:jc w:val="both"/>
        <w:ind w:firstLine="8"/>
        <w:spacing w:after="0" w:line="302" w:lineRule="auto"/>
        <w:tabs>
          <w:tab w:leader="none" w:pos="45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 xml:space="preserve">NUMBER OF SHARES. </w:t>
      </w:r>
      <w:r>
        <w:rPr>
          <w:rFonts w:ascii="Times New Roman" w:cs="Times New Roman" w:eastAsia="Times New Roman" w:hAnsi="Times New Roman"/>
          <w:sz w:val="22"/>
          <w:szCs w:val="22"/>
          <w:color w:val="auto"/>
        </w:rPr>
        <w:t>The number of Restricted Stock Units/shares subject to your Award may be adjusted from time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for Capitalization Adjustments, as provided in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shall be created pursuant to this Section 3. Any fraction of a share will be rounded down to the nearest whole share.</w:t>
      </w:r>
    </w:p>
    <w:p>
      <w:pPr>
        <w:spacing w:after="0" w:line="175" w:lineRule="exact"/>
        <w:rPr>
          <w:rFonts w:ascii="Times New Roman" w:cs="Times New Roman" w:eastAsia="Times New Roman" w:hAnsi="Times New Roman"/>
          <w:sz w:val="18"/>
          <w:szCs w:val="18"/>
          <w:b w:val="1"/>
          <w:bCs w:val="1"/>
          <w:color w:val="auto"/>
        </w:rPr>
      </w:pPr>
    </w:p>
    <w:p>
      <w:pPr>
        <w:jc w:val="both"/>
        <w:ind w:firstLine="8"/>
        <w:spacing w:after="0" w:line="305" w:lineRule="auto"/>
        <w:tabs>
          <w:tab w:leader="none" w:pos="45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SECURITIES LAW COMPLIANCE</w:t>
      </w:r>
      <w:r>
        <w:rPr>
          <w:rFonts w:ascii="Times New Roman" w:cs="Times New Roman" w:eastAsia="Times New Roman" w:hAnsi="Times New Roman"/>
          <w:sz w:val="22"/>
          <w:szCs w:val="22"/>
          <w:color w:val="auto"/>
        </w:rPr>
        <w:t>. You may not be issued any Common Stock under your Award unless the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Stock if the Company determines that such receipt would not be in material compliance with such laws and regulations.</w:t>
      </w:r>
    </w:p>
    <w:p>
      <w:pPr>
        <w:spacing w:after="0" w:line="175" w:lineRule="exact"/>
        <w:rPr>
          <w:rFonts w:ascii="Times New Roman" w:cs="Times New Roman" w:eastAsia="Times New Roman" w:hAnsi="Times New Roman"/>
          <w:sz w:val="18"/>
          <w:szCs w:val="18"/>
          <w:b w:val="1"/>
          <w:bCs w:val="1"/>
          <w:color w:val="auto"/>
        </w:rPr>
      </w:pPr>
    </w:p>
    <w:p>
      <w:pPr>
        <w:jc w:val="both"/>
        <w:ind w:firstLine="8"/>
        <w:spacing w:after="0" w:line="305" w:lineRule="auto"/>
        <w:tabs>
          <w:tab w:leader="none" w:pos="45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TRANSFER RESTRICTIONS</w:t>
      </w:r>
      <w:r>
        <w:rPr>
          <w:rFonts w:ascii="Times New Roman" w:cs="Times New Roman" w:eastAsia="Times New Roman" w:hAnsi="Times New Roman"/>
          <w:sz w:val="22"/>
          <w:szCs w:val="22"/>
          <w:color w:val="auto"/>
        </w:rPr>
        <w:t>. Prior to the time that shares of Common Stock have been delivered to you, you may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pledge, sell or otherwise dispose of the RSUs or the shares issuable in respect of your RSUs, except as expressly provided in this Section 5. The restrictions on transfer set forth herein will lapse upon delivery to you of shares in respect of your vested Restricted Stock Units, provided that all transactions in the Company’s securities, including the shares issuable in respect of your RSUs, are subject to the Company’s Insider Trading Policy.</w:t>
      </w:r>
    </w:p>
    <w:p>
      <w:pPr>
        <w:spacing w:after="0" w:line="175" w:lineRule="exact"/>
        <w:rPr>
          <w:rFonts w:ascii="Times New Roman" w:cs="Times New Roman" w:eastAsia="Times New Roman" w:hAnsi="Times New Roman"/>
          <w:sz w:val="18"/>
          <w:szCs w:val="18"/>
          <w:b w:val="1"/>
          <w:bCs w:val="1"/>
          <w:color w:val="auto"/>
        </w:rPr>
      </w:pPr>
    </w:p>
    <w:p>
      <w:pPr>
        <w:jc w:val="both"/>
        <w:ind w:left="660" w:hanging="4"/>
        <w:spacing w:after="0" w:line="317" w:lineRule="auto"/>
        <w:tabs>
          <w:tab w:leader="none" w:pos="1046" w:val="left"/>
        </w:tabs>
        <w:numPr>
          <w:ilvl w:val="1"/>
          <w:numId w:val="5"/>
        </w:numPr>
        <w:rPr>
          <w:rFonts w:ascii="Arial" w:cs="Arial" w:eastAsia="Arial" w:hAnsi="Arial"/>
          <w:sz w:val="20"/>
          <w:szCs w:val="20"/>
          <w:b w:val="1"/>
          <w:bCs w:val="1"/>
          <w:color w:val="auto"/>
        </w:rPr>
      </w:pPr>
      <w:r>
        <w:rPr>
          <w:rFonts w:ascii="Times New Roman" w:cs="Times New Roman" w:eastAsia="Times New Roman" w:hAnsi="Times New Roman"/>
          <w:sz w:val="22"/>
          <w:szCs w:val="22"/>
          <w:b w:val="1"/>
          <w:bCs w:val="1"/>
          <w:color w:val="auto"/>
        </w:rPr>
        <w:t>Death</w:t>
      </w:r>
      <w:r>
        <w:rPr>
          <w:rFonts w:ascii="Times New Roman" w:cs="Times New Roman" w:eastAsia="Times New Roman" w:hAnsi="Times New Roman"/>
          <w:sz w:val="22"/>
          <w:szCs w:val="22"/>
          <w:color w:val="auto"/>
        </w:rPr>
        <w:t>. Your Award is transferable by will and by the laws of descent and distribution. At your death, vesting of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RSUs will cease and your executor or administrator of your estate shall be entitled to receive, on behalf of your estate, any Common Stock or other consideration that vested but was not issued before your death.</w:t>
      </w:r>
    </w:p>
    <w:p>
      <w:pPr>
        <w:sectPr>
          <w:pgSz w:w="11900" w:h="16838" w:orient="portrait"/>
          <w:cols w:equalWidth="0" w:num="1">
            <w:col w:w="11420"/>
          </w:cols>
          <w:pgMar w:left="240" w:top="265" w:right="239" w:bottom="145" w:gutter="0" w:footer="0" w:header="0"/>
        </w:sectPr>
      </w:pPr>
    </w:p>
    <w:bookmarkStart w:id="6" w:name="page7"/>
    <w:bookmarkEnd w:id="6"/>
    <w:p>
      <w:pPr>
        <w:spacing w:after="0" w:line="4" w:lineRule="exact"/>
        <w:rPr>
          <w:sz w:val="20"/>
          <w:szCs w:val="20"/>
          <w:color w:val="auto"/>
        </w:rPr>
      </w:pPr>
    </w:p>
    <w:p>
      <w:pPr>
        <w:jc w:val="both"/>
        <w:ind w:left="660" w:hanging="4"/>
        <w:spacing w:after="0" w:line="318" w:lineRule="auto"/>
        <w:tabs>
          <w:tab w:leader="none" w:pos="1083" w:val="left"/>
        </w:tabs>
        <w:numPr>
          <w:ilvl w:val="1"/>
          <w:numId w:val="6"/>
        </w:numPr>
        <w:rPr>
          <w:rFonts w:ascii="Arial" w:cs="Arial" w:eastAsia="Arial" w:hAnsi="Arial"/>
          <w:sz w:val="19"/>
          <w:szCs w:val="19"/>
          <w:b w:val="1"/>
          <w:bCs w:val="1"/>
          <w:color w:val="auto"/>
        </w:rPr>
      </w:pPr>
      <w:r>
        <w:rPr>
          <w:rFonts w:ascii="Times New Roman" w:cs="Times New Roman" w:eastAsia="Times New Roman" w:hAnsi="Times New Roman"/>
          <w:sz w:val="21"/>
          <w:szCs w:val="21"/>
          <w:b w:val="1"/>
          <w:bCs w:val="1"/>
          <w:color w:val="auto"/>
        </w:rPr>
        <w:t xml:space="preserve">Domestic Relations </w:t>
      </w:r>
      <w:r>
        <w:rPr>
          <w:rFonts w:ascii="Times New Roman" w:cs="Times New Roman" w:eastAsia="Times New Roman" w:hAnsi="Times New Roman"/>
          <w:sz w:val="21"/>
          <w:szCs w:val="21"/>
          <w:color w:val="auto"/>
        </w:rPr>
        <w:t>Orders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receiving written permission from the Board or its duly authorized designee,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that you and the designated transferee enter into transfer and other agreements required by the Company, you may transfer your RSUs or the shares of Common Stock issued upon vesting of your RSUs pursuant to a domestic relations order or marital settlement agreement that contains the information required by the Company to effectuate the transfer. You are encouraged to discuss the proposed terms of any division of this Award with the Company’s legal department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164" w:lineRule="exact"/>
        <w:rPr>
          <w:rFonts w:ascii="Arial" w:cs="Arial" w:eastAsia="Arial" w:hAnsi="Arial"/>
          <w:sz w:val="19"/>
          <w:szCs w:val="19"/>
          <w:b w:val="1"/>
          <w:bCs w:val="1"/>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DATE OF ISSUANCE.</w:t>
      </w:r>
    </w:p>
    <w:p>
      <w:pPr>
        <w:spacing w:after="0" w:line="291" w:lineRule="exact"/>
        <w:rPr>
          <w:rFonts w:ascii="Times New Roman" w:cs="Times New Roman" w:eastAsia="Times New Roman" w:hAnsi="Times New Roman"/>
          <w:sz w:val="18"/>
          <w:szCs w:val="18"/>
          <w:b w:val="1"/>
          <w:bCs w:val="1"/>
          <w:color w:val="auto"/>
        </w:rPr>
      </w:pPr>
    </w:p>
    <w:p>
      <w:pPr>
        <w:jc w:val="both"/>
        <w:ind w:left="660" w:hanging="4"/>
        <w:spacing w:after="0" w:line="302" w:lineRule="auto"/>
        <w:tabs>
          <w:tab w:leader="none" w:pos="1005" w:val="left"/>
        </w:tabs>
        <w:numPr>
          <w:ilvl w:val="1"/>
          <w:numId w:val="7"/>
        </w:numPr>
        <w:rPr>
          <w:rFonts w:ascii="Arial" w:cs="Arial" w:eastAsia="Arial" w:hAnsi="Arial"/>
          <w:sz w:val="20"/>
          <w:szCs w:val="20"/>
          <w:b w:val="1"/>
          <w:bCs w:val="1"/>
          <w:color w:val="auto"/>
        </w:rPr>
      </w:pPr>
      <w:r>
        <w:rPr>
          <w:rFonts w:ascii="Times New Roman" w:cs="Times New Roman" w:eastAsia="Times New Roman" w:hAnsi="Times New Roman"/>
          <w:sz w:val="22"/>
          <w:szCs w:val="22"/>
          <w:color w:val="auto"/>
        </w:rPr>
        <w:t>The issuance of shares in respect of the Restricted Stock Units is intended to comply with Treasury Regulations Section 1.409A-1(b)(4) and will be construed and administered in such a manner. Subject to the satisfaction of the withholding obligations set forth in this Agreement, in the event one or more Restricted Stock Units vests, the Company shall issue to you one (1) share of Common Stock for each Restricted Stock Unit that vests on the applicable vesting date(s) (subject to any adjustment under Section 3 above). The issuance date determined by this paragraph is referred to as the “</w:t>
      </w:r>
      <w:r>
        <w:rPr>
          <w:rFonts w:ascii="Times New Roman" w:cs="Times New Roman" w:eastAsia="Times New Roman" w:hAnsi="Times New Roman"/>
          <w:sz w:val="22"/>
          <w:szCs w:val="22"/>
          <w:b w:val="1"/>
          <w:bCs w:val="1"/>
          <w:i w:val="1"/>
          <w:iCs w:val="1"/>
          <w:color w:val="auto"/>
        </w:rPr>
        <w:t>Original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Issuance Date.</w:t>
      </w:r>
      <w:r>
        <w:rPr>
          <w:rFonts w:ascii="Times New Roman" w:cs="Times New Roman" w:eastAsia="Times New Roman" w:hAnsi="Times New Roman"/>
          <w:sz w:val="22"/>
          <w:szCs w:val="22"/>
          <w:color w:val="auto"/>
        </w:rPr>
        <w:t>”</w:t>
      </w:r>
    </w:p>
    <w:p>
      <w:pPr>
        <w:spacing w:after="0" w:line="183" w:lineRule="exact"/>
        <w:rPr>
          <w:rFonts w:ascii="Arial" w:cs="Arial" w:eastAsia="Arial" w:hAnsi="Arial"/>
          <w:sz w:val="20"/>
          <w:szCs w:val="20"/>
          <w:b w:val="1"/>
          <w:bCs w:val="1"/>
          <w:color w:val="auto"/>
        </w:rPr>
      </w:pPr>
    </w:p>
    <w:p>
      <w:pPr>
        <w:ind w:left="660" w:hanging="4"/>
        <w:spacing w:after="0" w:line="335" w:lineRule="auto"/>
        <w:tabs>
          <w:tab w:leader="none" w:pos="1016" w:val="left"/>
        </w:tabs>
        <w:numPr>
          <w:ilvl w:val="1"/>
          <w:numId w:val="7"/>
        </w:numPr>
        <w:rPr>
          <w:rFonts w:ascii="Arial" w:cs="Arial" w:eastAsia="Arial" w:hAnsi="Arial"/>
          <w:sz w:val="20"/>
          <w:szCs w:val="20"/>
          <w:b w:val="1"/>
          <w:bCs w:val="1"/>
          <w:color w:val="auto"/>
        </w:rPr>
      </w:pPr>
      <w:r>
        <w:rPr>
          <w:rFonts w:ascii="Times New Roman" w:cs="Times New Roman" w:eastAsia="Times New Roman" w:hAnsi="Times New Roman"/>
          <w:sz w:val="22"/>
          <w:szCs w:val="22"/>
          <w:color w:val="auto"/>
        </w:rPr>
        <w:t>If the Original Issuance Date falls on a date that is not a business day, delivery shall instead occur on the next following business day. In addition, if:</w:t>
      </w:r>
    </w:p>
    <w:p>
      <w:pPr>
        <w:spacing w:after="0" w:line="144" w:lineRule="exact"/>
        <w:rPr>
          <w:rFonts w:ascii="Arial" w:cs="Arial" w:eastAsia="Arial" w:hAnsi="Arial"/>
          <w:sz w:val="20"/>
          <w:szCs w:val="20"/>
          <w:b w:val="1"/>
          <w:bCs w:val="1"/>
          <w:color w:val="auto"/>
        </w:rPr>
      </w:pPr>
    </w:p>
    <w:p>
      <w:pPr>
        <w:jc w:val="both"/>
        <w:ind w:left="1960" w:hanging="655"/>
        <w:spacing w:after="0" w:line="304" w:lineRule="auto"/>
        <w:tabs>
          <w:tab w:leader="none" w:pos="1960" w:val="left"/>
        </w:tabs>
        <w:numPr>
          <w:ilvl w:val="2"/>
          <w:numId w:val="7"/>
        </w:numPr>
        <w:rPr>
          <w:rFonts w:ascii="Arial" w:cs="Arial" w:eastAsia="Arial" w:hAnsi="Arial"/>
          <w:sz w:val="20"/>
          <w:szCs w:val="20"/>
          <w:color w:val="auto"/>
        </w:rPr>
      </w:pPr>
      <w:r>
        <w:rPr>
          <w:rFonts w:ascii="Times New Roman" w:cs="Times New Roman" w:eastAsia="Times New Roman" w:hAnsi="Times New Roman"/>
          <w:sz w:val="22"/>
          <w:szCs w:val="22"/>
          <w:color w:val="auto"/>
        </w:rPr>
        <w:t xml:space="preserve">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w:t>
      </w:r>
      <w:r>
        <w:rPr>
          <w:rFonts w:ascii="Times New Roman" w:cs="Times New Roman" w:eastAsia="Times New Roman" w:hAnsi="Times New Roman"/>
          <w:sz w:val="22"/>
          <w:szCs w:val="22"/>
          <w:i w:val="1"/>
          <w:iCs w:val="1"/>
          <w:color w:val="auto"/>
        </w:rPr>
        <w:t>and</w:t>
      </w:r>
    </w:p>
    <w:p>
      <w:pPr>
        <w:spacing w:after="0" w:line="176" w:lineRule="exact"/>
        <w:rPr>
          <w:rFonts w:ascii="Arial" w:cs="Arial" w:eastAsia="Arial" w:hAnsi="Arial"/>
          <w:sz w:val="20"/>
          <w:szCs w:val="20"/>
          <w:color w:val="auto"/>
        </w:rPr>
      </w:pPr>
    </w:p>
    <w:p>
      <w:pPr>
        <w:ind w:left="1960" w:hanging="655"/>
        <w:spacing w:after="0"/>
        <w:tabs>
          <w:tab w:leader="none" w:pos="1960" w:val="left"/>
        </w:tabs>
        <w:numPr>
          <w:ilvl w:val="2"/>
          <w:numId w:val="7"/>
        </w:numPr>
        <w:rPr>
          <w:rFonts w:ascii="Arial" w:cs="Arial" w:eastAsia="Arial" w:hAnsi="Arial"/>
          <w:sz w:val="19"/>
          <w:szCs w:val="19"/>
          <w:color w:val="auto"/>
        </w:rPr>
      </w:pPr>
      <w:r>
        <w:rPr>
          <w:rFonts w:ascii="Times New Roman" w:cs="Times New Roman" w:eastAsia="Times New Roman" w:hAnsi="Times New Roman"/>
          <w:sz w:val="21"/>
          <w:szCs w:val="21"/>
          <w:color w:val="auto"/>
        </w:rPr>
        <w:t>either (1) Withholding Taxes do not apply, or (2) the Company decides, prior to the Original Issuance Date,</w:t>
      </w:r>
    </w:p>
    <w:p>
      <w:pPr>
        <w:spacing w:after="0" w:line="69" w:lineRule="exact"/>
        <w:rPr>
          <w:rFonts w:ascii="Arial" w:cs="Arial" w:eastAsia="Arial" w:hAnsi="Arial"/>
          <w:sz w:val="19"/>
          <w:szCs w:val="19"/>
          <w:color w:val="auto"/>
        </w:rPr>
      </w:pPr>
    </w:p>
    <w:p>
      <w:pPr>
        <w:jc w:val="both"/>
        <w:ind w:left="1960"/>
        <w:spacing w:after="0" w:line="308" w:lineRule="auto"/>
        <w:rPr>
          <w:rFonts w:ascii="Arial" w:cs="Arial" w:eastAsia="Arial" w:hAnsi="Arial"/>
          <w:sz w:val="19"/>
          <w:szCs w:val="19"/>
          <w:color w:val="auto"/>
        </w:rPr>
      </w:pPr>
      <w:r>
        <w:rPr>
          <w:rFonts w:ascii="Times New Roman" w:cs="Times New Roman" w:eastAsia="Times New Roman" w:hAnsi="Times New Roman"/>
          <w:sz w:val="22"/>
          <w:szCs w:val="22"/>
          <w:color w:val="auto"/>
        </w:rPr>
        <w:t>(A) not to satisfy the Withholding Taxes by withholding shares of Common Stock from the shares otherwise due, on the Original Issuance Date, to you under this Award, and (B) not to permit you to pay your Withholding Taxes in cash,</w:t>
      </w:r>
    </w:p>
    <w:p>
      <w:pPr>
        <w:spacing w:after="0" w:line="174"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21"/>
          <w:szCs w:val="21"/>
          <w:u w:val="single" w:color="auto"/>
          <w:color w:val="auto"/>
        </w:rPr>
        <w:t>then</w:t>
      </w:r>
      <w:r>
        <w:rPr>
          <w:rFonts w:ascii="Times New Roman" w:cs="Times New Roman" w:eastAsia="Times New Roman" w:hAnsi="Times New Roman"/>
          <w:sz w:val="21"/>
          <w:szCs w:val="21"/>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21"/>
          <w:szCs w:val="21"/>
          <w:u w:val="single" w:color="auto"/>
          <w:color w:val="auto"/>
        </w:rPr>
        <w:t>if and only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if</w:t>
      </w:r>
      <w:r>
        <w:rPr>
          <w:rFonts w:ascii="Times New Roman" w:cs="Times New Roman" w:eastAsia="Times New Roman" w:hAnsi="Times New Roman"/>
          <w:sz w:val="21"/>
          <w:szCs w:val="21"/>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68" w:lineRule="exact"/>
        <w:rPr>
          <w:sz w:val="20"/>
          <w:szCs w:val="20"/>
          <w:color w:val="auto"/>
        </w:rPr>
      </w:pPr>
    </w:p>
    <w:p>
      <w:pPr>
        <w:ind w:left="660" w:hanging="4"/>
        <w:spacing w:after="0" w:line="339" w:lineRule="auto"/>
        <w:tabs>
          <w:tab w:leader="none" w:pos="1086" w:val="left"/>
        </w:tabs>
        <w:numPr>
          <w:ilvl w:val="1"/>
          <w:numId w:val="8"/>
        </w:numPr>
        <w:rPr>
          <w:rFonts w:ascii="Arial" w:cs="Arial" w:eastAsia="Arial" w:hAnsi="Arial"/>
          <w:sz w:val="20"/>
          <w:szCs w:val="20"/>
          <w:b w:val="1"/>
          <w:bCs w:val="1"/>
          <w:color w:val="auto"/>
        </w:rPr>
      </w:pPr>
      <w:r>
        <w:rPr>
          <w:rFonts w:ascii="Times New Roman" w:cs="Times New Roman" w:eastAsia="Times New Roman" w:hAnsi="Times New Roman"/>
          <w:sz w:val="22"/>
          <w:szCs w:val="22"/>
          <w:color w:val="auto"/>
        </w:rPr>
        <w:t>The form of delivery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stock certificate or electronic entry evidencing such shares) shall be determined by the Company.</w:t>
      </w:r>
    </w:p>
    <w:p>
      <w:pPr>
        <w:spacing w:after="0" w:line="136" w:lineRule="exact"/>
        <w:rPr>
          <w:rFonts w:ascii="Arial" w:cs="Arial" w:eastAsia="Arial" w:hAnsi="Arial"/>
          <w:sz w:val="20"/>
          <w:szCs w:val="20"/>
          <w:b w:val="1"/>
          <w:bCs w:val="1"/>
          <w:color w:val="auto"/>
        </w:rPr>
      </w:pPr>
    </w:p>
    <w:p>
      <w:pPr>
        <w:ind w:firstLine="8"/>
        <w:spacing w:after="0" w:line="339" w:lineRule="auto"/>
        <w:tabs>
          <w:tab w:leader="none" w:pos="459"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 xml:space="preserve">DIVIDENDS. </w:t>
      </w:r>
      <w:r>
        <w:rPr>
          <w:rFonts w:ascii="Times New Roman" w:cs="Times New Roman" w:eastAsia="Times New Roman" w:hAnsi="Times New Roman"/>
          <w:sz w:val="22"/>
          <w:szCs w:val="22"/>
          <w:color w:val="auto"/>
        </w:rPr>
        <w:t>You shall receive no benefit or adjustment to your Award with respect to any cash dividend, stock dividend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distribution that does not result from a Capitalization Adjustment.</w:t>
      </w:r>
    </w:p>
    <w:p>
      <w:pPr>
        <w:spacing w:after="0" w:line="136" w:lineRule="exact"/>
        <w:rPr>
          <w:rFonts w:ascii="Times New Roman" w:cs="Times New Roman" w:eastAsia="Times New Roman" w:hAnsi="Times New Roman"/>
          <w:sz w:val="18"/>
          <w:szCs w:val="18"/>
          <w:b w:val="1"/>
          <w:bCs w:val="1"/>
          <w:color w:val="auto"/>
        </w:rPr>
      </w:pPr>
    </w:p>
    <w:p>
      <w:pPr>
        <w:ind w:right="20" w:firstLine="8"/>
        <w:spacing w:after="0" w:line="339" w:lineRule="auto"/>
        <w:tabs>
          <w:tab w:leader="none" w:pos="459"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 xml:space="preserve">RESTRICTIVE LEGENDS. </w:t>
      </w:r>
      <w:r>
        <w:rPr>
          <w:rFonts w:ascii="Times New Roman" w:cs="Times New Roman" w:eastAsia="Times New Roman" w:hAnsi="Times New Roman"/>
          <w:sz w:val="22"/>
          <w:szCs w:val="22"/>
          <w:color w:val="auto"/>
        </w:rPr>
        <w:t>The shares of Common Stock issued under your Award shall be endorsed with appropriate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legends as determined by the Company.</w:t>
      </w:r>
    </w:p>
    <w:p>
      <w:pPr>
        <w:spacing w:after="0" w:line="136" w:lineRule="exact"/>
        <w:rPr>
          <w:rFonts w:ascii="Times New Roman" w:cs="Times New Roman" w:eastAsia="Times New Roman" w:hAnsi="Times New Roman"/>
          <w:sz w:val="18"/>
          <w:szCs w:val="18"/>
          <w:b w:val="1"/>
          <w:bCs w:val="1"/>
          <w:color w:val="auto"/>
        </w:rPr>
      </w:pPr>
    </w:p>
    <w:p>
      <w:pPr>
        <w:jc w:val="both"/>
        <w:ind w:firstLine="8"/>
        <w:spacing w:after="0" w:line="309" w:lineRule="auto"/>
        <w:tabs>
          <w:tab w:leader="none" w:pos="459"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 xml:space="preserve">EXECUTION OF DOCUMENTS. </w:t>
      </w:r>
      <w:r>
        <w:rPr>
          <w:rFonts w:ascii="Times New Roman" w:cs="Times New Roman" w:eastAsia="Times New Roman" w:hAnsi="Times New Roman"/>
          <w:sz w:val="22"/>
          <w:szCs w:val="22"/>
          <w:color w:val="auto"/>
        </w:rPr>
        <w:t>You hereby acknowledge and agree that the manner selected by the Company by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indicate your 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169" w:lineRule="exact"/>
        <w:rPr>
          <w:rFonts w:ascii="Times New Roman" w:cs="Times New Roman" w:eastAsia="Times New Roman" w:hAnsi="Times New Roman"/>
          <w:sz w:val="18"/>
          <w:szCs w:val="18"/>
          <w:b w:val="1"/>
          <w:bCs w:val="1"/>
          <w:color w:val="auto"/>
        </w:rPr>
      </w:pPr>
    </w:p>
    <w:p>
      <w:pPr>
        <w:ind w:left="560" w:hanging="552"/>
        <w:spacing w:after="0"/>
        <w:tabs>
          <w:tab w:leader="none" w:pos="5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AWARD NOT A SERVICE CONTRACT</w:t>
      </w:r>
      <w:r>
        <w:rPr>
          <w:rFonts w:ascii="Times New Roman" w:cs="Times New Roman" w:eastAsia="Times New Roman" w:hAnsi="Times New Roman"/>
          <w:sz w:val="22"/>
          <w:szCs w:val="22"/>
          <w:color w:val="auto"/>
        </w:rPr>
        <w:t>.</w:t>
      </w:r>
    </w:p>
    <w:p>
      <w:pPr>
        <w:spacing w:after="0" w:line="291" w:lineRule="exact"/>
        <w:rPr>
          <w:rFonts w:ascii="Times New Roman" w:cs="Times New Roman" w:eastAsia="Times New Roman" w:hAnsi="Times New Roman"/>
          <w:sz w:val="18"/>
          <w:szCs w:val="18"/>
          <w:b w:val="1"/>
          <w:bCs w:val="1"/>
          <w:color w:val="auto"/>
        </w:rPr>
      </w:pPr>
    </w:p>
    <w:p>
      <w:pPr>
        <w:jc w:val="both"/>
        <w:ind w:left="660" w:hanging="4"/>
        <w:spacing w:after="0" w:line="362" w:lineRule="auto"/>
        <w:tabs>
          <w:tab w:leader="none" w:pos="1019" w:val="left"/>
        </w:tabs>
        <w:numPr>
          <w:ilvl w:val="1"/>
          <w:numId w:val="9"/>
        </w:numPr>
        <w:rPr>
          <w:rFonts w:ascii="Arial" w:cs="Arial" w:eastAsia="Arial" w:hAnsi="Arial"/>
          <w:sz w:val="19"/>
          <w:szCs w:val="19"/>
          <w:b w:val="1"/>
          <w:bCs w:val="1"/>
          <w:color w:val="auto"/>
        </w:rPr>
      </w:pPr>
      <w:r>
        <w:rPr>
          <w:rFonts w:ascii="Times New Roman" w:cs="Times New Roman" w:eastAsia="Times New Roman" w:hAnsi="Times New Roman"/>
          <w:sz w:val="21"/>
          <w:szCs w:val="21"/>
          <w:color w:val="auto"/>
        </w:rPr>
        <w:t>Nothing in this Agreement (including, but not limited to, the vesting of your RSUs or the issuance of the shares subject to your RSUs), the Plan or any covenant of good faith and fair dealing that may be found implicit in this Agreement or the</w:t>
      </w:r>
    </w:p>
    <w:p>
      <w:pPr>
        <w:sectPr>
          <w:pgSz w:w="11900" w:h="16842" w:orient="portrait"/>
          <w:cols w:equalWidth="0" w:num="1">
            <w:col w:w="11420"/>
          </w:cols>
          <w:pgMar w:left="240" w:top="149" w:right="239" w:bottom="0" w:gutter="0" w:footer="0" w:header="0"/>
        </w:sectPr>
      </w:pPr>
    </w:p>
    <w:bookmarkStart w:id="7" w:name="page8"/>
    <w:bookmarkEnd w:id="7"/>
    <w:p>
      <w:pPr>
        <w:jc w:val="both"/>
        <w:ind w:left="652"/>
        <w:spacing w:after="0" w:line="300" w:lineRule="auto"/>
        <w:rPr>
          <w:sz w:val="20"/>
          <w:szCs w:val="20"/>
          <w:color w:val="auto"/>
        </w:rPr>
      </w:pPr>
      <w:r>
        <w:rPr>
          <w:rFonts w:ascii="Times New Roman" w:cs="Times New Roman" w:eastAsia="Times New Roman" w:hAnsi="Times New Roman"/>
          <w:sz w:val="22"/>
          <w:szCs w:val="22"/>
          <w:color w:val="auto"/>
        </w:rPr>
        <w:t>Plan shall: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182" w:lineRule="exact"/>
        <w:rPr>
          <w:sz w:val="20"/>
          <w:szCs w:val="20"/>
          <w:color w:val="auto"/>
        </w:rPr>
      </w:pPr>
    </w:p>
    <w:p>
      <w:pPr>
        <w:jc w:val="both"/>
        <w:ind w:left="652" w:hanging="4"/>
        <w:spacing w:after="0" w:line="300" w:lineRule="auto"/>
        <w:tabs>
          <w:tab w:leader="none" w:pos="1143" w:val="left"/>
        </w:tabs>
        <w:numPr>
          <w:ilvl w:val="1"/>
          <w:numId w:val="10"/>
        </w:numPr>
        <w:rPr>
          <w:rFonts w:ascii="Arial" w:cs="Arial" w:eastAsia="Arial" w:hAnsi="Arial"/>
          <w:sz w:val="20"/>
          <w:szCs w:val="20"/>
          <w:b w:val="1"/>
          <w:bCs w:val="1"/>
          <w:color w:val="auto"/>
        </w:rPr>
      </w:pPr>
      <w:r>
        <w:rPr>
          <w:rFonts w:ascii="Times New Roman" w:cs="Times New Roman" w:eastAsia="Times New Roman" w:hAnsi="Times New Roman"/>
          <w:sz w:val="22"/>
          <w:szCs w:val="22"/>
          <w:color w:val="auto"/>
        </w:rPr>
        <w:t>The Company has the right to reorganize, sell, spin-out or otherwise restructure one or more of its businesses or Affiliates at any time or from time to time, as it deems appropriate (a “</w:t>
      </w:r>
      <w:r>
        <w:rPr>
          <w:rFonts w:ascii="Times New Roman" w:cs="Times New Roman" w:eastAsia="Times New Roman" w:hAnsi="Times New Roman"/>
          <w:sz w:val="22"/>
          <w:szCs w:val="22"/>
          <w:b w:val="1"/>
          <w:bCs w:val="1"/>
          <w:i w:val="1"/>
          <w:iCs w:val="1"/>
          <w:color w:val="auto"/>
        </w:rPr>
        <w:t>reorganization</w:t>
      </w:r>
      <w:r>
        <w:rPr>
          <w:rFonts w:ascii="Times New Roman" w:cs="Times New Roman" w:eastAsia="Times New Roman" w:hAnsi="Times New Roman"/>
          <w:sz w:val="22"/>
          <w:szCs w:val="22"/>
          <w:color w:val="auto"/>
        </w:rPr>
        <w: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conduct a reorganization.</w:t>
      </w:r>
    </w:p>
    <w:p>
      <w:pPr>
        <w:spacing w:after="0" w:line="180" w:lineRule="exact"/>
        <w:rPr>
          <w:rFonts w:ascii="Arial" w:cs="Arial" w:eastAsia="Arial" w:hAnsi="Arial"/>
          <w:sz w:val="20"/>
          <w:szCs w:val="20"/>
          <w:b w:val="1"/>
          <w:bCs w:val="1"/>
          <w:color w:val="auto"/>
        </w:rPr>
      </w:pPr>
    </w:p>
    <w:p>
      <w:pPr>
        <w:ind w:left="532" w:hanging="532"/>
        <w:spacing w:after="0"/>
        <w:tabs>
          <w:tab w:leader="none" w:pos="53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WITHHOLDING OBLIGATIONS.</w:t>
      </w:r>
    </w:p>
    <w:p>
      <w:pPr>
        <w:spacing w:after="0" w:line="291" w:lineRule="exact"/>
        <w:rPr>
          <w:rFonts w:ascii="Times New Roman" w:cs="Times New Roman" w:eastAsia="Times New Roman" w:hAnsi="Times New Roman"/>
          <w:sz w:val="18"/>
          <w:szCs w:val="18"/>
          <w:b w:val="1"/>
          <w:bCs w:val="1"/>
          <w:color w:val="auto"/>
        </w:rPr>
      </w:pPr>
    </w:p>
    <w:p>
      <w:pPr>
        <w:jc w:val="both"/>
        <w:ind w:left="652" w:hanging="4"/>
        <w:spacing w:after="0" w:line="311" w:lineRule="auto"/>
        <w:tabs>
          <w:tab w:leader="none" w:pos="997" w:val="left"/>
        </w:tabs>
        <w:numPr>
          <w:ilvl w:val="1"/>
          <w:numId w:val="11"/>
        </w:numPr>
        <w:rPr>
          <w:rFonts w:ascii="Arial" w:cs="Arial" w:eastAsia="Arial" w:hAnsi="Arial"/>
          <w:sz w:val="19"/>
          <w:szCs w:val="19"/>
          <w:b w:val="1"/>
          <w:bCs w:val="1"/>
          <w:color w:val="auto"/>
        </w:rPr>
      </w:pPr>
      <w:r>
        <w:rPr>
          <w:rFonts w:ascii="Times New Roman" w:cs="Times New Roman" w:eastAsia="Times New Roman" w:hAnsi="Times New Roman"/>
          <w:sz w:val="21"/>
          <w:szCs w:val="21"/>
          <w:color w:val="auto"/>
        </w:rPr>
        <w:t>On each vesting date, and on or before the time you receive a distribution of the shares underlying your Restricted Stock Units, and at any other time as reasonably requested by the Company in accordance with applicable tax laws, you hereby authorize any required withholding from the Common Stock issuable to you and/or otherwise agree to make adequate provision in cash for any sums required to satisfy the federal, state, local and foreign tax withholding obligations of the Company or any Affiliate that arise in connection with your Award (the “</w:t>
      </w:r>
      <w:r>
        <w:rPr>
          <w:rFonts w:ascii="Times New Roman" w:cs="Times New Roman" w:eastAsia="Times New Roman" w:hAnsi="Times New Roman"/>
          <w:sz w:val="21"/>
          <w:szCs w:val="21"/>
          <w:b w:val="1"/>
          <w:bCs w:val="1"/>
          <w:i w:val="1"/>
          <w:iCs w:val="1"/>
          <w:color w:val="auto"/>
        </w:rPr>
        <w:t>Withholding Taxes</w:t>
      </w:r>
      <w:r>
        <w:rPr>
          <w:rFonts w:ascii="Times New Roman" w:cs="Times New Roman" w:eastAsia="Times New Roman" w:hAnsi="Times New Roman"/>
          <w:sz w:val="21"/>
          <w:szCs w:val="21"/>
          <w:color w:val="auto"/>
        </w:rPr>
        <w:t>”). Additionally, the Company or any Affiliate may, in its sole discretion, satisfy all or any portion of the Withholding Taxes obligation relating to your RSUs by any of the following means or by a combination of such means: (i) withholding from any compensation otherwise payable to you by the Company; (ii) causing you to tender a cash payment; (iii) permitting or requiring you to enter into a “same day sale” commitment, if applicable, with a broker-dealer that is a member of the Financial Industry Regulatory Authority (a “</w:t>
      </w:r>
      <w:r>
        <w:rPr>
          <w:rFonts w:ascii="Times New Roman" w:cs="Times New Roman" w:eastAsia="Times New Roman" w:hAnsi="Times New Roman"/>
          <w:sz w:val="21"/>
          <w:szCs w:val="21"/>
          <w:b w:val="1"/>
          <w:bCs w:val="1"/>
          <w:i w:val="1"/>
          <w:iCs w:val="1"/>
          <w:color w:val="auto"/>
        </w:rPr>
        <w:t>FINRA Dealer</w:t>
      </w:r>
      <w:r>
        <w:rPr>
          <w:rFonts w:ascii="Times New Roman" w:cs="Times New Roman" w:eastAsia="Times New Roman" w:hAnsi="Times New Roman"/>
          <w:sz w:val="21"/>
          <w:szCs w:val="21"/>
          <w:color w:val="auto"/>
        </w:rPr>
        <w:t xml:space="preserve">”) whereby you irrevocably elect to sell a portion of the shares to be delivered in connection with your Restricted Stock Units to satisfy the Withholding Taxes and whereby the FINRA Dealer irrevocably commits to forward the proceeds necessary to satisfy the Withholding Taxes directly to the Company and/or its Affiliates; or (iv) withholding shares of Common Stock from the shares of Common Stock issued or otherwise issuable to you in connection with the Award with a Fair Market Value (measured as of the date shares of Common Stock are issued to pursuant to Section 6) equal to the amount of such Withholding Taxes;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the number of such shares of Common Stock so withheld will not exceed the amount necessary to satisfy the Company’s required tax withholding obligations using the minimum statutory withholding rates for federal, state, local and foreign tax purposes, including payroll taxes, that are applicable to supplemental taxable income;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further, that to the extent necessary to qualify for an exemption from application of Section 16(b) of the Exchange Act, if applicable, such share withholding procedure will be subject to the express prior approval of the Company’s Compensation Committee.</w:t>
      </w:r>
    </w:p>
    <w:p>
      <w:pPr>
        <w:spacing w:after="0" w:line="183" w:lineRule="exact"/>
        <w:rPr>
          <w:rFonts w:ascii="Arial" w:cs="Arial" w:eastAsia="Arial" w:hAnsi="Arial"/>
          <w:sz w:val="19"/>
          <w:szCs w:val="19"/>
          <w:b w:val="1"/>
          <w:bCs w:val="1"/>
          <w:color w:val="auto"/>
        </w:rPr>
      </w:pPr>
    </w:p>
    <w:p>
      <w:pPr>
        <w:ind w:left="652" w:hanging="4"/>
        <w:spacing w:after="0" w:line="335" w:lineRule="auto"/>
        <w:tabs>
          <w:tab w:leader="none" w:pos="1062" w:val="left"/>
        </w:tabs>
        <w:numPr>
          <w:ilvl w:val="1"/>
          <w:numId w:val="11"/>
        </w:numPr>
        <w:rPr>
          <w:rFonts w:ascii="Arial" w:cs="Arial" w:eastAsia="Arial" w:hAnsi="Arial"/>
          <w:sz w:val="20"/>
          <w:szCs w:val="20"/>
          <w:b w:val="1"/>
          <w:bCs w:val="1"/>
          <w:color w:val="auto"/>
        </w:rPr>
      </w:pPr>
      <w:r>
        <w:rPr>
          <w:rFonts w:ascii="Times New Roman" w:cs="Times New Roman" w:eastAsia="Times New Roman" w:hAnsi="Times New Roman"/>
          <w:sz w:val="22"/>
          <w:szCs w:val="22"/>
          <w:color w:val="auto"/>
        </w:rPr>
        <w:t>Unless the tax withholding obligations of the Company and/or any Affiliate are satisfied, the Company shall have no obligation to deliver to you any Common Stock.</w:t>
      </w:r>
    </w:p>
    <w:p>
      <w:pPr>
        <w:spacing w:after="0" w:line="144" w:lineRule="exact"/>
        <w:rPr>
          <w:rFonts w:ascii="Arial" w:cs="Arial" w:eastAsia="Arial" w:hAnsi="Arial"/>
          <w:sz w:val="20"/>
          <w:szCs w:val="20"/>
          <w:b w:val="1"/>
          <w:bCs w:val="1"/>
          <w:color w:val="auto"/>
        </w:rPr>
      </w:pPr>
    </w:p>
    <w:p>
      <w:pPr>
        <w:jc w:val="both"/>
        <w:ind w:left="652" w:hanging="4"/>
        <w:spacing w:after="0" w:line="308" w:lineRule="auto"/>
        <w:tabs>
          <w:tab w:leader="none" w:pos="1146" w:val="left"/>
        </w:tabs>
        <w:numPr>
          <w:ilvl w:val="1"/>
          <w:numId w:val="11"/>
        </w:numPr>
        <w:rPr>
          <w:rFonts w:ascii="Arial" w:cs="Arial" w:eastAsia="Arial" w:hAnsi="Arial"/>
          <w:sz w:val="20"/>
          <w:szCs w:val="20"/>
          <w:b w:val="1"/>
          <w:bCs w:val="1"/>
          <w:color w:val="auto"/>
        </w:rPr>
      </w:pPr>
      <w:r>
        <w:rPr>
          <w:rFonts w:ascii="Times New Roman" w:cs="Times New Roman" w:eastAsia="Times New Roman" w:hAnsi="Times New Roman"/>
          <w:sz w:val="22"/>
          <w:szCs w:val="22"/>
          <w:color w:val="auto"/>
        </w:rPr>
        <w:t>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385" w:lineRule="exact"/>
        <w:rPr>
          <w:rFonts w:ascii="Arial" w:cs="Arial" w:eastAsia="Arial" w:hAnsi="Arial"/>
          <w:sz w:val="20"/>
          <w:szCs w:val="20"/>
          <w:b w:val="1"/>
          <w:bCs w:val="1"/>
          <w:color w:val="auto"/>
        </w:rPr>
      </w:pPr>
    </w:p>
    <w:p>
      <w:pPr>
        <w:jc w:val="both"/>
        <w:ind w:left="-8" w:firstLine="8"/>
        <w:spacing w:after="0" w:line="303" w:lineRule="auto"/>
        <w:tabs>
          <w:tab w:leader="none" w:pos="541"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 xml:space="preserve">TAX CONSEQUENCES. </w:t>
      </w:r>
      <w:r>
        <w:rPr>
          <w:rFonts w:ascii="Times New Roman" w:cs="Times New Roman" w:eastAsia="Times New Roman" w:hAnsi="Times New Roman"/>
          <w:sz w:val="22"/>
          <w:szCs w:val="22"/>
          <w:color w:val="auto"/>
        </w:rPr>
        <w:t>The Company has no duty or obligation to minimize the tax consequences to you of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w:t>
      </w:r>
    </w:p>
    <w:p>
      <w:pPr>
        <w:sectPr>
          <w:pgSz w:w="11900" w:h="16838" w:orient="portrait"/>
          <w:cols w:equalWidth="0" w:num="1">
            <w:col w:w="11412"/>
          </w:cols>
          <w:pgMar w:left="248" w:top="153" w:right="239" w:bottom="0" w:gutter="0" w:footer="0" w:header="0"/>
        </w:sectPr>
      </w:pPr>
    </w:p>
    <w:bookmarkStart w:id="8" w:name="page9"/>
    <w:bookmarkEnd w:id="8"/>
    <w:p>
      <w:pPr>
        <w:jc w:val="both"/>
        <w:ind w:firstLine="8"/>
        <w:spacing w:after="0" w:line="302" w:lineRule="auto"/>
        <w:tabs>
          <w:tab w:leader="none" w:pos="549"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 xml:space="preserve">UNSECURED OBLIGATION. </w:t>
      </w:r>
      <w:r>
        <w:rPr>
          <w:rFonts w:ascii="Times New Roman" w:cs="Times New Roman" w:eastAsia="Times New Roman" w:hAnsi="Times New Roman"/>
          <w:sz w:val="22"/>
          <w:szCs w:val="22"/>
          <w:color w:val="auto"/>
        </w:rPr>
        <w:t>Your Award is unfunded, and as a holder of vested RSUs, you shall be considered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unsecured creditor of the Company with respect to the Company’s obligation, if any, to issue shares or other property pursuant to this Agreement. You 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w:t>
      </w:r>
    </w:p>
    <w:p>
      <w:pPr>
        <w:spacing w:after="0" w:line="175" w:lineRule="exact"/>
        <w:rPr>
          <w:rFonts w:ascii="Times New Roman" w:cs="Times New Roman" w:eastAsia="Times New Roman" w:hAnsi="Times New Roman"/>
          <w:sz w:val="18"/>
          <w:szCs w:val="18"/>
          <w:b w:val="1"/>
          <w:bCs w:val="1"/>
          <w:color w:val="auto"/>
        </w:rPr>
      </w:pPr>
    </w:p>
    <w:p>
      <w:pPr>
        <w:jc w:val="both"/>
        <w:ind w:firstLine="8"/>
        <w:spacing w:after="0" w:line="303" w:lineRule="auto"/>
        <w:tabs>
          <w:tab w:leader="none" w:pos="549"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 or request required or permitted hereunder shall be given in writing to each of the other parties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be deemed effectively given on the 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at the following addresses, or at such other address(es) as a party may designate by ten (10) days’ advance written notice to each of the other parties hereto:</w:t>
      </w:r>
    </w:p>
    <w:p>
      <w:pPr>
        <w:spacing w:after="0" w:line="17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 xml:space="preserve">COMPANY: </w:t>
      </w:r>
      <w:r>
        <w:rPr>
          <w:rFonts w:ascii="Times New Roman" w:cs="Times New Roman" w:eastAsia="Times New Roman" w:hAnsi="Times New Roman"/>
          <w:sz w:val="22"/>
          <w:szCs w:val="22"/>
          <w:color w:val="auto"/>
        </w:rPr>
        <w:t>Luna Innovations Incorporated</w:t>
      </w:r>
    </w:p>
    <w:p>
      <w:pPr>
        <w:spacing w:after="0" w:line="7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Attn: Stock Administrator</w:t>
      </w:r>
    </w:p>
    <w:p>
      <w:pPr>
        <w:spacing w:after="0" w:line="3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301 1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Street, SW, Suite 200</w:t>
      </w:r>
    </w:p>
    <w:p>
      <w:pPr>
        <w:spacing w:after="0" w:line="4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Roanoke, VA 24011</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PARTICIPANT: </w:t>
      </w:r>
      <w:r>
        <w:rPr>
          <w:rFonts w:ascii="Times New Roman" w:cs="Times New Roman" w:eastAsia="Times New Roman" w:hAnsi="Times New Roman"/>
          <w:sz w:val="22"/>
          <w:szCs w:val="22"/>
          <w:color w:val="auto"/>
        </w:rPr>
        <w:t>Your address as on file with the Company</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at the time notice is given</w:t>
      </w:r>
    </w:p>
    <w:p>
      <w:pPr>
        <w:spacing w:after="0" w:line="364" w:lineRule="exact"/>
        <w:rPr>
          <w:sz w:val="20"/>
          <w:szCs w:val="20"/>
          <w:color w:val="auto"/>
        </w:rPr>
      </w:pPr>
    </w:p>
    <w:p>
      <w:pPr>
        <w:ind w:firstLine="8"/>
        <w:spacing w:after="0" w:line="339" w:lineRule="auto"/>
        <w:tabs>
          <w:tab w:leader="none" w:pos="549"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HEADINGS</w:t>
      </w:r>
      <w:r>
        <w:rPr>
          <w:rFonts w:ascii="Times New Roman" w:cs="Times New Roman" w:eastAsia="Times New Roman" w:hAnsi="Times New Roman"/>
          <w:sz w:val="22"/>
          <w:szCs w:val="22"/>
          <w:color w:val="auto"/>
        </w:rPr>
        <w:t>. The headings of the Sections in this Agreement are inserted for convenience only and shall not be deemed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 a part of this Agreement or to affect the meaning of this Agreement.</w:t>
      </w:r>
    </w:p>
    <w:p>
      <w:pPr>
        <w:spacing w:after="0" w:line="136" w:lineRule="exact"/>
        <w:rPr>
          <w:rFonts w:ascii="Times New Roman" w:cs="Times New Roman" w:eastAsia="Times New Roman" w:hAnsi="Times New Roman"/>
          <w:sz w:val="18"/>
          <w:szCs w:val="18"/>
          <w:b w:val="1"/>
          <w:bCs w:val="1"/>
          <w:color w:val="auto"/>
        </w:rPr>
      </w:pPr>
    </w:p>
    <w:p>
      <w:pPr>
        <w:ind w:left="560" w:hanging="552"/>
        <w:spacing w:after="0"/>
        <w:tabs>
          <w:tab w:leader="none" w:pos="5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w:t>
      </w:r>
    </w:p>
    <w:p>
      <w:pPr>
        <w:spacing w:after="0" w:line="291" w:lineRule="exact"/>
        <w:rPr>
          <w:rFonts w:ascii="Times New Roman" w:cs="Times New Roman" w:eastAsia="Times New Roman" w:hAnsi="Times New Roman"/>
          <w:sz w:val="18"/>
          <w:szCs w:val="18"/>
          <w:b w:val="1"/>
          <w:bCs w:val="1"/>
          <w:color w:val="auto"/>
        </w:rPr>
      </w:pPr>
    </w:p>
    <w:p>
      <w:pPr>
        <w:jc w:val="both"/>
        <w:ind w:left="660" w:hanging="4"/>
        <w:spacing w:after="0" w:line="315" w:lineRule="auto"/>
        <w:tabs>
          <w:tab w:leader="none" w:pos="1019" w:val="left"/>
        </w:tabs>
        <w:numPr>
          <w:ilvl w:val="1"/>
          <w:numId w:val="13"/>
        </w:numPr>
        <w:rPr>
          <w:rFonts w:ascii="Arial" w:cs="Arial" w:eastAsia="Arial" w:hAnsi="Arial"/>
          <w:sz w:val="20"/>
          <w:szCs w:val="20"/>
          <w:b w:val="1"/>
          <w:bCs w:val="1"/>
          <w:color w:val="auto"/>
        </w:rPr>
      </w:pPr>
      <w:r>
        <w:rPr>
          <w:rFonts w:ascii="Times New Roman" w:cs="Times New Roman" w:eastAsia="Times New Roman" w:hAnsi="Times New Roman"/>
          <w:sz w:val="22"/>
          <w:szCs w:val="22"/>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165" w:lineRule="exact"/>
        <w:rPr>
          <w:rFonts w:ascii="Arial" w:cs="Arial" w:eastAsia="Arial" w:hAnsi="Arial"/>
          <w:sz w:val="20"/>
          <w:szCs w:val="20"/>
          <w:b w:val="1"/>
          <w:bCs w:val="1"/>
          <w:color w:val="auto"/>
        </w:rPr>
      </w:pPr>
    </w:p>
    <w:p>
      <w:pPr>
        <w:ind w:left="660" w:hanging="4"/>
        <w:spacing w:after="0" w:line="335" w:lineRule="auto"/>
        <w:tabs>
          <w:tab w:leader="none" w:pos="1259" w:val="left"/>
        </w:tabs>
        <w:numPr>
          <w:ilvl w:val="1"/>
          <w:numId w:val="13"/>
        </w:numPr>
        <w:rPr>
          <w:rFonts w:ascii="Arial" w:cs="Arial" w:eastAsia="Arial" w:hAnsi="Arial"/>
          <w:sz w:val="20"/>
          <w:szCs w:val="20"/>
          <w:b w:val="1"/>
          <w:bCs w:val="1"/>
          <w:color w:val="auto"/>
        </w:rPr>
      </w:pPr>
      <w:r>
        <w:rPr>
          <w:rFonts w:ascii="Times New Roman" w:cs="Times New Roman" w:eastAsia="Times New Roman" w:hAnsi="Times New Roman"/>
          <w:sz w:val="22"/>
          <w:szCs w:val="22"/>
          <w:color w:val="auto"/>
        </w:rPr>
        <w:t>You agree upon request to execute any further documents or instruments necessary or desirable in the sole determination of the Company to carry out the purposes or intent of your Award.</w:t>
      </w:r>
    </w:p>
    <w:p>
      <w:pPr>
        <w:spacing w:after="0" w:line="144" w:lineRule="exact"/>
        <w:rPr>
          <w:rFonts w:ascii="Arial" w:cs="Arial" w:eastAsia="Arial" w:hAnsi="Arial"/>
          <w:sz w:val="20"/>
          <w:szCs w:val="20"/>
          <w:b w:val="1"/>
          <w:bCs w:val="1"/>
          <w:color w:val="auto"/>
        </w:rPr>
      </w:pPr>
    </w:p>
    <w:p>
      <w:pPr>
        <w:ind w:left="660" w:hanging="4"/>
        <w:spacing w:after="0" w:line="335" w:lineRule="auto"/>
        <w:tabs>
          <w:tab w:leader="none" w:pos="1059" w:val="left"/>
        </w:tabs>
        <w:numPr>
          <w:ilvl w:val="1"/>
          <w:numId w:val="13"/>
        </w:numPr>
        <w:rPr>
          <w:rFonts w:ascii="Arial" w:cs="Arial" w:eastAsia="Arial" w:hAnsi="Arial"/>
          <w:sz w:val="20"/>
          <w:szCs w:val="20"/>
          <w:b w:val="1"/>
          <w:bCs w:val="1"/>
          <w:color w:val="auto"/>
        </w:rPr>
      </w:pPr>
      <w:r>
        <w:rPr>
          <w:rFonts w:ascii="Times New Roman" w:cs="Times New Roman" w:eastAsia="Times New Roman" w:hAnsi="Times New Roman"/>
          <w:sz w:val="22"/>
          <w:szCs w:val="22"/>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44" w:lineRule="exact"/>
        <w:rPr>
          <w:rFonts w:ascii="Arial" w:cs="Arial" w:eastAsia="Arial" w:hAnsi="Arial"/>
          <w:sz w:val="20"/>
          <w:szCs w:val="20"/>
          <w:b w:val="1"/>
          <w:bCs w:val="1"/>
          <w:color w:val="auto"/>
        </w:rPr>
      </w:pPr>
    </w:p>
    <w:p>
      <w:pPr>
        <w:ind w:left="660" w:hanging="4"/>
        <w:spacing w:after="0" w:line="335" w:lineRule="auto"/>
        <w:tabs>
          <w:tab w:leader="none" w:pos="1232" w:val="left"/>
        </w:tabs>
        <w:numPr>
          <w:ilvl w:val="1"/>
          <w:numId w:val="13"/>
        </w:numPr>
        <w:rPr>
          <w:rFonts w:ascii="Arial" w:cs="Arial" w:eastAsia="Arial" w:hAnsi="Arial"/>
          <w:sz w:val="20"/>
          <w:szCs w:val="20"/>
          <w:b w:val="1"/>
          <w:bCs w:val="1"/>
          <w:color w:val="auto"/>
        </w:rPr>
      </w:pPr>
      <w:r>
        <w:rPr>
          <w:rFonts w:ascii="Times New Roman" w:cs="Times New Roman" w:eastAsia="Times New Roman" w:hAnsi="Times New Roman"/>
          <w:sz w:val="22"/>
          <w:szCs w:val="22"/>
          <w:color w:val="auto"/>
        </w:rPr>
        <w:t>This Agreement shall be subject to all applicable laws, rules, and regulations, and to such approvals by any governmental agencies or national securities exchanges as may be required.</w:t>
      </w:r>
    </w:p>
    <w:p>
      <w:pPr>
        <w:spacing w:after="0" w:line="144" w:lineRule="exact"/>
        <w:rPr>
          <w:rFonts w:ascii="Arial" w:cs="Arial" w:eastAsia="Arial" w:hAnsi="Arial"/>
          <w:sz w:val="20"/>
          <w:szCs w:val="20"/>
          <w:b w:val="1"/>
          <w:bCs w:val="1"/>
          <w:color w:val="auto"/>
        </w:rPr>
      </w:pPr>
    </w:p>
    <w:p>
      <w:pPr>
        <w:jc w:val="both"/>
        <w:ind w:left="660" w:hanging="4"/>
        <w:spacing w:after="0" w:line="315" w:lineRule="auto"/>
        <w:tabs>
          <w:tab w:leader="none" w:pos="1032" w:val="left"/>
        </w:tabs>
        <w:numPr>
          <w:ilvl w:val="1"/>
          <w:numId w:val="13"/>
        </w:numPr>
        <w:rPr>
          <w:rFonts w:ascii="Arial" w:cs="Arial" w:eastAsia="Arial" w:hAnsi="Arial"/>
          <w:sz w:val="20"/>
          <w:szCs w:val="20"/>
          <w:b w:val="1"/>
          <w:bCs w:val="1"/>
          <w:color w:val="auto"/>
        </w:rPr>
      </w:pPr>
      <w:r>
        <w:rPr>
          <w:rFonts w:ascii="Times New Roman" w:cs="Times New Roman" w:eastAsia="Times New Roman" w:hAnsi="Times New Roman"/>
          <w:sz w:val="22"/>
          <w:szCs w:val="22"/>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61" w:lineRule="exact"/>
        <w:rPr>
          <w:rFonts w:ascii="Arial" w:cs="Arial" w:eastAsia="Arial" w:hAnsi="Arial"/>
          <w:sz w:val="20"/>
          <w:szCs w:val="20"/>
          <w:b w:val="1"/>
          <w:bCs w:val="1"/>
          <w:color w:val="auto"/>
        </w:rPr>
      </w:pPr>
    </w:p>
    <w:p>
      <w:pPr>
        <w:jc w:val="both"/>
        <w:ind w:firstLine="8"/>
        <w:spacing w:after="0" w:line="317" w:lineRule="auto"/>
        <w:tabs>
          <w:tab w:leader="none" w:pos="549"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21"/>
          <w:szCs w:val="21"/>
          <w:b w:val="1"/>
          <w:bCs w:val="1"/>
          <w:color w:val="auto"/>
        </w:rPr>
        <w:t>GOVERNING PLAN DOCUMENT</w:t>
      </w:r>
      <w:r>
        <w:rPr>
          <w:rFonts w:ascii="Times New Roman" w:cs="Times New Roman" w:eastAsia="Times New Roman" w:hAnsi="Times New Roman"/>
          <w:sz w:val="21"/>
          <w:szCs w:val="21"/>
          <w:color w:val="auto"/>
        </w:rPr>
        <w:t>. Your Award is subject to all the provisions of the Plan, the provisions of which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(the “Dodd-Frank Act”), any clawback policy adopted by the Company pursuant to the Dodd-Frank Act or otherwise and any compensation recovery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ectPr>
          <w:pgSz w:w="11900" w:h="16838" w:orient="portrait"/>
          <w:cols w:equalWidth="0" w:num="1">
            <w:col w:w="11420"/>
          </w:cols>
          <w:pgMar w:left="240" w:top="149" w:right="239" w:bottom="298" w:gutter="0" w:footer="0" w:header="0"/>
        </w:sectPr>
      </w:pPr>
    </w:p>
    <w:bookmarkStart w:id="9" w:name="page10"/>
    <w:bookmarkEnd w:id="9"/>
    <w:p>
      <w:pPr>
        <w:jc w:val="both"/>
        <w:ind w:firstLine="8"/>
        <w:spacing w:after="0" w:line="305" w:lineRule="auto"/>
        <w:tabs>
          <w:tab w:leader="none" w:pos="549"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 xml:space="preserve">EFFECT ON OTHER EMPLOYEE BENEFIT PLANS. </w:t>
      </w:r>
      <w:r>
        <w:rPr>
          <w:rFonts w:ascii="Times New Roman" w:cs="Times New Roman" w:eastAsia="Times New Roman" w:hAnsi="Times New Roman"/>
          <w:sz w:val="22"/>
          <w:szCs w:val="22"/>
          <w:color w:val="auto"/>
        </w:rPr>
        <w:t>The value of the RSUs subject to this Agreement or the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underlying the RSUs upon issuance to you shall not be included as 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75" w:lineRule="exact"/>
        <w:rPr>
          <w:rFonts w:ascii="Times New Roman" w:cs="Times New Roman" w:eastAsia="Times New Roman" w:hAnsi="Times New Roman"/>
          <w:sz w:val="18"/>
          <w:szCs w:val="18"/>
          <w:b w:val="1"/>
          <w:bCs w:val="1"/>
          <w:color w:val="auto"/>
        </w:rPr>
      </w:pPr>
    </w:p>
    <w:p>
      <w:pPr>
        <w:ind w:firstLine="8"/>
        <w:spacing w:after="0" w:line="339" w:lineRule="auto"/>
        <w:tabs>
          <w:tab w:leader="none" w:pos="549"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 xml:space="preserve">CHOICE OF LAW. </w:t>
      </w:r>
      <w:r>
        <w:rPr>
          <w:rFonts w:ascii="Times New Roman" w:cs="Times New Roman" w:eastAsia="Times New Roman" w:hAnsi="Times New Roman"/>
          <w:sz w:val="22"/>
          <w:szCs w:val="22"/>
          <w:color w:val="auto"/>
        </w:rPr>
        <w:t>The interpretation, performance and enforcement of this Agreement shall be governed by the law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 of Delaware without regard to that state’s conflicts of laws rules.</w:t>
      </w:r>
    </w:p>
    <w:p>
      <w:pPr>
        <w:spacing w:after="0" w:line="136" w:lineRule="exact"/>
        <w:rPr>
          <w:rFonts w:ascii="Times New Roman" w:cs="Times New Roman" w:eastAsia="Times New Roman" w:hAnsi="Times New Roman"/>
          <w:sz w:val="18"/>
          <w:szCs w:val="18"/>
          <w:b w:val="1"/>
          <w:bCs w:val="1"/>
          <w:color w:val="auto"/>
        </w:rPr>
      </w:pPr>
    </w:p>
    <w:p>
      <w:pPr>
        <w:jc w:val="both"/>
        <w:ind w:firstLine="8"/>
        <w:spacing w:after="0" w:line="305" w:lineRule="auto"/>
        <w:tabs>
          <w:tab w:leader="none" w:pos="549"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all or any part of this Agreement or the Plan is declared by any court or governmental authority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5" w:lineRule="exact"/>
        <w:rPr>
          <w:rFonts w:ascii="Times New Roman" w:cs="Times New Roman" w:eastAsia="Times New Roman" w:hAnsi="Times New Roman"/>
          <w:sz w:val="18"/>
          <w:szCs w:val="18"/>
          <w:b w:val="1"/>
          <w:bCs w:val="1"/>
          <w:color w:val="auto"/>
        </w:rPr>
      </w:pPr>
    </w:p>
    <w:p>
      <w:pPr>
        <w:jc w:val="both"/>
        <w:ind w:firstLine="8"/>
        <w:spacing w:after="0" w:line="317" w:lineRule="auto"/>
        <w:tabs>
          <w:tab w:leader="none" w:pos="549"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OTHER DOCUMENTS</w:t>
      </w:r>
      <w:r>
        <w:rPr>
          <w:rFonts w:ascii="Times New Roman" w:cs="Times New Roman" w:eastAsia="Times New Roman" w:hAnsi="Times New Roman"/>
          <w:sz w:val="22"/>
          <w:szCs w:val="22"/>
          <w:color w:val="auto"/>
        </w:rPr>
        <w:t>. You acknowledge receipt of and the right to receive a document providing the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by Rule 428(b)(1) promulgated under the Securities Act, which includes the Plan prospectus. In addition, you acknowledge receipt of the Company’s Insider Trading Policy.</w:t>
      </w:r>
    </w:p>
    <w:p>
      <w:pPr>
        <w:spacing w:after="0" w:line="159" w:lineRule="exact"/>
        <w:rPr>
          <w:rFonts w:ascii="Times New Roman" w:cs="Times New Roman" w:eastAsia="Times New Roman" w:hAnsi="Times New Roman"/>
          <w:sz w:val="18"/>
          <w:szCs w:val="18"/>
          <w:b w:val="1"/>
          <w:bCs w:val="1"/>
          <w:color w:val="auto"/>
        </w:rPr>
      </w:pPr>
    </w:p>
    <w:p>
      <w:pPr>
        <w:jc w:val="both"/>
        <w:ind w:firstLine="8"/>
        <w:spacing w:after="0" w:line="300" w:lineRule="auto"/>
        <w:tabs>
          <w:tab w:leader="none" w:pos="549"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 xml:space="preserve">AMENDMENT. </w:t>
      </w:r>
      <w:r>
        <w:rPr>
          <w:rFonts w:ascii="Times New Roman" w:cs="Times New Roman" w:eastAsia="Times New Roman" w:hAnsi="Times New Roman"/>
          <w:sz w:val="22"/>
          <w:szCs w:val="22"/>
          <w:color w:val="auto"/>
        </w:rPr>
        <w:t>This Agreement may not be modified, amended or terminated except by an instrument in writing, signed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you and by a duly 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79" w:lineRule="exact"/>
        <w:rPr>
          <w:rFonts w:ascii="Times New Roman" w:cs="Times New Roman" w:eastAsia="Times New Roman" w:hAnsi="Times New Roman"/>
          <w:sz w:val="18"/>
          <w:szCs w:val="18"/>
          <w:b w:val="1"/>
          <w:bCs w:val="1"/>
          <w:color w:val="auto"/>
        </w:rPr>
      </w:pPr>
    </w:p>
    <w:p>
      <w:pPr>
        <w:jc w:val="both"/>
        <w:ind w:firstLine="8"/>
        <w:spacing w:after="0" w:line="298" w:lineRule="auto"/>
        <w:tabs>
          <w:tab w:leader="none" w:pos="549"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color w:val="auto"/>
        </w:rPr>
        <w:t>COMPLIANCE WITH SECTION 409A OF THE CODE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Award is intended to comply with the “short-term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deferral” rule set forth in Treasury Regulation Section 1.409A-1(b)(4). Notwithstanding the foregoing, if it is determined that the Award fails to satisfy the requirements of the short-term deferral rule and is otherwise deferred compensation subject to Section 409A, and if you are a “Specified Employee” (within the meaning set forth in Section 409A(a)(2)(B)(i) of the Code) as of the date of your “separation from service” (within the meaning of Treasury Regulation Section 1.409A-1(h) and without regard to any alternative definition thereunder),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91" w:lineRule="exact"/>
        <w:rPr>
          <w:rFonts w:ascii="Times New Roman" w:cs="Times New Roman" w:eastAsia="Times New Roman" w:hAnsi="Times New Roman"/>
          <w:sz w:val="18"/>
          <w:szCs w:val="18"/>
          <w:b w:val="1"/>
          <w:bCs w:val="1"/>
          <w:color w:val="auto"/>
        </w:rPr>
      </w:pPr>
    </w:p>
    <w:p>
      <w:pPr>
        <w:ind w:left="5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color w:val="auto"/>
        </w:rPr>
        <w:t>* * * * *</w:t>
      </w:r>
    </w:p>
    <w:p>
      <w:pPr>
        <w:spacing w:after="0" w:line="368" w:lineRule="exact"/>
        <w:rPr>
          <w:sz w:val="20"/>
          <w:szCs w:val="20"/>
          <w:color w:val="auto"/>
        </w:rPr>
      </w:pPr>
    </w:p>
    <w:p>
      <w:pPr>
        <w:ind w:right="260" w:firstLine="648"/>
        <w:spacing w:after="0" w:line="322" w:lineRule="auto"/>
        <w:rPr>
          <w:sz w:val="20"/>
          <w:szCs w:val="20"/>
          <w:color w:val="auto"/>
        </w:rPr>
      </w:pPr>
      <w:r>
        <w:rPr>
          <w:rFonts w:ascii="Times New Roman" w:cs="Times New Roman" w:eastAsia="Times New Roman" w:hAnsi="Times New Roman"/>
          <w:sz w:val="22"/>
          <w:szCs w:val="22"/>
          <w:color w:val="auto"/>
        </w:rPr>
        <w:t>This Restricted Stock Unit Agreement shall be deemed to be signed by the Company and the Participant upon the signing by the Participant of the Restricted Stock Unit Grant Notice to which it is attached.</w:t>
      </w:r>
    </w:p>
    <w:sectPr>
      <w:pgSz w:w="11900" w:h="16838" w:orient="portrait"/>
      <w:cols w:equalWidth="0" w:num="1">
        <w:col w:w="11420"/>
      </w:cols>
      <w:pgMar w:left="240" w:top="1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lowerLetter"/>
      <w:start w:val="4"/>
    </w:lvl>
  </w:abstractNum>
  <w:abstractNum w:abstractNumId="3">
    <w:nsid w:val="5BD062C2"/>
    <w:multiLevelType w:val="hybridMultilevel"/>
    <w:lvl w:ilvl="0">
      <w:lvlJc w:val="left"/>
      <w:lvlText w:val="(%1)"/>
      <w:numFmt w:val="lowerRoman"/>
      <w:start w:val="4"/>
    </w:lvl>
  </w:abstractNum>
  <w:abstractNum w:abstractNumId="4">
    <w:nsid w:val="12200854"/>
    <w:multiLevelType w:val="hybridMultilevel"/>
    <w:lvl w:ilvl="0">
      <w:lvlJc w:val="left"/>
      <w:lvlText w:val="%1."/>
      <w:numFmt w:val="decimal"/>
      <w:start w:val="1"/>
    </w:lvl>
    <w:lvl w:ilvl="1">
      <w:lvlJc w:val="left"/>
      <w:lvlText w:val="%2."/>
      <w:numFmt w:val="lowerLetter"/>
      <w:start w:val="1"/>
    </w:lvl>
  </w:abstractNum>
  <w:abstractNum w:abstractNumId="5">
    <w:nsid w:val="4DB127F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
    <w:nsid w:val="216231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
    <w:nsid w:val="1F16E9E8"/>
    <w:multiLevelType w:val="hybridMultilevel"/>
    <w:lvl w:ilvl="0">
      <w:lvlJc w:val="left"/>
      <w:lvlText w:val="%1"/>
      <w:numFmt w:val="decimal"/>
      <w:start w:val="1"/>
    </w:lvl>
    <w:lvl w:ilvl="1">
      <w:lvlJc w:val="left"/>
      <w:lvlText w:val="%2."/>
      <w:numFmt w:val="lowerLetter"/>
      <w:start w:val="3"/>
    </w:lvl>
  </w:abstractNum>
  <w:abstractNum w:abstractNumId="8">
    <w:nsid w:val="1190CDE7"/>
    <w:multiLevelType w:val="hybridMultilevel"/>
    <w:lvl w:ilvl="0">
      <w:lvlJc w:val="left"/>
      <w:lvlText w:val="%1."/>
      <w:numFmt w:val="decimal"/>
      <w:start w:val="7"/>
    </w:lvl>
    <w:lvl w:ilvl="1">
      <w:lvlJc w:val="left"/>
      <w:lvlText w:val="%2."/>
      <w:numFmt w:val="lowerLetter"/>
      <w:start w:val="1"/>
    </w:lvl>
  </w:abstractNum>
  <w:abstractNum w:abstractNumId="9">
    <w:nsid w:val="66EF438D"/>
    <w:multiLevelType w:val="hybridMultilevel"/>
    <w:lvl w:ilvl="0">
      <w:lvlJc w:val="left"/>
      <w:lvlText w:val="%1"/>
      <w:numFmt w:val="decimal"/>
      <w:start w:val="1"/>
    </w:lvl>
    <w:lvl w:ilvl="1">
      <w:lvlJc w:val="left"/>
      <w:lvlText w:val="%2."/>
      <w:numFmt w:val="lowerLetter"/>
      <w:start w:val="2"/>
    </w:lvl>
  </w:abstractNum>
  <w:abstractNum w:abstractNumId="10">
    <w:nsid w:val="140E0F76"/>
    <w:multiLevelType w:val="hybridMultilevel"/>
    <w:lvl w:ilvl="0">
      <w:lvlJc w:val="left"/>
      <w:lvlText w:val="%1."/>
      <w:numFmt w:val="decimal"/>
      <w:start w:val="11"/>
    </w:lvl>
    <w:lvl w:ilvl="1">
      <w:lvlJc w:val="left"/>
      <w:lvlText w:val="%2."/>
      <w:numFmt w:val="lowerLetter"/>
      <w:start w:val="1"/>
    </w:lvl>
  </w:abstractNum>
  <w:abstractNum w:abstractNumId="11">
    <w:nsid w:val="3352255A"/>
    <w:multiLevelType w:val="hybridMultilevel"/>
    <w:lvl w:ilvl="0">
      <w:lvlJc w:val="left"/>
      <w:lvlText w:val="%1."/>
      <w:numFmt w:val="decimal"/>
      <w:start w:val="13"/>
    </w:lvl>
  </w:abstractNum>
  <w:abstractNum w:abstractNumId="12">
    <w:nsid w:val="109CF92E"/>
    <w:multiLevelType w:val="hybridMultilevel"/>
    <w:lvl w:ilvl="0">
      <w:lvlJc w:val="left"/>
      <w:lvlText w:val="%1."/>
      <w:numFmt w:val="decimal"/>
      <w:start w:val="15"/>
    </w:lvl>
    <w:lvl w:ilvl="1">
      <w:lvlJc w:val="left"/>
      <w:lvlText w:val="%2."/>
      <w:numFmt w:val="lowerLetter"/>
      <w:start w:val="1"/>
    </w:lvl>
  </w:abstractNum>
  <w:abstractNum w:abstractNumId="13">
    <w:nsid w:val="DED7263"/>
    <w:multiLevelType w:val="hybridMultilevel"/>
    <w:lvl w:ilvl="0">
      <w:lvlJc w:val="left"/>
      <w:lvlText w:val="%1."/>
      <w:numFmt w:val="decimal"/>
      <w:start w:val="18"/>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2019-12-28T17:02:05Z</dcterms:created>
  <dcterms:modified xsi:type="dcterms:W3CDTF">2019-12-28T17:02:05Z</dcterms:modified>
</cp:coreProperties>
</file>