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9"/>
        <w:spacing w:after="0"/>
        <w:rPr>
          <w:sz w:val="20"/>
          <w:szCs w:val="20"/>
          <w:color w:val="auto"/>
        </w:rPr>
      </w:pPr>
      <w:r>
        <w:rPr>
          <w:rFonts w:ascii="Arial" w:cs="Arial" w:eastAsia="Arial" w:hAnsi="Arial"/>
          <w:sz w:val="27"/>
          <w:szCs w:val="27"/>
          <w:b w:val="1"/>
          <w:bCs w:val="1"/>
          <w:color w:val="auto"/>
        </w:rPr>
        <w:drawing>
          <wp:anchor simplePos="0" relativeHeight="251657728" behindDoc="1" locked="0" layoutInCell="0" allowOverlap="1">
            <wp:simplePos x="0" y="0"/>
            <wp:positionH relativeFrom="page">
              <wp:posOffset>145415</wp:posOffset>
            </wp:positionH>
            <wp:positionV relativeFrom="page">
              <wp:posOffset>546735</wp:posOffset>
            </wp:positionV>
            <wp:extent cx="7270750" cy="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70750" cy="6985"/>
                    </a:xfrm>
                    <a:prstGeom prst="rect">
                      <a:avLst/>
                    </a:prstGeom>
                    <a:noFill/>
                  </pic:spPr>
                </pic:pic>
              </a:graphicData>
            </a:graphic>
          </wp:anchor>
        </w:drawing>
        <w:t>UNITED STATES</w:t>
      </w:r>
    </w:p>
    <w:p>
      <w:pPr>
        <w:spacing w:after="0" w:line="30" w:lineRule="exact"/>
        <w:rPr>
          <w:sz w:val="24"/>
          <w:szCs w:val="24"/>
          <w:color w:val="auto"/>
        </w:rPr>
      </w:pPr>
    </w:p>
    <w:p>
      <w:pPr>
        <w:jc w:val="center"/>
        <w:ind w:right="-19"/>
        <w:spacing w:after="0"/>
        <w:rPr>
          <w:sz w:val="20"/>
          <w:szCs w:val="20"/>
          <w:color w:val="auto"/>
        </w:rPr>
      </w:pPr>
      <w:r>
        <w:rPr>
          <w:rFonts w:ascii="Arial" w:cs="Arial" w:eastAsia="Arial" w:hAnsi="Arial"/>
          <w:sz w:val="27"/>
          <w:szCs w:val="27"/>
          <w:b w:val="1"/>
          <w:bCs w:val="1"/>
          <w:color w:val="auto"/>
        </w:rPr>
        <w:t>SECURITIES AND EXCHANGE COMMISSION</w:t>
      </w:r>
    </w:p>
    <w:p>
      <w:pPr>
        <w:spacing w:after="0" w:line="2" w:lineRule="exact"/>
        <w:rPr>
          <w:sz w:val="24"/>
          <w:szCs w:val="24"/>
          <w:color w:val="auto"/>
        </w:rPr>
      </w:pPr>
    </w:p>
    <w:p>
      <w:pPr>
        <w:jc w:val="center"/>
        <w:ind w:right="-19"/>
        <w:spacing w:after="0"/>
        <w:rPr>
          <w:sz w:val="20"/>
          <w:szCs w:val="20"/>
          <w:color w:val="auto"/>
        </w:rPr>
      </w:pPr>
      <w:r>
        <w:rPr>
          <w:rFonts w:ascii="Arial" w:cs="Arial" w:eastAsia="Arial" w:hAnsi="Arial"/>
          <w:sz w:val="18"/>
          <w:szCs w:val="18"/>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5715</wp:posOffset>
            </wp:positionH>
            <wp:positionV relativeFrom="paragraph">
              <wp:posOffset>229870</wp:posOffset>
            </wp:positionV>
            <wp:extent cx="7270750" cy="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70750" cy="69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40" w:lineRule="exact"/>
        <w:rPr>
          <w:sz w:val="24"/>
          <w:szCs w:val="24"/>
          <w:color w:val="auto"/>
        </w:rPr>
      </w:pPr>
    </w:p>
    <w:p>
      <w:pPr>
        <w:jc w:val="center"/>
        <w:ind w:right="-19"/>
        <w:spacing w:after="0"/>
        <w:rPr>
          <w:sz w:val="20"/>
          <w:szCs w:val="20"/>
          <w:color w:val="auto"/>
        </w:rPr>
      </w:pPr>
      <w:r>
        <w:rPr>
          <w:rFonts w:ascii="Arial" w:cs="Arial" w:eastAsia="Arial" w:hAnsi="Arial"/>
          <w:sz w:val="27"/>
          <w:szCs w:val="27"/>
          <w:b w:val="1"/>
          <w:bCs w:val="1"/>
          <w:color w:val="auto"/>
        </w:rPr>
        <w:t>FORM 8-K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5715</wp:posOffset>
            </wp:positionH>
            <wp:positionV relativeFrom="paragraph">
              <wp:posOffset>247650</wp:posOffset>
            </wp:positionV>
            <wp:extent cx="7270750" cy="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70750" cy="69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80" w:lineRule="exact"/>
        <w:rPr>
          <w:sz w:val="24"/>
          <w:szCs w:val="24"/>
          <w:color w:val="auto"/>
        </w:rPr>
      </w:pPr>
    </w:p>
    <w:p>
      <w:pPr>
        <w:jc w:val="center"/>
        <w:ind w:right="-19"/>
        <w:spacing w:after="0"/>
        <w:rPr>
          <w:sz w:val="20"/>
          <w:szCs w:val="20"/>
          <w:color w:val="auto"/>
        </w:rPr>
      </w:pPr>
      <w:r>
        <w:rPr>
          <w:rFonts w:ascii="Arial" w:cs="Arial" w:eastAsia="Arial" w:hAnsi="Arial"/>
          <w:sz w:val="18"/>
          <w:szCs w:val="18"/>
          <w:b w:val="1"/>
          <w:bCs w:val="1"/>
          <w:color w:val="auto"/>
        </w:rPr>
        <w:t>CURRENT REPORT</w:t>
      </w:r>
    </w:p>
    <w:p>
      <w:pPr>
        <w:spacing w:after="0" w:line="23" w:lineRule="exact"/>
        <w:rPr>
          <w:sz w:val="24"/>
          <w:szCs w:val="24"/>
          <w:color w:val="auto"/>
        </w:rPr>
      </w:pPr>
    </w:p>
    <w:p>
      <w:pPr>
        <w:jc w:val="center"/>
        <w:ind w:right="-19"/>
        <w:spacing w:after="0"/>
        <w:rPr>
          <w:sz w:val="20"/>
          <w:szCs w:val="20"/>
          <w:color w:val="auto"/>
        </w:rPr>
      </w:pPr>
      <w:r>
        <w:rPr>
          <w:rFonts w:ascii="Arial" w:cs="Arial" w:eastAsia="Arial" w:hAnsi="Arial"/>
          <w:sz w:val="18"/>
          <w:szCs w:val="18"/>
          <w:b w:val="1"/>
          <w:bCs w:val="1"/>
          <w:color w:val="auto"/>
        </w:rPr>
        <w:t>Pursuant to Section 13 or 15(d)</w:t>
      </w:r>
    </w:p>
    <w:p>
      <w:pPr>
        <w:spacing w:after="0" w:line="4" w:lineRule="exact"/>
        <w:rPr>
          <w:sz w:val="24"/>
          <w:szCs w:val="24"/>
          <w:color w:val="auto"/>
        </w:rPr>
      </w:pPr>
    </w:p>
    <w:p>
      <w:pPr>
        <w:jc w:val="center"/>
        <w:ind w:right="-19"/>
        <w:spacing w:after="0"/>
        <w:rPr>
          <w:sz w:val="20"/>
          <w:szCs w:val="20"/>
          <w:color w:val="auto"/>
        </w:rPr>
      </w:pPr>
      <w:r>
        <w:rPr>
          <w:rFonts w:ascii="Arial" w:cs="Arial" w:eastAsia="Arial" w:hAnsi="Arial"/>
          <w:sz w:val="18"/>
          <w:szCs w:val="18"/>
          <w:b w:val="1"/>
          <w:bCs w:val="1"/>
          <w:color w:val="auto"/>
        </w:rPr>
        <w:t>of the Securities Exchange Act of 1934</w:t>
      </w:r>
    </w:p>
    <w:p>
      <w:pPr>
        <w:spacing w:after="0" w:line="118" w:lineRule="exact"/>
        <w:rPr>
          <w:sz w:val="24"/>
          <w:szCs w:val="24"/>
          <w:color w:val="auto"/>
        </w:rPr>
      </w:pPr>
    </w:p>
    <w:p>
      <w:pPr>
        <w:jc w:val="center"/>
        <w:ind w:right="-19"/>
        <w:spacing w:after="0"/>
        <w:rPr>
          <w:sz w:val="20"/>
          <w:szCs w:val="20"/>
          <w:color w:val="auto"/>
        </w:rPr>
      </w:pPr>
      <w:r>
        <w:rPr>
          <w:rFonts w:ascii="Arial" w:cs="Arial" w:eastAsia="Arial" w:hAnsi="Arial"/>
          <w:sz w:val="18"/>
          <w:szCs w:val="18"/>
          <w:b w:val="1"/>
          <w:bCs w:val="1"/>
          <w:color w:val="auto"/>
        </w:rPr>
        <w:t>Date of Report (Date of earliest event reported): November 8, 2018</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5715</wp:posOffset>
            </wp:positionH>
            <wp:positionV relativeFrom="paragraph">
              <wp:posOffset>242570</wp:posOffset>
            </wp:positionV>
            <wp:extent cx="7270750" cy="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70750" cy="69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60" w:lineRule="exact"/>
        <w:rPr>
          <w:sz w:val="24"/>
          <w:szCs w:val="24"/>
          <w:color w:val="auto"/>
        </w:rPr>
      </w:pPr>
    </w:p>
    <w:p>
      <w:pPr>
        <w:jc w:val="center"/>
        <w:ind w:right="-19"/>
        <w:spacing w:after="0"/>
        <w:rPr>
          <w:sz w:val="20"/>
          <w:szCs w:val="20"/>
          <w:color w:val="auto"/>
        </w:rPr>
      </w:pPr>
      <w:r>
        <w:rPr>
          <w:rFonts w:ascii="Arial" w:cs="Arial" w:eastAsia="Arial" w:hAnsi="Arial"/>
          <w:sz w:val="36"/>
          <w:szCs w:val="36"/>
          <w:b w:val="1"/>
          <w:bCs w:val="1"/>
          <w:color w:val="auto"/>
        </w:rPr>
        <w:t>Luna Innovations Incorporated</w:t>
      </w:r>
    </w:p>
    <w:p>
      <w:pPr>
        <w:spacing w:after="0" w:line="33" w:lineRule="exact"/>
        <w:rPr>
          <w:sz w:val="24"/>
          <w:szCs w:val="24"/>
          <w:color w:val="auto"/>
        </w:rPr>
      </w:pPr>
    </w:p>
    <w:p>
      <w:pPr>
        <w:jc w:val="center"/>
        <w:ind w:right="-19"/>
        <w:spacing w:after="0"/>
        <w:rPr>
          <w:sz w:val="20"/>
          <w:szCs w:val="20"/>
          <w:color w:val="auto"/>
        </w:rPr>
      </w:pPr>
      <w:r>
        <w:rPr>
          <w:rFonts w:ascii="Arial" w:cs="Arial" w:eastAsia="Arial" w:hAnsi="Arial"/>
          <w:sz w:val="15"/>
          <w:szCs w:val="15"/>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5715</wp:posOffset>
            </wp:positionH>
            <wp:positionV relativeFrom="paragraph">
              <wp:posOffset>234950</wp:posOffset>
            </wp:positionV>
            <wp:extent cx="7270750" cy="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70750" cy="69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01" w:lineRule="exact"/>
        <w:rPr>
          <w:sz w:val="24"/>
          <w:szCs w:val="24"/>
          <w:color w:val="auto"/>
        </w:rPr>
      </w:pPr>
    </w:p>
    <w:p>
      <w:pPr>
        <w:ind w:left="4860"/>
        <w:spacing w:after="0"/>
        <w:rPr>
          <w:sz w:val="20"/>
          <w:szCs w:val="20"/>
          <w:color w:val="auto"/>
        </w:rPr>
      </w:pPr>
      <w:r>
        <w:rPr>
          <w:rFonts w:ascii="Arial" w:cs="Arial" w:eastAsia="Arial" w:hAnsi="Arial"/>
          <w:sz w:val="15"/>
          <w:szCs w:val="15"/>
          <w:b w:val="1"/>
          <w:bCs w:val="1"/>
          <w:color w:val="auto"/>
        </w:rPr>
        <w:t>301 1st Street SW, Suite 200</w:t>
      </w:r>
    </w:p>
    <w:p>
      <w:pPr>
        <w:spacing w:after="0" w:line="19" w:lineRule="exact"/>
        <w:rPr>
          <w:sz w:val="24"/>
          <w:szCs w:val="24"/>
          <w:color w:val="auto"/>
        </w:rPr>
      </w:pPr>
    </w:p>
    <w:p>
      <w:pPr>
        <w:ind w:left="5120"/>
        <w:spacing w:after="0"/>
        <w:rPr>
          <w:sz w:val="20"/>
          <w:szCs w:val="20"/>
          <w:color w:val="auto"/>
        </w:rPr>
      </w:pPr>
      <w:r>
        <w:rPr>
          <w:rFonts w:ascii="Arial" w:cs="Arial" w:eastAsia="Arial" w:hAnsi="Arial"/>
          <w:sz w:val="15"/>
          <w:szCs w:val="15"/>
          <w:b w:val="1"/>
          <w:bCs w:val="1"/>
          <w:color w:val="auto"/>
        </w:rPr>
        <w:t>Roanoke, VA 24011</w:t>
      </w:r>
    </w:p>
    <w:p>
      <w:pPr>
        <w:jc w:val="center"/>
        <w:ind w:right="-19"/>
        <w:spacing w:after="0"/>
        <w:rPr>
          <w:sz w:val="20"/>
          <w:szCs w:val="20"/>
          <w:color w:val="auto"/>
        </w:rPr>
      </w:pPr>
      <w:r>
        <w:rPr>
          <w:rFonts w:ascii="Arial" w:cs="Arial" w:eastAsia="Arial" w:hAnsi="Arial"/>
          <w:sz w:val="12"/>
          <w:szCs w:val="12"/>
          <w:b w:val="1"/>
          <w:bCs w:val="1"/>
          <w:color w:val="auto"/>
        </w:rPr>
        <w:t>(Address of principal executive offices, including zip code)</w:t>
      </w:r>
    </w:p>
    <w:p>
      <w:pPr>
        <w:spacing w:after="0" w:line="119" w:lineRule="exact"/>
        <w:rPr>
          <w:sz w:val="24"/>
          <w:szCs w:val="24"/>
          <w:color w:val="auto"/>
        </w:rPr>
      </w:pPr>
    </w:p>
    <w:p>
      <w:pPr>
        <w:jc w:val="center"/>
        <w:ind w:right="-19"/>
        <w:spacing w:after="0"/>
        <w:rPr>
          <w:sz w:val="20"/>
          <w:szCs w:val="20"/>
          <w:color w:val="auto"/>
        </w:rPr>
      </w:pPr>
      <w:r>
        <w:rPr>
          <w:rFonts w:ascii="Arial" w:cs="Arial" w:eastAsia="Arial" w:hAnsi="Arial"/>
          <w:sz w:val="15"/>
          <w:szCs w:val="15"/>
          <w:b w:val="1"/>
          <w:bCs w:val="1"/>
          <w:color w:val="auto"/>
        </w:rPr>
        <w:t>540-769-8400</w:t>
      </w:r>
    </w:p>
    <w:p>
      <w:pPr>
        <w:spacing w:after="0" w:line="14" w:lineRule="exact"/>
        <w:rPr>
          <w:sz w:val="24"/>
          <w:szCs w:val="24"/>
          <w:color w:val="auto"/>
        </w:rPr>
      </w:pPr>
    </w:p>
    <w:p>
      <w:pPr>
        <w:jc w:val="center"/>
        <w:ind w:right="-19"/>
        <w:spacing w:after="0"/>
        <w:rPr>
          <w:sz w:val="20"/>
          <w:szCs w:val="20"/>
          <w:color w:val="auto"/>
        </w:rPr>
      </w:pPr>
      <w:r>
        <w:rPr>
          <w:rFonts w:ascii="Arial" w:cs="Arial" w:eastAsia="Arial" w:hAnsi="Arial"/>
          <w:sz w:val="12"/>
          <w:szCs w:val="12"/>
          <w:b w:val="1"/>
          <w:bCs w:val="1"/>
          <w:color w:val="auto"/>
        </w:rPr>
        <w:t>(Registrant’s telephone number, including area code)</w:t>
      </w:r>
    </w:p>
    <w:p>
      <w:pPr>
        <w:spacing w:after="0" w:line="116" w:lineRule="exact"/>
        <w:rPr>
          <w:sz w:val="24"/>
          <w:szCs w:val="24"/>
          <w:color w:val="auto"/>
        </w:rPr>
      </w:pPr>
    </w:p>
    <w:p>
      <w:pPr>
        <w:jc w:val="center"/>
        <w:ind w:right="-19"/>
        <w:spacing w:after="0"/>
        <w:rPr>
          <w:sz w:val="20"/>
          <w:szCs w:val="20"/>
          <w:color w:val="auto"/>
        </w:rPr>
      </w:pPr>
      <w:r>
        <w:rPr>
          <w:rFonts w:ascii="Arial" w:cs="Arial" w:eastAsia="Arial" w:hAnsi="Arial"/>
          <w:sz w:val="12"/>
          <w:szCs w:val="12"/>
          <w:b w:val="1"/>
          <w:bCs w:val="1"/>
          <w:color w:val="auto"/>
        </w:rPr>
        <w:t>(Former name or former address, if changed since last report)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5715</wp:posOffset>
            </wp:positionH>
            <wp:positionV relativeFrom="paragraph">
              <wp:posOffset>240665</wp:posOffset>
            </wp:positionV>
            <wp:extent cx="7270750" cy="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70750" cy="69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70" w:lineRule="exact"/>
        <w:rPr>
          <w:sz w:val="24"/>
          <w:szCs w:val="24"/>
          <w:color w:val="auto"/>
        </w:rPr>
      </w:pPr>
    </w:p>
    <w:p>
      <w:pPr>
        <w:ind w:right="60"/>
        <w:spacing w:after="0" w:line="268" w:lineRule="auto"/>
        <w:rPr>
          <w:sz w:val="20"/>
          <w:szCs w:val="20"/>
          <w:color w:val="auto"/>
        </w:rPr>
      </w:pPr>
      <w:r>
        <w:rPr>
          <w:rFonts w:ascii="Arial" w:cs="Arial" w:eastAsia="Arial" w:hAnsi="Arial"/>
          <w:sz w:val="15"/>
          <w:szCs w:val="15"/>
          <w:color w:val="auto"/>
        </w:rPr>
        <w:t>Check the appropriate box below if the Form 8-K filing is intended to simultaneously satisfy the filing obligation of the registrant under any of the following provisions (see General Instruction A.2. below):</w:t>
      </w:r>
    </w:p>
    <w:p>
      <w:pPr>
        <w:spacing w:after="0" w:line="103" w:lineRule="exact"/>
        <w:rPr>
          <w:sz w:val="24"/>
          <w:szCs w:val="24"/>
          <w:color w:val="auto"/>
        </w:rPr>
      </w:pPr>
    </w:p>
    <w:p>
      <w:pPr>
        <w:ind w:left="720" w:hanging="689"/>
        <w:spacing w:after="0"/>
        <w:tabs>
          <w:tab w:leader="none" w:pos="720"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Written communications pursuant to Rule 425 under the Securities Act (17 CFR 230.425)</w:t>
      </w:r>
    </w:p>
    <w:p>
      <w:pPr>
        <w:spacing w:after="0" w:line="160" w:lineRule="exact"/>
        <w:rPr>
          <w:rFonts w:ascii="MS PGothic" w:cs="MS PGothic" w:eastAsia="MS PGothic" w:hAnsi="MS PGothic"/>
          <w:sz w:val="15"/>
          <w:szCs w:val="15"/>
          <w:color w:val="auto"/>
        </w:rPr>
      </w:pPr>
    </w:p>
    <w:p>
      <w:pPr>
        <w:ind w:left="720" w:hanging="689"/>
        <w:spacing w:after="0"/>
        <w:tabs>
          <w:tab w:leader="none" w:pos="720"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Soliciting material pursuant to Rule 14a-12 under the Exchange Act (17 CFR 240.14a-12)</w:t>
      </w:r>
    </w:p>
    <w:p>
      <w:pPr>
        <w:spacing w:after="0" w:line="160" w:lineRule="exact"/>
        <w:rPr>
          <w:rFonts w:ascii="MS PGothic" w:cs="MS PGothic" w:eastAsia="MS PGothic" w:hAnsi="MS PGothic"/>
          <w:sz w:val="15"/>
          <w:szCs w:val="15"/>
          <w:color w:val="auto"/>
        </w:rPr>
      </w:pPr>
    </w:p>
    <w:p>
      <w:pPr>
        <w:ind w:left="720" w:hanging="689"/>
        <w:spacing w:after="0"/>
        <w:tabs>
          <w:tab w:leader="none" w:pos="720"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Pre-commencement communications pursuant to Rule 14d-2(b) under the Exchange Act (17 CFR 240.14d-2(b))</w:t>
      </w:r>
    </w:p>
    <w:p>
      <w:pPr>
        <w:spacing w:after="0" w:line="160" w:lineRule="exact"/>
        <w:rPr>
          <w:rFonts w:ascii="MS PGothic" w:cs="MS PGothic" w:eastAsia="MS PGothic" w:hAnsi="MS PGothic"/>
          <w:sz w:val="15"/>
          <w:szCs w:val="15"/>
          <w:color w:val="auto"/>
        </w:rPr>
      </w:pPr>
    </w:p>
    <w:p>
      <w:pPr>
        <w:ind w:left="720" w:hanging="689"/>
        <w:spacing w:after="0"/>
        <w:tabs>
          <w:tab w:leader="none" w:pos="720" w:val="left"/>
        </w:tabs>
        <w:numPr>
          <w:ilvl w:val="0"/>
          <w:numId w:val="1"/>
        </w:numPr>
        <w:rPr>
          <w:rFonts w:ascii="MS PGothic" w:cs="MS PGothic" w:eastAsia="MS PGothic" w:hAnsi="MS PGothic"/>
          <w:sz w:val="15"/>
          <w:szCs w:val="15"/>
          <w:color w:val="auto"/>
        </w:rPr>
      </w:pPr>
      <w:r>
        <w:rPr>
          <w:rFonts w:ascii="Arial" w:cs="Arial" w:eastAsia="Arial" w:hAnsi="Arial"/>
          <w:sz w:val="15"/>
          <w:szCs w:val="15"/>
          <w:color w:val="auto"/>
        </w:rPr>
        <w:t>Pre-commencement communications pursuant to Rule 13e-4(c) under the Exchange Act (17 CFR 240.13e-4(c))</w:t>
      </w:r>
    </w:p>
    <w:p>
      <w:pPr>
        <w:spacing w:after="0" w:line="205" w:lineRule="exact"/>
        <w:rPr>
          <w:sz w:val="24"/>
          <w:szCs w:val="24"/>
          <w:color w:val="auto"/>
        </w:rPr>
      </w:pPr>
    </w:p>
    <w:p>
      <w:pPr>
        <w:spacing w:after="0" w:line="183" w:lineRule="exact"/>
        <w:rPr>
          <w:sz w:val="20"/>
          <w:szCs w:val="20"/>
          <w:color w:val="auto"/>
        </w:rPr>
      </w:pPr>
      <w:r>
        <w:rPr>
          <w:rFonts w:ascii="Arial" w:cs="Arial" w:eastAsia="Arial" w:hAnsi="Arial"/>
          <w:sz w:val="15"/>
          <w:szCs w:val="15"/>
          <w:color w:val="auto"/>
        </w:rPr>
        <w:t>Indicate by check mark whether the registrant is an emerging growth Company as defined in Rule 405 of the Securities Act of 1933 (§230.405 of this chapter) or Rule 12b</w:t>
      </w:r>
      <w:r>
        <w:rPr>
          <w:rFonts w:ascii="MS PGothic" w:cs="MS PGothic" w:eastAsia="MS PGothic" w:hAnsi="MS PGothic"/>
          <w:sz w:val="15"/>
          <w:szCs w:val="15"/>
          <w:color w:val="auto"/>
        </w:rPr>
        <w:t>‑</w:t>
      </w:r>
      <w:r>
        <w:rPr>
          <w:rFonts w:ascii="Arial" w:cs="Arial" w:eastAsia="Arial" w:hAnsi="Arial"/>
          <w:sz w:val="15"/>
          <w:szCs w:val="15"/>
          <w:color w:val="auto"/>
        </w:rPr>
        <w:t>2 of the Securities Exchange Act of 1934 (§240.12b</w:t>
      </w:r>
      <w:r>
        <w:rPr>
          <w:rFonts w:ascii="MS PGothic" w:cs="MS PGothic" w:eastAsia="MS PGothic" w:hAnsi="MS PGothic"/>
          <w:sz w:val="15"/>
          <w:szCs w:val="15"/>
          <w:color w:val="auto"/>
        </w:rPr>
        <w:t>‑</w:t>
      </w:r>
      <w:r>
        <w:rPr>
          <w:rFonts w:ascii="Arial" w:cs="Arial" w:eastAsia="Arial" w:hAnsi="Arial"/>
          <w:sz w:val="15"/>
          <w:szCs w:val="15"/>
          <w:color w:val="auto"/>
        </w:rPr>
        <w:t>2 of this chapter).</w:t>
      </w:r>
    </w:p>
    <w:p>
      <w:pPr>
        <w:spacing w:after="0" w:line="140" w:lineRule="exact"/>
        <w:rPr>
          <w:sz w:val="24"/>
          <w:szCs w:val="24"/>
          <w:color w:val="auto"/>
        </w:rPr>
      </w:pPr>
    </w:p>
    <w:p>
      <w:pPr>
        <w:spacing w:after="0" w:line="173" w:lineRule="exact"/>
        <w:rPr>
          <w:sz w:val="20"/>
          <w:szCs w:val="20"/>
          <w:color w:val="auto"/>
        </w:rPr>
      </w:pPr>
      <w:r>
        <w:rPr>
          <w:rFonts w:ascii="Arial" w:cs="Arial" w:eastAsia="Arial" w:hAnsi="Arial"/>
          <w:sz w:val="15"/>
          <w:szCs w:val="15"/>
          <w:color w:val="auto"/>
        </w:rPr>
        <w:t xml:space="preserve">Emerging growth company </w:t>
      </w:r>
      <w:r>
        <w:rPr>
          <w:rFonts w:ascii="MS PGothic" w:cs="MS PGothic" w:eastAsia="MS PGothic" w:hAnsi="MS PGothic"/>
          <w:sz w:val="15"/>
          <w:szCs w:val="15"/>
          <w:color w:val="auto"/>
        </w:rPr>
        <w:t>☐</w:t>
      </w:r>
    </w:p>
    <w:p>
      <w:pPr>
        <w:spacing w:after="0" w:line="210" w:lineRule="exact"/>
        <w:rPr>
          <w:sz w:val="24"/>
          <w:szCs w:val="24"/>
          <w:color w:val="auto"/>
        </w:rPr>
      </w:pPr>
    </w:p>
    <w:p>
      <w:pPr>
        <w:ind w:right="500"/>
        <w:spacing w:after="0" w:line="191" w:lineRule="exact"/>
        <w:rPr>
          <w:sz w:val="20"/>
          <w:szCs w:val="20"/>
          <w:color w:val="auto"/>
        </w:rPr>
      </w:pPr>
      <w:r>
        <w:rPr>
          <w:rFonts w:ascii="Arial" w:cs="Arial" w:eastAsia="Arial" w:hAnsi="Arial"/>
          <w:sz w:val="15"/>
          <w:szCs w:val="15"/>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5"/>
          <w:szCs w:val="15"/>
          <w:color w:val="auto"/>
        </w:rPr>
        <w:t>☐</w:t>
      </w:r>
    </w:p>
    <w:p>
      <w:pPr>
        <w:sectPr>
          <w:pgSz w:w="11900" w:h="16838" w:orient="portrait"/>
          <w:cols w:equalWidth="0" w:num="1">
            <w:col w:w="11460"/>
          </w:cols>
          <w:pgMar w:left="220" w:top="893" w:right="219" w:bottom="1440" w:gutter="0" w:footer="0" w:header="0"/>
        </w:sectPr>
      </w:pPr>
    </w:p>
    <w:bookmarkStart w:id="1" w:name="page2"/>
    <w:bookmarkEnd w:id="1"/>
    <w:p>
      <w:pPr>
        <w:ind w:left="40"/>
        <w:spacing w:after="0"/>
        <w:tabs>
          <w:tab w:leader="none" w:pos="1380" w:val="left"/>
        </w:tabs>
        <w:rPr>
          <w:sz w:val="20"/>
          <w:szCs w:val="20"/>
          <w:color w:val="auto"/>
        </w:rPr>
      </w:pPr>
      <w:r>
        <w:rPr>
          <w:rFonts w:ascii="Arial" w:cs="Arial" w:eastAsia="Arial" w:hAnsi="Arial"/>
          <w:sz w:val="15"/>
          <w:szCs w:val="15"/>
          <w:b w:val="1"/>
          <w:bCs w:val="1"/>
          <w:color w:val="auto"/>
        </w:rPr>
        <w:t>Item 2.02.</w:t>
      </w:r>
      <w:r>
        <w:rPr>
          <w:sz w:val="20"/>
          <w:szCs w:val="20"/>
          <w:color w:val="auto"/>
        </w:rPr>
        <w:tab/>
      </w:r>
      <w:r>
        <w:rPr>
          <w:rFonts w:ascii="Arial" w:cs="Arial" w:eastAsia="Arial" w:hAnsi="Arial"/>
          <w:sz w:val="13"/>
          <w:szCs w:val="13"/>
          <w:b w:val="1"/>
          <w:bCs w:val="1"/>
          <w:color w:val="auto"/>
        </w:rPr>
        <w:t>Results of Operations and Financial Condition</w:t>
      </w:r>
    </w:p>
    <w:p>
      <w:pPr>
        <w:spacing w:after="0" w:line="209" w:lineRule="exact"/>
        <w:rPr>
          <w:sz w:val="20"/>
          <w:szCs w:val="20"/>
          <w:color w:val="auto"/>
        </w:rPr>
      </w:pPr>
    </w:p>
    <w:p>
      <w:pPr>
        <w:spacing w:after="0" w:line="257" w:lineRule="auto"/>
        <w:rPr>
          <w:sz w:val="20"/>
          <w:szCs w:val="20"/>
          <w:color w:val="auto"/>
        </w:rPr>
      </w:pPr>
      <w:r>
        <w:rPr>
          <w:rFonts w:ascii="Arial" w:cs="Arial" w:eastAsia="Arial" w:hAnsi="Arial"/>
          <w:sz w:val="15"/>
          <w:szCs w:val="15"/>
          <w:color w:val="auto"/>
        </w:rPr>
        <w:t>On November 8, 2018, Luna Innovations Incorporated (the “Company”) issued a press release announcing its financial results for the quarter and nine months ended September 30, 2018, as well as information regarding a conference call to discuss these financial results. A copy of the press release is furnished as Exhibit 99.1 to this Current Report on Form 8-K and is incorporated herein by reference.</w:t>
      </w:r>
    </w:p>
    <w:p>
      <w:pPr>
        <w:spacing w:after="0" w:line="156" w:lineRule="exact"/>
        <w:rPr>
          <w:sz w:val="20"/>
          <w:szCs w:val="20"/>
          <w:color w:val="auto"/>
        </w:rPr>
      </w:pPr>
    </w:p>
    <w:p>
      <w:pPr>
        <w:ind w:right="160"/>
        <w:spacing w:after="0" w:line="268" w:lineRule="auto"/>
        <w:rPr>
          <w:sz w:val="20"/>
          <w:szCs w:val="20"/>
          <w:color w:val="auto"/>
        </w:rPr>
      </w:pPr>
      <w:r>
        <w:rPr>
          <w:rFonts w:ascii="Arial" w:cs="Arial" w:eastAsia="Arial" w:hAnsi="Arial"/>
          <w:sz w:val="15"/>
          <w:szCs w:val="15"/>
          <w:color w:val="auto"/>
        </w:rPr>
        <w:t>Also on November 8, 2018, the Company is posting an updated slide presentation on its corporate website and will be using the presentation in connection with the conference call discussed above. A copy of the presentation is furnished herewith as Exhibit 99.2 to this Current Report on Form 8-K.</w:t>
      </w:r>
    </w:p>
    <w:p>
      <w:pPr>
        <w:spacing w:after="0" w:line="103" w:lineRule="exact"/>
        <w:rPr>
          <w:sz w:val="20"/>
          <w:szCs w:val="20"/>
          <w:color w:val="auto"/>
        </w:rPr>
      </w:pPr>
    </w:p>
    <w:p>
      <w:pPr>
        <w:ind w:right="100"/>
        <w:spacing w:after="0" w:line="257" w:lineRule="auto"/>
        <w:rPr>
          <w:sz w:val="20"/>
          <w:szCs w:val="20"/>
          <w:color w:val="auto"/>
        </w:rPr>
      </w:pPr>
      <w:r>
        <w:rPr>
          <w:rFonts w:ascii="Arial" w:cs="Arial" w:eastAsia="Arial" w:hAnsi="Arial"/>
          <w:sz w:val="15"/>
          <w:szCs w:val="15"/>
          <w:color w:val="auto"/>
        </w:rPr>
        <w:t>The information in this Current Report on Form 8-K and Exhibit 99.1 attached hereto is being furnished and shall not be deemed “filed” for purposes of Section 18 of the Securities Exchange Act of 1934, as amended (the “Exchange Act”) or otherwise subject to the liabilities of that section, nor shall it be deemed incorporated by reference in any filing under the Securities Act of 1933, as amended (the "Securities Act"), or the Exchange Act, regardless of any general incorporation language in such filing.</w:t>
      </w:r>
    </w:p>
    <w:p>
      <w:pPr>
        <w:spacing w:after="0" w:line="219" w:lineRule="exact"/>
        <w:rPr>
          <w:sz w:val="20"/>
          <w:szCs w:val="20"/>
          <w:color w:val="auto"/>
        </w:rPr>
      </w:pPr>
    </w:p>
    <w:p>
      <w:pPr>
        <w:spacing w:after="0"/>
        <w:tabs>
          <w:tab w:leader="none" w:pos="760" w:val="left"/>
        </w:tabs>
        <w:rPr>
          <w:sz w:val="20"/>
          <w:szCs w:val="20"/>
          <w:color w:val="auto"/>
        </w:rPr>
      </w:pPr>
      <w:r>
        <w:rPr>
          <w:rFonts w:ascii="Arial" w:cs="Arial" w:eastAsia="Arial" w:hAnsi="Arial"/>
          <w:sz w:val="15"/>
          <w:szCs w:val="15"/>
          <w:b w:val="1"/>
          <w:bCs w:val="1"/>
          <w:color w:val="auto"/>
        </w:rPr>
        <w:t>Item 7.01</w:t>
      </w:r>
      <w:r>
        <w:rPr>
          <w:sz w:val="20"/>
          <w:szCs w:val="20"/>
          <w:color w:val="auto"/>
        </w:rPr>
        <w:tab/>
      </w:r>
      <w:r>
        <w:rPr>
          <w:rFonts w:ascii="Arial" w:cs="Arial" w:eastAsia="Arial" w:hAnsi="Arial"/>
          <w:sz w:val="13"/>
          <w:szCs w:val="13"/>
          <w:b w:val="1"/>
          <w:bCs w:val="1"/>
          <w:color w:val="auto"/>
        </w:rPr>
        <w:t>Regulation FD Disclosure</w:t>
      </w:r>
    </w:p>
    <w:p>
      <w:pPr>
        <w:spacing w:after="0" w:line="187" w:lineRule="exact"/>
        <w:rPr>
          <w:sz w:val="20"/>
          <w:szCs w:val="20"/>
          <w:color w:val="auto"/>
        </w:rPr>
      </w:pPr>
    </w:p>
    <w:p>
      <w:pPr>
        <w:spacing w:after="0"/>
        <w:rPr>
          <w:sz w:val="20"/>
          <w:szCs w:val="20"/>
          <w:color w:val="auto"/>
        </w:rPr>
      </w:pPr>
      <w:r>
        <w:rPr>
          <w:rFonts w:ascii="Arial" w:cs="Arial" w:eastAsia="Arial" w:hAnsi="Arial"/>
          <w:sz w:val="13"/>
          <w:szCs w:val="13"/>
          <w:color w:val="auto"/>
        </w:rPr>
        <w:t>On November 8, 2018, the Company is posting an updated slide presentation on its corporate website and will be using the presentation in connection with the conference call discussed above.</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A copy of the presentation is furnished herewith as Exhibit 99.2 to this Current Report on Form 8-K.</w:t>
      </w:r>
    </w:p>
    <w:p>
      <w:pPr>
        <w:spacing w:after="0" w:line="172" w:lineRule="exact"/>
        <w:rPr>
          <w:sz w:val="20"/>
          <w:szCs w:val="20"/>
          <w:color w:val="auto"/>
        </w:rPr>
      </w:pPr>
    </w:p>
    <w:p>
      <w:pPr>
        <w:ind w:right="60"/>
        <w:spacing w:after="0" w:line="304" w:lineRule="auto"/>
        <w:rPr>
          <w:sz w:val="20"/>
          <w:szCs w:val="20"/>
          <w:color w:val="auto"/>
        </w:rPr>
      </w:pPr>
      <w:r>
        <w:rPr>
          <w:rFonts w:ascii="Arial" w:cs="Arial" w:eastAsia="Arial" w:hAnsi="Arial"/>
          <w:sz w:val="14"/>
          <w:szCs w:val="14"/>
          <w:color w:val="auto"/>
        </w:rPr>
        <w:t>In accordance with general instruction B.2 to Form 8-K, the information in this Item 7.01, including Exhibit 99.2, shall not be deemed to be “filed” for purposes of Section 18 of the Exchange Act, or otherwise subject to the liabilities of that section, nor shall it be deemed incorporated by reference in any filing under the Securities Act or Exchange Act.</w:t>
      </w:r>
    </w:p>
    <w:p>
      <w:pPr>
        <w:spacing w:after="0" w:line="320" w:lineRule="exact"/>
        <w:rPr>
          <w:sz w:val="20"/>
          <w:szCs w:val="20"/>
          <w:color w:val="auto"/>
        </w:rPr>
      </w:pPr>
    </w:p>
    <w:p>
      <w:pPr>
        <w:ind w:left="40"/>
        <w:spacing w:after="0"/>
        <w:tabs>
          <w:tab w:leader="none" w:pos="1380" w:val="left"/>
        </w:tabs>
        <w:rPr>
          <w:sz w:val="20"/>
          <w:szCs w:val="20"/>
          <w:color w:val="auto"/>
        </w:rPr>
      </w:pPr>
      <w:r>
        <w:rPr>
          <w:rFonts w:ascii="Arial" w:cs="Arial" w:eastAsia="Arial" w:hAnsi="Arial"/>
          <w:sz w:val="15"/>
          <w:szCs w:val="15"/>
          <w:b w:val="1"/>
          <w:bCs w:val="1"/>
          <w:color w:val="auto"/>
        </w:rPr>
        <w:t>Item 9.01.</w:t>
      </w:r>
      <w:r>
        <w:rPr>
          <w:sz w:val="20"/>
          <w:szCs w:val="20"/>
          <w:color w:val="auto"/>
        </w:rPr>
        <w:tab/>
      </w:r>
      <w:r>
        <w:rPr>
          <w:rFonts w:ascii="Arial" w:cs="Arial" w:eastAsia="Arial" w:hAnsi="Arial"/>
          <w:sz w:val="13"/>
          <w:szCs w:val="13"/>
          <w:b w:val="1"/>
          <w:bCs w:val="1"/>
          <w:color w:val="auto"/>
        </w:rPr>
        <w:t>Financial Statements and Exhibits</w:t>
      </w:r>
    </w:p>
    <w:p>
      <w:pPr>
        <w:spacing w:after="0" w:line="209" w:lineRule="exact"/>
        <w:rPr>
          <w:sz w:val="20"/>
          <w:szCs w:val="20"/>
          <w:color w:val="auto"/>
        </w:rPr>
      </w:pPr>
    </w:p>
    <w:p>
      <w:pPr>
        <w:ind w:left="180"/>
        <w:spacing w:after="0"/>
        <w:rPr>
          <w:sz w:val="20"/>
          <w:szCs w:val="20"/>
          <w:color w:val="auto"/>
        </w:rPr>
      </w:pPr>
      <w:r>
        <w:rPr>
          <w:rFonts w:ascii="Arial" w:cs="Arial" w:eastAsia="Arial" w:hAnsi="Arial"/>
          <w:sz w:val="15"/>
          <w:szCs w:val="15"/>
          <w:color w:val="auto"/>
        </w:rPr>
        <w:t>(d) Exhibits.</w:t>
      </w:r>
    </w:p>
    <w:p>
      <w:pPr>
        <w:spacing w:after="0" w:line="131" w:lineRule="exact"/>
        <w:rPr>
          <w:sz w:val="20"/>
          <w:szCs w:val="20"/>
          <w:color w:val="auto"/>
        </w:rPr>
      </w:pPr>
    </w:p>
    <w:p>
      <w:pPr>
        <w:ind w:left="740"/>
        <w:spacing w:after="0"/>
        <w:tabs>
          <w:tab w:leader="none" w:pos="2540" w:val="left"/>
        </w:tabs>
        <w:rPr>
          <w:sz w:val="20"/>
          <w:szCs w:val="20"/>
          <w:color w:val="auto"/>
        </w:rPr>
      </w:pPr>
      <w:r>
        <w:rPr>
          <w:rFonts w:ascii="Arial" w:cs="Arial" w:eastAsia="Arial" w:hAnsi="Arial"/>
          <w:sz w:val="12"/>
          <w:szCs w:val="12"/>
          <w:b w:val="1"/>
          <w:bCs w:val="1"/>
          <w:color w:val="auto"/>
        </w:rPr>
        <w:t>Exhibit</w:t>
      </w:r>
      <w:r>
        <w:rPr>
          <w:sz w:val="20"/>
          <w:szCs w:val="20"/>
          <w:color w:val="auto"/>
        </w:rPr>
        <w:tab/>
      </w:r>
      <w:r>
        <w:rPr>
          <w:rFonts w:ascii="Arial" w:cs="Arial" w:eastAsia="Arial" w:hAnsi="Arial"/>
          <w:sz w:val="12"/>
          <w:szCs w:val="12"/>
          <w:b w:val="1"/>
          <w:bCs w:val="1"/>
          <w:color w:val="auto"/>
        </w:rPr>
        <w:t>Description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15240</wp:posOffset>
            </wp:positionV>
            <wp:extent cx="7270750" cy="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70750" cy="13970"/>
                    </a:xfrm>
                    <a:prstGeom prst="rect">
                      <a:avLst/>
                    </a:prstGeom>
                    <a:noFill/>
                  </pic:spPr>
                </pic:pic>
              </a:graphicData>
            </a:graphic>
          </wp:anchor>
        </w:drawing>
      </w:r>
    </w:p>
    <w:p>
      <w:pPr>
        <w:spacing w:after="0" w:line="286" w:lineRule="exact"/>
        <w:rPr>
          <w:sz w:val="20"/>
          <w:szCs w:val="20"/>
          <w:color w:val="auto"/>
        </w:rPr>
      </w:pPr>
    </w:p>
    <w:tbl>
      <w:tblPr>
        <w:tblLayout w:type="fixed"/>
        <w:tblInd w:w="40" w:type="dxa"/>
        <w:tblCellMar>
          <w:top w:w="0" w:type="dxa"/>
          <w:left w:w="0" w:type="dxa"/>
          <w:bottom w:w="0" w:type="dxa"/>
          <w:right w:w="0" w:type="dxa"/>
        </w:tblCellMar>
      </w:tblPr>
      <w:tr>
        <w:trPr>
          <w:trHeight w:val="172"/>
        </w:trPr>
        <w:tc>
          <w:tcPr>
            <w:tcW w:w="2520" w:type="dxa"/>
            <w:vAlign w:val="bottom"/>
          </w:tcPr>
          <w:p>
            <w:pPr>
              <w:jc w:val="right"/>
              <w:ind w:right="2206"/>
              <w:spacing w:after="0"/>
              <w:rPr>
                <w:sz w:val="20"/>
                <w:szCs w:val="20"/>
                <w:color w:val="auto"/>
              </w:rPr>
            </w:pPr>
            <w:r>
              <w:rPr>
                <w:rFonts w:ascii="Arial" w:cs="Arial" w:eastAsia="Arial" w:hAnsi="Arial"/>
                <w:sz w:val="15"/>
                <w:szCs w:val="15"/>
                <w:color w:val="auto"/>
                <w:w w:val="75"/>
              </w:rPr>
              <w:t>99.1</w:t>
            </w:r>
          </w:p>
        </w:tc>
        <w:tc>
          <w:tcPr>
            <w:tcW w:w="4480" w:type="dxa"/>
            <w:vAlign w:val="bottom"/>
            <w:tcBorders>
              <w:bottom w:val="single" w:sz="8" w:color="0000FF"/>
            </w:tcBorders>
            <w:gridSpan w:val="2"/>
          </w:tcPr>
          <w:p>
            <w:pPr>
              <w:spacing w:after="0"/>
              <w:rPr>
                <w:rFonts w:ascii="Arial" w:cs="Arial" w:eastAsia="Arial" w:hAnsi="Arial"/>
                <w:sz w:val="15"/>
                <w:szCs w:val="15"/>
                <w:color w:val="0000FF"/>
                <w:w w:val="88"/>
              </w:rPr>
            </w:pPr>
            <w:hyperlink w:anchor="page4">
              <w:r>
                <w:rPr>
                  <w:rFonts w:ascii="Arial" w:cs="Arial" w:eastAsia="Arial" w:hAnsi="Arial"/>
                  <w:sz w:val="15"/>
                  <w:szCs w:val="15"/>
                  <w:color w:val="0000FF"/>
                  <w:w w:val="88"/>
                </w:rPr>
                <w:t>Press Release, dated November 8, 2018, by Luna Innovations Incorporated.</w:t>
              </w:r>
            </w:hyperlink>
          </w:p>
        </w:tc>
      </w:tr>
      <w:tr>
        <w:trPr>
          <w:trHeight w:val="202"/>
        </w:trPr>
        <w:tc>
          <w:tcPr>
            <w:tcW w:w="2520" w:type="dxa"/>
            <w:vAlign w:val="bottom"/>
          </w:tcPr>
          <w:p>
            <w:pPr>
              <w:jc w:val="right"/>
              <w:ind w:right="2206"/>
              <w:spacing w:after="0"/>
              <w:rPr>
                <w:sz w:val="20"/>
                <w:szCs w:val="20"/>
                <w:color w:val="auto"/>
              </w:rPr>
            </w:pPr>
            <w:r>
              <w:rPr>
                <w:rFonts w:ascii="Arial" w:cs="Arial" w:eastAsia="Arial" w:hAnsi="Arial"/>
                <w:sz w:val="15"/>
                <w:szCs w:val="15"/>
                <w:color w:val="auto"/>
                <w:w w:val="75"/>
              </w:rPr>
              <w:t>99.2</w:t>
            </w:r>
          </w:p>
        </w:tc>
        <w:tc>
          <w:tcPr>
            <w:tcW w:w="4480" w:type="dxa"/>
            <w:vAlign w:val="bottom"/>
            <w:gridSpan w:val="2"/>
          </w:tcPr>
          <w:p>
            <w:pPr>
              <w:spacing w:after="0"/>
              <w:rPr>
                <w:rFonts w:ascii="Arial" w:cs="Arial" w:eastAsia="Arial" w:hAnsi="Arial"/>
                <w:sz w:val="15"/>
                <w:szCs w:val="15"/>
                <w:color w:val="0000FF"/>
              </w:rPr>
            </w:pPr>
            <w:hyperlink w:anchor="page13">
              <w:r>
                <w:rPr>
                  <w:rFonts w:ascii="Arial" w:cs="Arial" w:eastAsia="Arial" w:hAnsi="Arial"/>
                  <w:sz w:val="15"/>
                  <w:szCs w:val="15"/>
                  <w:color w:val="0000FF"/>
                </w:rPr>
                <w:t>Company Presentation.</w:t>
              </w:r>
            </w:hyperlink>
          </w:p>
        </w:tc>
      </w:tr>
      <w:tr>
        <w:trPr>
          <w:trHeight w:val="20"/>
        </w:trPr>
        <w:tc>
          <w:tcPr>
            <w:tcW w:w="2520" w:type="dxa"/>
            <w:vAlign w:val="bottom"/>
          </w:tcPr>
          <w:p>
            <w:pPr>
              <w:spacing w:after="0" w:line="20" w:lineRule="exact"/>
              <w:rPr>
                <w:sz w:val="1"/>
                <w:szCs w:val="1"/>
                <w:color w:val="auto"/>
              </w:rPr>
            </w:pPr>
          </w:p>
        </w:tc>
        <w:tc>
          <w:tcPr>
            <w:tcW w:w="1380" w:type="dxa"/>
            <w:vAlign w:val="bottom"/>
            <w:shd w:val="clear" w:color="auto" w:fill="0000FF"/>
          </w:tcPr>
          <w:p>
            <w:pPr>
              <w:spacing w:after="0" w:line="20" w:lineRule="exact"/>
              <w:rPr>
                <w:sz w:val="1"/>
                <w:szCs w:val="1"/>
                <w:color w:val="auto"/>
              </w:rPr>
            </w:pPr>
          </w:p>
        </w:tc>
        <w:tc>
          <w:tcPr>
            <w:tcW w:w="3100" w:type="dxa"/>
            <w:vAlign w:val="bottom"/>
          </w:tcPr>
          <w:p>
            <w:pPr>
              <w:spacing w:after="0" w:line="20" w:lineRule="exact"/>
              <w:rPr>
                <w:sz w:val="1"/>
                <w:szCs w:val="1"/>
                <w:color w:val="auto"/>
              </w:rPr>
            </w:pPr>
          </w:p>
        </w:tc>
      </w:tr>
    </w:tbl>
    <w:p>
      <w:pPr>
        <w:sectPr>
          <w:pgSz w:w="11900" w:h="16838" w:orient="portrait"/>
          <w:cols w:equalWidth="0" w:num="1">
            <w:col w:w="11380"/>
          </w:cols>
          <w:pgMar w:left="220" w:top="635" w:right="299" w:bottom="1440" w:gutter="0" w:footer="0" w:header="0"/>
        </w:sectPr>
      </w:pPr>
    </w:p>
    <w:bookmarkStart w:id="2" w:name="page3"/>
    <w:bookmarkEnd w:id="2"/>
    <w:p>
      <w:pPr>
        <w:ind w:left="5260"/>
        <w:spacing w:after="0"/>
        <w:rPr>
          <w:sz w:val="20"/>
          <w:szCs w:val="20"/>
          <w:color w:val="auto"/>
        </w:rPr>
      </w:pPr>
      <w:r>
        <w:rPr>
          <w:rFonts w:ascii="Arial" w:cs="Arial" w:eastAsia="Arial" w:hAnsi="Arial"/>
          <w:sz w:val="15"/>
          <w:szCs w:val="15"/>
          <w:b w:val="1"/>
          <w:bCs w:val="1"/>
          <w:color w:val="auto"/>
        </w:rPr>
        <w:t>SIGNATURES</w:t>
      </w:r>
    </w:p>
    <w:p>
      <w:pPr>
        <w:spacing w:after="0" w:line="142" w:lineRule="exact"/>
        <w:rPr>
          <w:sz w:val="20"/>
          <w:szCs w:val="20"/>
          <w:color w:val="auto"/>
        </w:rPr>
      </w:pPr>
    </w:p>
    <w:p>
      <w:pPr>
        <w:spacing w:after="0"/>
        <w:rPr>
          <w:sz w:val="20"/>
          <w:szCs w:val="20"/>
          <w:color w:val="auto"/>
        </w:rPr>
      </w:pPr>
      <w:r>
        <w:rPr>
          <w:rFonts w:ascii="Arial" w:cs="Arial" w:eastAsia="Arial" w:hAnsi="Arial"/>
          <w:sz w:val="13"/>
          <w:szCs w:val="13"/>
          <w:color w:val="auto"/>
        </w:rPr>
        <w:t>Pursuant to the requirements of the Securities Exchange Act of 1934, the registrant has duly caused this report to be signed on its behalf by the undersigned hereunto duly authorized.</w:t>
      </w:r>
    </w:p>
    <w:p>
      <w:pPr>
        <w:spacing w:after="0" w:line="313" w:lineRule="exact"/>
        <w:rPr>
          <w:sz w:val="20"/>
          <w:szCs w:val="20"/>
          <w:color w:val="auto"/>
        </w:rPr>
      </w:pPr>
    </w:p>
    <w:p>
      <w:pPr>
        <w:ind w:left="140"/>
        <w:spacing w:after="0"/>
        <w:rPr>
          <w:sz w:val="20"/>
          <w:szCs w:val="20"/>
          <w:color w:val="auto"/>
        </w:rPr>
      </w:pPr>
      <w:r>
        <w:rPr>
          <w:rFonts w:ascii="Arial" w:cs="Arial" w:eastAsia="Arial" w:hAnsi="Arial"/>
          <w:sz w:val="15"/>
          <w:szCs w:val="15"/>
          <w:b w:val="1"/>
          <w:bCs w:val="1"/>
          <w:color w:val="auto"/>
        </w:rPr>
        <w:t>Luna Innovations Incorporated</w:t>
      </w:r>
    </w:p>
    <w:p>
      <w:pPr>
        <w:spacing w:after="0" w:line="320" w:lineRule="exact"/>
        <w:rPr>
          <w:sz w:val="20"/>
          <w:szCs w:val="20"/>
          <w:color w:val="auto"/>
        </w:rPr>
      </w:pPr>
    </w:p>
    <w:p>
      <w:pPr>
        <w:ind w:left="40"/>
        <w:spacing w:after="0"/>
        <w:tabs>
          <w:tab w:leader="none" w:pos="860" w:val="left"/>
        </w:tabs>
        <w:rPr>
          <w:sz w:val="20"/>
          <w:szCs w:val="20"/>
          <w:color w:val="auto"/>
        </w:rPr>
      </w:pPr>
      <w:r>
        <w:rPr>
          <w:rFonts w:ascii="Arial" w:cs="Arial" w:eastAsia="Arial" w:hAnsi="Arial"/>
          <w:sz w:val="15"/>
          <w:szCs w:val="15"/>
          <w:color w:val="auto"/>
        </w:rPr>
        <w:t>By:</w:t>
      </w:r>
      <w:r>
        <w:rPr>
          <w:sz w:val="20"/>
          <w:szCs w:val="20"/>
          <w:color w:val="auto"/>
        </w:rPr>
        <w:tab/>
      </w:r>
      <w:r>
        <w:rPr>
          <w:rFonts w:ascii="Arial" w:cs="Arial" w:eastAsia="Arial" w:hAnsi="Arial"/>
          <w:sz w:val="15"/>
          <w:szCs w:val="15"/>
          <w:color w:val="auto"/>
        </w:rPr>
        <w:t>/s/ Scott A. Graeff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541020</wp:posOffset>
            </wp:positionH>
            <wp:positionV relativeFrom="paragraph">
              <wp:posOffset>24130</wp:posOffset>
            </wp:positionV>
            <wp:extent cx="2444750" cy="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2444750" cy="6985"/>
                    </a:xfrm>
                    <a:prstGeom prst="rect">
                      <a:avLst/>
                    </a:prstGeom>
                    <a:noFill/>
                  </pic:spPr>
                </pic:pic>
              </a:graphicData>
            </a:graphic>
          </wp:anchor>
        </w:drawing>
      </w:r>
    </w:p>
    <w:p>
      <w:pPr>
        <w:spacing w:after="0" w:line="41" w:lineRule="exact"/>
        <w:rPr>
          <w:sz w:val="20"/>
          <w:szCs w:val="20"/>
          <w:color w:val="auto"/>
        </w:rPr>
      </w:pPr>
    </w:p>
    <w:p>
      <w:pPr>
        <w:ind w:left="880"/>
        <w:spacing w:after="0"/>
        <w:rPr>
          <w:sz w:val="20"/>
          <w:szCs w:val="20"/>
          <w:color w:val="auto"/>
        </w:rPr>
      </w:pPr>
      <w:r>
        <w:rPr>
          <w:rFonts w:ascii="Arial" w:cs="Arial" w:eastAsia="Arial" w:hAnsi="Arial"/>
          <w:sz w:val="15"/>
          <w:szCs w:val="15"/>
          <w:color w:val="auto"/>
        </w:rPr>
        <w:t>Scott A. Graeff</w:t>
      </w:r>
    </w:p>
    <w:p>
      <w:pPr>
        <w:spacing w:after="0" w:line="15" w:lineRule="exact"/>
        <w:rPr>
          <w:sz w:val="20"/>
          <w:szCs w:val="20"/>
          <w:color w:val="auto"/>
        </w:rPr>
      </w:pPr>
    </w:p>
    <w:p>
      <w:pPr>
        <w:ind w:left="880"/>
        <w:spacing w:after="0"/>
        <w:rPr>
          <w:sz w:val="20"/>
          <w:szCs w:val="20"/>
          <w:color w:val="auto"/>
        </w:rPr>
      </w:pPr>
      <w:r>
        <w:rPr>
          <w:rFonts w:ascii="Arial" w:cs="Arial" w:eastAsia="Arial" w:hAnsi="Arial"/>
          <w:sz w:val="15"/>
          <w:szCs w:val="15"/>
          <w:color w:val="auto"/>
        </w:rPr>
        <w:t>President and Chief Executive Officer</w:t>
      </w:r>
    </w:p>
    <w:p>
      <w:pPr>
        <w:spacing w:after="0" w:line="150" w:lineRule="exact"/>
        <w:rPr>
          <w:sz w:val="20"/>
          <w:szCs w:val="20"/>
          <w:color w:val="auto"/>
        </w:rPr>
      </w:pPr>
    </w:p>
    <w:p>
      <w:pPr>
        <w:spacing w:after="0"/>
        <w:rPr>
          <w:sz w:val="20"/>
          <w:szCs w:val="20"/>
          <w:color w:val="auto"/>
        </w:rPr>
      </w:pPr>
      <w:r>
        <w:rPr>
          <w:rFonts w:ascii="Arial" w:cs="Arial" w:eastAsia="Arial" w:hAnsi="Arial"/>
          <w:sz w:val="15"/>
          <w:szCs w:val="15"/>
          <w:color w:val="auto"/>
        </w:rPr>
        <w:t>Date: November 8, 2018</w:t>
      </w:r>
    </w:p>
    <w:p>
      <w:pPr>
        <w:sectPr>
          <w:pgSz w:w="11900" w:h="16838" w:orient="portrait"/>
          <w:cols w:equalWidth="0" w:num="1">
            <w:col w:w="10760"/>
          </w:cols>
          <w:pgMar w:left="220" w:top="502" w:right="919" w:bottom="1440" w:gutter="0" w:footer="0" w:header="0"/>
        </w:sectPr>
      </w:pPr>
    </w:p>
    <w:bookmarkStart w:id="3" w:name="page4"/>
    <w:bookmarkEnd w:id="3"/>
    <w:p>
      <w:pPr>
        <w:jc w:val="right"/>
        <w:spacing w:after="0"/>
        <w:rPr>
          <w:sz w:val="20"/>
          <w:szCs w:val="20"/>
          <w:color w:val="auto"/>
        </w:rPr>
      </w:pPr>
      <w:r>
        <w:rPr>
          <w:rFonts w:ascii="Arial" w:cs="Arial" w:eastAsia="Arial" w:hAnsi="Arial"/>
          <w:sz w:val="15"/>
          <w:szCs w:val="15"/>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1950085</wp:posOffset>
            </wp:positionH>
            <wp:positionV relativeFrom="paragraph">
              <wp:posOffset>12700</wp:posOffset>
            </wp:positionV>
            <wp:extent cx="3361055" cy="5073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3361055" cy="507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27"/>
          <w:szCs w:val="27"/>
          <w:b w:val="1"/>
          <w:bCs w:val="1"/>
          <w:color w:val="auto"/>
        </w:rPr>
        <w:t>Luna Innovations Reports Strong Third-Quarter 2018 Results</w:t>
      </w:r>
    </w:p>
    <w:p>
      <w:pPr>
        <w:spacing w:after="0" w:line="186" w:lineRule="exact"/>
        <w:rPr>
          <w:sz w:val="20"/>
          <w:szCs w:val="20"/>
          <w:color w:val="auto"/>
        </w:rPr>
      </w:pPr>
    </w:p>
    <w:p>
      <w:pPr>
        <w:ind w:left="900" w:hanging="259"/>
        <w:spacing w:after="0"/>
        <w:tabs>
          <w:tab w:leader="none" w:pos="900" w:val="left"/>
        </w:tabs>
        <w:numPr>
          <w:ilvl w:val="0"/>
          <w:numId w:val="2"/>
        </w:numPr>
        <w:rPr>
          <w:rFonts w:ascii="Arial" w:cs="Arial" w:eastAsia="Arial" w:hAnsi="Arial"/>
          <w:sz w:val="15"/>
          <w:szCs w:val="15"/>
          <w:color w:val="auto"/>
        </w:rPr>
      </w:pPr>
      <w:r>
        <w:rPr>
          <w:rFonts w:ascii="Arial" w:cs="Arial" w:eastAsia="Arial" w:hAnsi="Arial"/>
          <w:sz w:val="16"/>
          <w:szCs w:val="16"/>
          <w:b w:val="1"/>
          <w:bCs w:val="1"/>
          <w:i w:val="1"/>
          <w:iCs w:val="1"/>
          <w:color w:val="auto"/>
        </w:rPr>
        <w:t>Fourth consecutive quarter of year-over-year, double-digit revenue growth</w:t>
      </w:r>
    </w:p>
    <w:p>
      <w:pPr>
        <w:spacing w:after="0" w:line="193" w:lineRule="exact"/>
        <w:rPr>
          <w:rFonts w:ascii="Arial" w:cs="Arial" w:eastAsia="Arial" w:hAnsi="Arial"/>
          <w:sz w:val="15"/>
          <w:szCs w:val="15"/>
          <w:color w:val="auto"/>
        </w:rPr>
      </w:pPr>
    </w:p>
    <w:p>
      <w:pPr>
        <w:ind w:left="900" w:hanging="259"/>
        <w:spacing w:after="0"/>
        <w:tabs>
          <w:tab w:leader="none" w:pos="900" w:val="left"/>
        </w:tabs>
        <w:numPr>
          <w:ilvl w:val="0"/>
          <w:numId w:val="2"/>
        </w:numPr>
        <w:rPr>
          <w:rFonts w:ascii="Arial" w:cs="Arial" w:eastAsia="Arial" w:hAnsi="Arial"/>
          <w:sz w:val="15"/>
          <w:szCs w:val="15"/>
          <w:b w:val="1"/>
          <w:bCs w:val="1"/>
          <w:color w:val="auto"/>
        </w:rPr>
      </w:pPr>
      <w:r>
        <w:rPr>
          <w:rFonts w:ascii="Arial" w:cs="Arial" w:eastAsia="Arial" w:hAnsi="Arial"/>
          <w:sz w:val="15"/>
          <w:szCs w:val="15"/>
          <w:b w:val="1"/>
          <w:bCs w:val="1"/>
          <w:i w:val="1"/>
          <w:iCs w:val="1"/>
          <w:color w:val="auto"/>
        </w:rPr>
        <w:t>Total revenues of $10.7 million for the three months ended September 30, 2018, up 29% compared to the three months ended September 30, 2017</w:t>
      </w:r>
    </w:p>
    <w:p>
      <w:pPr>
        <w:spacing w:after="0" w:line="204" w:lineRule="exact"/>
        <w:rPr>
          <w:rFonts w:ascii="Arial" w:cs="Arial" w:eastAsia="Arial" w:hAnsi="Arial"/>
          <w:sz w:val="15"/>
          <w:szCs w:val="15"/>
          <w:b w:val="1"/>
          <w:bCs w:val="1"/>
          <w:color w:val="auto"/>
        </w:rPr>
      </w:pPr>
    </w:p>
    <w:p>
      <w:pPr>
        <w:ind w:left="900" w:right="160" w:hanging="259"/>
        <w:spacing w:after="0" w:line="522" w:lineRule="auto"/>
        <w:tabs>
          <w:tab w:leader="none" w:pos="900" w:val="left"/>
        </w:tabs>
        <w:numPr>
          <w:ilvl w:val="0"/>
          <w:numId w:val="2"/>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Net income from continuing operations improved significantly to $1.3 million for the three months ended September 30, 2018, compared to $0.2 million for the prior year fiscal quarter</w:t>
      </w:r>
    </w:p>
    <w:p>
      <w:pPr>
        <w:spacing w:after="0" w:line="200" w:lineRule="exact"/>
        <w:rPr>
          <w:sz w:val="20"/>
          <w:szCs w:val="20"/>
          <w:color w:val="auto"/>
        </w:rPr>
      </w:pPr>
    </w:p>
    <w:p>
      <w:pPr>
        <w:spacing w:after="0" w:line="276" w:lineRule="exact"/>
        <w:rPr>
          <w:sz w:val="20"/>
          <w:szCs w:val="20"/>
          <w:color w:val="auto"/>
        </w:rPr>
      </w:pPr>
    </w:p>
    <w:p>
      <w:pPr>
        <w:ind w:right="340"/>
        <w:spacing w:after="0" w:line="522" w:lineRule="auto"/>
        <w:rPr>
          <w:sz w:val="20"/>
          <w:szCs w:val="20"/>
          <w:color w:val="auto"/>
        </w:rPr>
      </w:pPr>
      <w:r>
        <w:rPr>
          <w:rFonts w:ascii="Arial" w:cs="Arial" w:eastAsia="Arial" w:hAnsi="Arial"/>
          <w:sz w:val="16"/>
          <w:szCs w:val="16"/>
          <w:i w:val="1"/>
          <w:iCs w:val="1"/>
          <w:color w:val="auto"/>
        </w:rPr>
        <w:t xml:space="preserve">(ROANOKE, VA, November 8, 2018) </w:t>
      </w:r>
      <w:r>
        <w:rPr>
          <w:rFonts w:ascii="Arial" w:cs="Arial" w:eastAsia="Arial" w:hAnsi="Arial"/>
          <w:sz w:val="16"/>
          <w:szCs w:val="16"/>
          <w:color w:val="auto"/>
        </w:rPr>
        <w:t>- Luna Innovations Incorporated (NASDAQ: LUNA), a global leader in advanced optical technology, today reported record financial</w:t>
      </w:r>
      <w:r>
        <w:rPr>
          <w:rFonts w:ascii="Arial" w:cs="Arial" w:eastAsia="Arial" w:hAnsi="Arial"/>
          <w:sz w:val="16"/>
          <w:szCs w:val="16"/>
          <w:i w:val="1"/>
          <w:iCs w:val="1"/>
          <w:color w:val="auto"/>
        </w:rPr>
        <w:t xml:space="preserve"> </w:t>
      </w:r>
      <w:r>
        <w:rPr>
          <w:rFonts w:ascii="Arial" w:cs="Arial" w:eastAsia="Arial" w:hAnsi="Arial"/>
          <w:sz w:val="16"/>
          <w:szCs w:val="16"/>
          <w:color w:val="auto"/>
        </w:rPr>
        <w:t>results for the three and nine months ended September 30, 2018.</w:t>
      </w:r>
    </w:p>
    <w:p>
      <w:pPr>
        <w:spacing w:after="0" w:line="132" w:lineRule="exact"/>
        <w:rPr>
          <w:sz w:val="20"/>
          <w:szCs w:val="20"/>
          <w:color w:val="auto"/>
        </w:rPr>
      </w:pPr>
    </w:p>
    <w:p>
      <w:pPr>
        <w:ind w:right="60"/>
        <w:spacing w:after="0" w:line="540" w:lineRule="auto"/>
        <w:rPr>
          <w:sz w:val="20"/>
          <w:szCs w:val="20"/>
          <w:color w:val="auto"/>
        </w:rPr>
      </w:pPr>
      <w:r>
        <w:rPr>
          <w:rFonts w:ascii="Arial" w:cs="Arial" w:eastAsia="Arial" w:hAnsi="Arial"/>
          <w:sz w:val="15"/>
          <w:szCs w:val="15"/>
          <w:color w:val="auto"/>
        </w:rPr>
        <w:t>“Our third quarter represents the fourth consecutive quarter of double-digit top-line growth. We posted strong operating income, net income and adjusted EBITDA growth as well, and I’m extremely pleased with and proud of the way our teams are executing,” said Scott Graeff, President and Chief Executive Officer of Luna. “Since the end of fiscal 2017, we have been laser focused on executing our strategy, streamlining our businesses and driving growth in our core, fiber optic-based test and measurement business. I am particularly proud of Luna’s performance this quarter, which builds extremely well on the acquisition and divestitures we announced previously.”</w:t>
      </w:r>
    </w:p>
    <w:p>
      <w:pPr>
        <w:spacing w:after="0" w:line="400" w:lineRule="exact"/>
        <w:rPr>
          <w:sz w:val="20"/>
          <w:szCs w:val="20"/>
          <w:color w:val="auto"/>
        </w:rPr>
      </w:pPr>
    </w:p>
    <w:p>
      <w:pPr>
        <w:ind w:right="120"/>
        <w:spacing w:after="0" w:line="572" w:lineRule="auto"/>
        <w:rPr>
          <w:sz w:val="20"/>
          <w:szCs w:val="20"/>
          <w:color w:val="auto"/>
        </w:rPr>
      </w:pPr>
      <w:r>
        <w:rPr>
          <w:rFonts w:ascii="Arial" w:cs="Arial" w:eastAsia="Arial" w:hAnsi="Arial"/>
          <w:sz w:val="15"/>
          <w:szCs w:val="15"/>
          <w:color w:val="auto"/>
        </w:rPr>
        <w:t>Graeff continued, “We are committed to being prudent stewards of capital. Our most recent acquisition of Micron Optics, a leading provider of innovative optical components and laser-based measurement technology for approximately $5 million in cash with Micron 2017 revenues of approximately $8 million, underscores our ability</w:t>
      </w:r>
    </w:p>
    <w:p>
      <w:pPr>
        <w:sectPr>
          <w:pgSz w:w="11900" w:h="16838" w:orient="portrait"/>
          <w:cols w:equalWidth="0" w:num="1">
            <w:col w:w="11460"/>
          </w:cols>
          <w:pgMar w:left="220" w:top="680" w:right="219" w:bottom="1440" w:gutter="0" w:footer="0" w:header="0"/>
        </w:sectPr>
      </w:pPr>
    </w:p>
    <w:bookmarkStart w:id="4" w:name="page5"/>
    <w:bookmarkEnd w:id="4"/>
    <w:p>
      <w:pPr>
        <w:ind w:right="120"/>
        <w:spacing w:after="0" w:line="522" w:lineRule="auto"/>
        <w:rPr>
          <w:sz w:val="20"/>
          <w:szCs w:val="20"/>
          <w:color w:val="auto"/>
        </w:rPr>
      </w:pPr>
      <w:r>
        <w:rPr>
          <w:rFonts w:ascii="Arial" w:cs="Arial" w:eastAsia="Arial" w:hAnsi="Arial"/>
          <w:sz w:val="16"/>
          <w:szCs w:val="16"/>
          <w:color w:val="auto"/>
        </w:rPr>
        <w:t>to acquire assets that fit squarely within our core and deliver an excellent return on invested capital. While we continue to invest organically, we will always have our eye on external opportunities that fit well with our organization and can accelerate our growth.”</w:t>
      </w:r>
    </w:p>
    <w:p>
      <w:pPr>
        <w:spacing w:after="0" w:line="394" w:lineRule="exact"/>
        <w:rPr>
          <w:sz w:val="20"/>
          <w:szCs w:val="20"/>
          <w:color w:val="auto"/>
        </w:rPr>
      </w:pPr>
    </w:p>
    <w:p>
      <w:pPr>
        <w:spacing w:after="0"/>
        <w:rPr>
          <w:sz w:val="20"/>
          <w:szCs w:val="20"/>
          <w:color w:val="auto"/>
        </w:rPr>
      </w:pPr>
      <w:r>
        <w:rPr>
          <w:rFonts w:ascii="Arial" w:cs="Arial" w:eastAsia="Arial" w:hAnsi="Arial"/>
          <w:sz w:val="16"/>
          <w:szCs w:val="16"/>
          <w:b w:val="1"/>
          <w:bCs w:val="1"/>
          <w:u w:val="single" w:color="auto"/>
          <w:color w:val="auto"/>
        </w:rPr>
        <w:t>Third-Quarter and Nine Month Financial Summary</w:t>
      </w:r>
    </w:p>
    <w:p>
      <w:pPr>
        <w:spacing w:after="0" w:line="253" w:lineRule="exact"/>
        <w:rPr>
          <w:sz w:val="20"/>
          <w:szCs w:val="20"/>
          <w:color w:val="auto"/>
        </w:rPr>
      </w:pPr>
    </w:p>
    <w:p>
      <w:pPr>
        <w:ind w:right="100"/>
        <w:spacing w:after="0" w:line="532" w:lineRule="auto"/>
        <w:rPr>
          <w:sz w:val="20"/>
          <w:szCs w:val="20"/>
          <w:color w:val="auto"/>
        </w:rPr>
      </w:pPr>
      <w:r>
        <w:rPr>
          <w:rFonts w:ascii="Arial" w:cs="Arial" w:eastAsia="Arial" w:hAnsi="Arial"/>
          <w:sz w:val="15"/>
          <w:szCs w:val="15"/>
          <w:color w:val="auto"/>
        </w:rPr>
        <w:t>Total revenues for the three months ended September 30, 2018 were $10.7 million compared to $8.3 million for the three months ended September 30, 2017. Technology development revenues increased to $5.3 million for the three months ended September 30, 2018, compared to $4.6 million for the three months ended September 30, 2017. Total products and licensing revenues increased to $5.4 million for the three months ended September 30, 2018, compared to $3.7 million for the three months ended September 30, 2017. The increase in the products and licensing revenues for the three months ended September 30, 2018 compared to the three months ended September 30, 2017 was due to continued growth in sales of Luna's fiber optic-based sensing products, including its ODiSI products and its Terahertz products. The increase in technology development revenues for the three months ended September 30, 2018 compared to the prior-year period was due to continued growth in government research advancing optical and biomedical technologies and Luna's success in winning these research contracts.</w:t>
      </w:r>
    </w:p>
    <w:p>
      <w:pPr>
        <w:spacing w:after="0" w:line="200" w:lineRule="exact"/>
        <w:rPr>
          <w:sz w:val="20"/>
          <w:szCs w:val="20"/>
          <w:color w:val="auto"/>
        </w:rPr>
      </w:pPr>
    </w:p>
    <w:p>
      <w:pPr>
        <w:spacing w:after="0" w:line="208" w:lineRule="exact"/>
        <w:rPr>
          <w:sz w:val="20"/>
          <w:szCs w:val="20"/>
          <w:color w:val="auto"/>
        </w:rPr>
      </w:pPr>
    </w:p>
    <w:p>
      <w:pPr>
        <w:spacing w:after="0" w:line="522" w:lineRule="auto"/>
        <w:rPr>
          <w:sz w:val="20"/>
          <w:szCs w:val="20"/>
          <w:color w:val="auto"/>
        </w:rPr>
      </w:pPr>
      <w:r>
        <w:rPr>
          <w:rFonts w:ascii="Arial" w:cs="Arial" w:eastAsia="Arial" w:hAnsi="Arial"/>
          <w:sz w:val="16"/>
          <w:szCs w:val="16"/>
          <w:color w:val="auto"/>
        </w:rPr>
        <w:t>Gross profit was $4.7 million, or 44% of revenues, for the three months ended September 30, 2018, compared to gross profit of $3.3 million, or 40% of revenues, for the three months ended September 30, 2017.</w:t>
      </w:r>
    </w:p>
    <w:p>
      <w:pPr>
        <w:spacing w:after="0" w:line="398" w:lineRule="exact"/>
        <w:rPr>
          <w:sz w:val="20"/>
          <w:szCs w:val="20"/>
          <w:color w:val="auto"/>
        </w:rPr>
      </w:pPr>
    </w:p>
    <w:p>
      <w:pPr>
        <w:ind w:right="140"/>
        <w:spacing w:after="0" w:line="502" w:lineRule="auto"/>
        <w:rPr>
          <w:sz w:val="20"/>
          <w:szCs w:val="20"/>
          <w:color w:val="auto"/>
        </w:rPr>
      </w:pPr>
      <w:r>
        <w:rPr>
          <w:rFonts w:ascii="Arial" w:cs="Arial" w:eastAsia="Arial" w:hAnsi="Arial"/>
          <w:sz w:val="16"/>
          <w:szCs w:val="16"/>
          <w:color w:val="auto"/>
        </w:rPr>
        <w:t>Selling, general and administrative ("SG&amp;A") expenses were $3.2 million for the three months ended September 30, 2018, compared to $2.8 million for the three months ended September 30, 2017. Research, development and engineering ("R&amp;D") expenses were $0.9 million for the three months ended September 30, 2018, compared to $0.7 million for the three months ended September 30, 2017. The increase in SG&amp;A expenses was due primarily to investment in Luna's sales force and other selling expenses associated with supporting the strong revenue growth in its products and licensing segment.</w:t>
      </w:r>
    </w:p>
    <w:p>
      <w:pPr>
        <w:sectPr>
          <w:pgSz w:w="11900" w:h="16838" w:orient="portrait"/>
          <w:cols w:equalWidth="0" w:num="1">
            <w:col w:w="11360"/>
          </w:cols>
          <w:pgMar w:left="220" w:top="602" w:right="319" w:bottom="1440" w:gutter="0" w:footer="0" w:header="0"/>
        </w:sectPr>
      </w:pPr>
    </w:p>
    <w:bookmarkStart w:id="5" w:name="page6"/>
    <w:bookmarkEnd w:id="5"/>
    <w:p>
      <w:pPr>
        <w:ind w:right="540"/>
        <w:spacing w:after="0" w:line="522" w:lineRule="auto"/>
        <w:rPr>
          <w:sz w:val="20"/>
          <w:szCs w:val="20"/>
          <w:color w:val="auto"/>
        </w:rPr>
      </w:pPr>
      <w:r>
        <w:rPr>
          <w:rFonts w:ascii="Arial" w:cs="Arial" w:eastAsia="Arial" w:hAnsi="Arial"/>
          <w:sz w:val="16"/>
          <w:szCs w:val="16"/>
          <w:color w:val="auto"/>
        </w:rPr>
        <w:t>Net income from continuing operations improved to $1.3 million for the three months ended September 30, 2018, compared to $0.2 million for the three months ended September 30, 2017.</w:t>
      </w:r>
    </w:p>
    <w:p>
      <w:pPr>
        <w:spacing w:after="0" w:line="398" w:lineRule="exact"/>
        <w:rPr>
          <w:sz w:val="20"/>
          <w:szCs w:val="20"/>
          <w:color w:val="auto"/>
        </w:rPr>
      </w:pPr>
    </w:p>
    <w:p>
      <w:pPr>
        <w:spacing w:after="0" w:line="499" w:lineRule="auto"/>
        <w:rPr>
          <w:sz w:val="20"/>
          <w:szCs w:val="20"/>
          <w:color w:val="auto"/>
        </w:rPr>
      </w:pPr>
      <w:r>
        <w:rPr>
          <w:rFonts w:ascii="Arial" w:cs="Arial" w:eastAsia="Arial" w:hAnsi="Arial"/>
          <w:sz w:val="16"/>
          <w:szCs w:val="16"/>
          <w:color w:val="auto"/>
        </w:rPr>
        <w:t>Net income attributable to common stockholders for the three months ended September 30, 2018 was $8.8 million, compared to $15.7 million for the three months ended September 30, 2017. The decline in net income attributable to common stockholders was primarily due to the gain of $15.1 million recognized on the sale of Luna's high-speed optical receiver business during the third quarter of 2017 compared to the gain of $7.6 million recognized on the sale of Luna's optoelectronic components business during the third quarter of 2018. Adjusted EBITDA was $0.9 million for the three months ended September 30, 2018, compared to $0.2 million for the three months ended September 30, 2017.</w:t>
      </w:r>
    </w:p>
    <w:p>
      <w:pPr>
        <w:spacing w:after="0" w:line="200" w:lineRule="exact"/>
        <w:rPr>
          <w:sz w:val="20"/>
          <w:szCs w:val="20"/>
          <w:color w:val="auto"/>
        </w:rPr>
      </w:pPr>
    </w:p>
    <w:p>
      <w:pPr>
        <w:spacing w:after="0" w:line="217" w:lineRule="exact"/>
        <w:rPr>
          <w:sz w:val="20"/>
          <w:szCs w:val="20"/>
          <w:color w:val="auto"/>
        </w:rPr>
      </w:pPr>
    </w:p>
    <w:p>
      <w:pPr>
        <w:spacing w:after="0" w:line="498" w:lineRule="auto"/>
        <w:rPr>
          <w:sz w:val="20"/>
          <w:szCs w:val="20"/>
          <w:color w:val="auto"/>
        </w:rPr>
      </w:pPr>
      <w:r>
        <w:rPr>
          <w:rFonts w:ascii="Arial" w:cs="Arial" w:eastAsia="Arial" w:hAnsi="Arial"/>
          <w:sz w:val="16"/>
          <w:szCs w:val="16"/>
          <w:color w:val="auto"/>
        </w:rPr>
        <w:t>For the first nine months of fiscal 2018, Luna reported net income attributable to common stockholders of $9.9 million compared to $14.1 million for the first nine months of 2017. The year-over-year decline was again due primarily to the gain recognized on the sales of both Luna's high-speed optical receivers business in 2017 and its optoelectronic components business in 2018</w:t>
      </w:r>
      <w:r>
        <w:rPr>
          <w:rFonts w:ascii="Arial" w:cs="Arial" w:eastAsia="Arial" w:hAnsi="Arial"/>
          <w:sz w:val="16"/>
          <w:szCs w:val="16"/>
          <w:color w:val="FF0000"/>
        </w:rPr>
        <w:t>.</w:t>
      </w:r>
      <w:r>
        <w:rPr>
          <w:rFonts w:ascii="Arial" w:cs="Arial" w:eastAsia="Arial" w:hAnsi="Arial"/>
          <w:sz w:val="16"/>
          <w:szCs w:val="16"/>
          <w:color w:val="auto"/>
        </w:rPr>
        <w:t xml:space="preserve"> Net income from continuing operations improved to $1.4 million, or $0.04 per diluted share, for the nine months ended September 30, 2018, compared to a net loss from continuing operations of $(1.3) million, or $(0.05) per diluted share, for the nine months ended September 30, 2017. Adjusted EBITDA was $1.5 million for the nine months ended September 30, 2018 compared to $(0.6) million for the nine months ended September 30, 2017. A reconciliation of net income to adjusted EBITDA can be found in the schedules included in this release.</w:t>
      </w:r>
    </w:p>
    <w:p>
      <w:pPr>
        <w:spacing w:after="0" w:line="200" w:lineRule="exact"/>
        <w:rPr>
          <w:sz w:val="20"/>
          <w:szCs w:val="20"/>
          <w:color w:val="auto"/>
        </w:rPr>
      </w:pPr>
    </w:p>
    <w:p>
      <w:pPr>
        <w:spacing w:after="0" w:line="213" w:lineRule="exact"/>
        <w:rPr>
          <w:sz w:val="20"/>
          <w:szCs w:val="20"/>
          <w:color w:val="auto"/>
        </w:rPr>
      </w:pPr>
    </w:p>
    <w:p>
      <w:pPr>
        <w:spacing w:after="0"/>
        <w:rPr>
          <w:sz w:val="20"/>
          <w:szCs w:val="20"/>
          <w:color w:val="auto"/>
        </w:rPr>
      </w:pPr>
      <w:r>
        <w:rPr>
          <w:rFonts w:ascii="Arial" w:cs="Arial" w:eastAsia="Arial" w:hAnsi="Arial"/>
          <w:sz w:val="16"/>
          <w:szCs w:val="16"/>
          <w:b w:val="1"/>
          <w:bCs w:val="1"/>
          <w:u w:val="single" w:color="auto"/>
          <w:color w:val="auto"/>
        </w:rPr>
        <w:t>2018 Fourth-Quarter and Year End Outlook (forward-looking statement):</w:t>
      </w:r>
    </w:p>
    <w:p>
      <w:pPr>
        <w:spacing w:after="0" w:line="142" w:lineRule="exact"/>
        <w:rPr>
          <w:sz w:val="20"/>
          <w:szCs w:val="20"/>
          <w:color w:val="auto"/>
        </w:rPr>
      </w:pPr>
    </w:p>
    <w:p>
      <w:pPr>
        <w:spacing w:after="0"/>
        <w:rPr>
          <w:sz w:val="20"/>
          <w:szCs w:val="20"/>
          <w:color w:val="auto"/>
        </w:rPr>
      </w:pPr>
      <w:r>
        <w:rPr>
          <w:rFonts w:ascii="Arial" w:cs="Arial" w:eastAsia="Arial" w:hAnsi="Arial"/>
          <w:sz w:val="16"/>
          <w:szCs w:val="16"/>
          <w:color w:val="auto"/>
        </w:rPr>
        <w:t>Luna expects:</w:t>
      </w:r>
    </w:p>
    <w:p>
      <w:pPr>
        <w:spacing w:after="0" w:line="93" w:lineRule="exact"/>
        <w:rPr>
          <w:sz w:val="20"/>
          <w:szCs w:val="20"/>
          <w:color w:val="auto"/>
        </w:rPr>
      </w:pPr>
    </w:p>
    <w:p>
      <w:pPr>
        <w:ind w:left="540" w:hanging="265"/>
        <w:spacing w:after="0"/>
        <w:tabs>
          <w:tab w:leader="none" w:pos="540" w:val="left"/>
        </w:tabs>
        <w:numPr>
          <w:ilvl w:val="0"/>
          <w:numId w:val="3"/>
        </w:numPr>
        <w:rPr>
          <w:rFonts w:ascii="Arial" w:cs="Arial" w:eastAsia="Arial" w:hAnsi="Arial"/>
          <w:sz w:val="15"/>
          <w:szCs w:val="15"/>
          <w:color w:val="auto"/>
        </w:rPr>
      </w:pPr>
      <w:r>
        <w:rPr>
          <w:rFonts w:ascii="Arial" w:cs="Arial" w:eastAsia="Arial" w:hAnsi="Arial"/>
          <w:sz w:val="16"/>
          <w:szCs w:val="16"/>
          <w:color w:val="auto"/>
        </w:rPr>
        <w:t>Revenue in the range of $12 million to $12.5 million for the fourth quarter of fiscal 2018;</w:t>
      </w:r>
    </w:p>
    <w:p>
      <w:pPr>
        <w:spacing w:after="0" w:line="93" w:lineRule="exact"/>
        <w:rPr>
          <w:rFonts w:ascii="Arial" w:cs="Arial" w:eastAsia="Arial" w:hAnsi="Arial"/>
          <w:sz w:val="15"/>
          <w:szCs w:val="15"/>
          <w:color w:val="auto"/>
        </w:rPr>
      </w:pPr>
    </w:p>
    <w:p>
      <w:pPr>
        <w:ind w:left="540" w:hanging="265"/>
        <w:spacing w:after="0"/>
        <w:tabs>
          <w:tab w:leader="none" w:pos="540" w:val="left"/>
        </w:tabs>
        <w:numPr>
          <w:ilvl w:val="0"/>
          <w:numId w:val="3"/>
        </w:numPr>
        <w:rPr>
          <w:rFonts w:ascii="Arial" w:cs="Arial" w:eastAsia="Arial" w:hAnsi="Arial"/>
          <w:sz w:val="15"/>
          <w:szCs w:val="15"/>
          <w:color w:val="auto"/>
        </w:rPr>
      </w:pPr>
      <w:r>
        <w:rPr>
          <w:rFonts w:ascii="Arial" w:cs="Arial" w:eastAsia="Arial" w:hAnsi="Arial"/>
          <w:sz w:val="16"/>
          <w:szCs w:val="16"/>
          <w:color w:val="auto"/>
        </w:rPr>
        <w:t>Revenue in the range of $41.5 million to $42 million for full fiscal 2018;</w:t>
      </w:r>
    </w:p>
    <w:p>
      <w:pPr>
        <w:spacing w:after="0" w:line="93" w:lineRule="exact"/>
        <w:rPr>
          <w:rFonts w:ascii="Arial" w:cs="Arial" w:eastAsia="Arial" w:hAnsi="Arial"/>
          <w:sz w:val="15"/>
          <w:szCs w:val="15"/>
          <w:color w:val="auto"/>
        </w:rPr>
      </w:pPr>
    </w:p>
    <w:p>
      <w:pPr>
        <w:ind w:left="540" w:hanging="265"/>
        <w:spacing w:after="0"/>
        <w:tabs>
          <w:tab w:leader="none" w:pos="540" w:val="left"/>
        </w:tabs>
        <w:numPr>
          <w:ilvl w:val="0"/>
          <w:numId w:val="3"/>
        </w:numPr>
        <w:rPr>
          <w:rFonts w:ascii="Arial" w:cs="Arial" w:eastAsia="Arial" w:hAnsi="Arial"/>
          <w:sz w:val="15"/>
          <w:szCs w:val="15"/>
          <w:color w:val="auto"/>
        </w:rPr>
      </w:pPr>
      <w:r>
        <w:rPr>
          <w:rFonts w:ascii="Arial" w:cs="Arial" w:eastAsia="Arial" w:hAnsi="Arial"/>
          <w:sz w:val="16"/>
          <w:szCs w:val="16"/>
          <w:color w:val="auto"/>
        </w:rPr>
        <w:t>Net income per diluted share attributable to common stockholders of breakeven to $0.01 for the fourth quarter of fiscal 2018; and</w:t>
      </w:r>
    </w:p>
    <w:p>
      <w:pPr>
        <w:spacing w:after="0" w:line="93" w:lineRule="exact"/>
        <w:rPr>
          <w:rFonts w:ascii="Arial" w:cs="Arial" w:eastAsia="Arial" w:hAnsi="Arial"/>
          <w:sz w:val="15"/>
          <w:szCs w:val="15"/>
          <w:color w:val="auto"/>
        </w:rPr>
      </w:pPr>
    </w:p>
    <w:p>
      <w:pPr>
        <w:ind w:left="540" w:hanging="265"/>
        <w:spacing w:after="0"/>
        <w:tabs>
          <w:tab w:leader="none" w:pos="540" w:val="left"/>
        </w:tabs>
        <w:numPr>
          <w:ilvl w:val="0"/>
          <w:numId w:val="3"/>
        </w:numPr>
        <w:rPr>
          <w:rFonts w:ascii="Arial" w:cs="Arial" w:eastAsia="Arial" w:hAnsi="Arial"/>
          <w:sz w:val="15"/>
          <w:szCs w:val="15"/>
          <w:color w:val="auto"/>
        </w:rPr>
      </w:pPr>
      <w:r>
        <w:rPr>
          <w:rFonts w:ascii="Arial" w:cs="Arial" w:eastAsia="Arial" w:hAnsi="Arial"/>
          <w:sz w:val="16"/>
          <w:szCs w:val="16"/>
          <w:color w:val="auto"/>
        </w:rPr>
        <w:t>Net income per diluted share attributable to common stockholders in a range of $0.31 to $0.32 for full fiscal 2018.</w:t>
      </w:r>
    </w:p>
    <w:p>
      <w:pPr>
        <w:sectPr>
          <w:pgSz w:w="11900" w:h="16838" w:orient="portrait"/>
          <w:cols w:equalWidth="0" w:num="1">
            <w:col w:w="11420"/>
          </w:cols>
          <w:pgMar w:left="220" w:top="602" w:right="259" w:bottom="1440" w:gutter="0" w:footer="0" w:header="0"/>
        </w:sectPr>
      </w:pPr>
    </w:p>
    <w:bookmarkStart w:id="6" w:name="page7"/>
    <w:bookmarkEnd w:id="6"/>
    <w:p>
      <w:pPr>
        <w:spacing w:after="0"/>
        <w:rPr>
          <w:sz w:val="20"/>
          <w:szCs w:val="20"/>
          <w:color w:val="auto"/>
        </w:rPr>
      </w:pPr>
      <w:r>
        <w:rPr>
          <w:rFonts w:ascii="Arial" w:cs="Arial" w:eastAsia="Arial" w:hAnsi="Arial"/>
          <w:sz w:val="15"/>
          <w:szCs w:val="15"/>
          <w:color w:val="auto"/>
        </w:rPr>
        <w:t>The outlook above includes the expected operating results from Luna's acquisition of Micron Optics, Inc. on October 16, 2018, along with the associated acquisition costs. It</w:t>
      </w: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color w:val="auto"/>
        </w:rPr>
        <w:t>does not include any future acquisitions, divestitures, or unanticipated events.</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spacing w:after="0"/>
        <w:rPr>
          <w:sz w:val="20"/>
          <w:szCs w:val="20"/>
          <w:color w:val="auto"/>
        </w:rPr>
      </w:pPr>
      <w:r>
        <w:rPr>
          <w:rFonts w:ascii="Arial" w:cs="Arial" w:eastAsia="Arial" w:hAnsi="Arial"/>
          <w:sz w:val="16"/>
          <w:szCs w:val="16"/>
          <w:b w:val="1"/>
          <w:bCs w:val="1"/>
          <w:u w:val="single" w:color="auto"/>
          <w:color w:val="auto"/>
        </w:rPr>
        <w:t>Non-GAAP Measures</w:t>
      </w:r>
    </w:p>
    <w:p>
      <w:pPr>
        <w:spacing w:after="0" w:line="264" w:lineRule="exact"/>
        <w:rPr>
          <w:sz w:val="20"/>
          <w:szCs w:val="20"/>
          <w:color w:val="auto"/>
        </w:rPr>
      </w:pPr>
    </w:p>
    <w:p>
      <w:pPr>
        <w:spacing w:after="0"/>
        <w:rPr>
          <w:sz w:val="20"/>
          <w:szCs w:val="20"/>
          <w:color w:val="auto"/>
        </w:rPr>
      </w:pPr>
      <w:r>
        <w:rPr>
          <w:rFonts w:ascii="Arial" w:cs="Arial" w:eastAsia="Arial" w:hAnsi="Arial"/>
          <w:sz w:val="15"/>
          <w:szCs w:val="15"/>
          <w:color w:val="auto"/>
        </w:rPr>
        <w:t>In evaluating the operating performance of its business, Luna’s management considers Adjusted EBITDA, which excludes certain charges and credits that are required by</w:t>
      </w:r>
    </w:p>
    <w:p>
      <w:pPr>
        <w:spacing w:after="0" w:line="205" w:lineRule="exact"/>
        <w:rPr>
          <w:sz w:val="20"/>
          <w:szCs w:val="20"/>
          <w:color w:val="auto"/>
        </w:rPr>
      </w:pPr>
    </w:p>
    <w:p>
      <w:pPr>
        <w:spacing w:after="0"/>
        <w:rPr>
          <w:sz w:val="20"/>
          <w:szCs w:val="20"/>
          <w:color w:val="auto"/>
        </w:rPr>
      </w:pPr>
      <w:r>
        <w:rPr>
          <w:rFonts w:ascii="Arial" w:cs="Arial" w:eastAsia="Arial" w:hAnsi="Arial"/>
          <w:sz w:val="15"/>
          <w:szCs w:val="15"/>
          <w:color w:val="auto"/>
        </w:rPr>
        <w:t>generally accepted accounting principles (“GAAP”). Adjusted EBITDA provides useful information to both management and investors by excluding the effect of certain non-</w:t>
      </w:r>
    </w:p>
    <w:p>
      <w:pPr>
        <w:spacing w:after="0" w:line="205" w:lineRule="exact"/>
        <w:rPr>
          <w:sz w:val="20"/>
          <w:szCs w:val="20"/>
          <w:color w:val="auto"/>
        </w:rPr>
      </w:pPr>
    </w:p>
    <w:p>
      <w:pPr>
        <w:spacing w:after="0"/>
        <w:rPr>
          <w:sz w:val="20"/>
          <w:szCs w:val="20"/>
          <w:color w:val="auto"/>
        </w:rPr>
      </w:pPr>
      <w:r>
        <w:rPr>
          <w:rFonts w:ascii="Arial" w:cs="Arial" w:eastAsia="Arial" w:hAnsi="Arial"/>
          <w:sz w:val="14"/>
          <w:szCs w:val="14"/>
          <w:color w:val="auto"/>
        </w:rPr>
        <w:t>cash expenses and items that Luna believes may not be indicative of its operating performance, because either they are unusual and Luna does not expect them to recur in the</w:t>
      </w:r>
    </w:p>
    <w:p>
      <w:pPr>
        <w:spacing w:after="0" w:line="216" w:lineRule="exact"/>
        <w:rPr>
          <w:sz w:val="20"/>
          <w:szCs w:val="20"/>
          <w:color w:val="auto"/>
        </w:rPr>
      </w:pPr>
    </w:p>
    <w:p>
      <w:pPr>
        <w:spacing w:after="0"/>
        <w:rPr>
          <w:sz w:val="20"/>
          <w:szCs w:val="20"/>
          <w:color w:val="auto"/>
        </w:rPr>
      </w:pPr>
      <w:r>
        <w:rPr>
          <w:rFonts w:ascii="Arial" w:cs="Arial" w:eastAsia="Arial" w:hAnsi="Arial"/>
          <w:sz w:val="15"/>
          <w:szCs w:val="15"/>
          <w:color w:val="auto"/>
        </w:rPr>
        <w:t>ordinary course of its business, or they are unrelated to the ongoing operation of the business in the ordinary course. Adjusted EBITDA should be considered in addition to</w:t>
      </w:r>
    </w:p>
    <w:p>
      <w:pPr>
        <w:spacing w:after="0" w:line="205" w:lineRule="exact"/>
        <w:rPr>
          <w:sz w:val="20"/>
          <w:szCs w:val="20"/>
          <w:color w:val="auto"/>
        </w:rPr>
      </w:pPr>
    </w:p>
    <w:p>
      <w:pPr>
        <w:spacing w:after="0"/>
        <w:rPr>
          <w:sz w:val="20"/>
          <w:szCs w:val="20"/>
          <w:color w:val="auto"/>
        </w:rPr>
      </w:pPr>
      <w:r>
        <w:rPr>
          <w:rFonts w:ascii="Arial" w:cs="Arial" w:eastAsia="Arial" w:hAnsi="Arial"/>
          <w:sz w:val="15"/>
          <w:szCs w:val="15"/>
          <w:color w:val="auto"/>
        </w:rPr>
        <w:t>results prepared in accordance with GAAP, but should not be considered a substitute for, or superior to, GAAP results. Adjusted EBITDA has been reconciled to the nearest</w:t>
      </w: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color w:val="auto"/>
        </w:rPr>
        <w:t>GAAP measure in the table following the financial statements attached to this press release.</w:t>
      </w:r>
    </w:p>
    <w:p>
      <w:pPr>
        <w:spacing w:after="0" w:line="389" w:lineRule="exact"/>
        <w:rPr>
          <w:sz w:val="20"/>
          <w:szCs w:val="20"/>
          <w:color w:val="auto"/>
        </w:rPr>
      </w:pPr>
    </w:p>
    <w:p>
      <w:pPr>
        <w:spacing w:after="0"/>
        <w:rPr>
          <w:sz w:val="20"/>
          <w:szCs w:val="20"/>
          <w:color w:val="auto"/>
        </w:rPr>
      </w:pPr>
      <w:r>
        <w:rPr>
          <w:rFonts w:ascii="Arial" w:cs="Arial" w:eastAsia="Arial" w:hAnsi="Arial"/>
          <w:sz w:val="16"/>
          <w:szCs w:val="16"/>
          <w:b w:val="1"/>
          <w:bCs w:val="1"/>
          <w:u w:val="single" w:color="auto"/>
          <w:color w:val="auto"/>
        </w:rPr>
        <w:t>Conference Call Information</w:t>
      </w:r>
    </w:p>
    <w:p>
      <w:pPr>
        <w:spacing w:after="0" w:line="142" w:lineRule="exact"/>
        <w:rPr>
          <w:sz w:val="20"/>
          <w:szCs w:val="20"/>
          <w:color w:val="auto"/>
        </w:rPr>
      </w:pPr>
    </w:p>
    <w:p>
      <w:pPr>
        <w:spacing w:after="0" w:line="369" w:lineRule="auto"/>
        <w:rPr>
          <w:sz w:val="20"/>
          <w:szCs w:val="20"/>
          <w:color w:val="auto"/>
        </w:rPr>
      </w:pPr>
      <w:r>
        <w:rPr>
          <w:rFonts w:ascii="Arial" w:cs="Arial" w:eastAsia="Arial" w:hAnsi="Arial"/>
          <w:sz w:val="16"/>
          <w:szCs w:val="16"/>
          <w:color w:val="auto"/>
        </w:rPr>
        <w:t xml:space="preserve">Luna will host a conference call today at 8:30 a.m. (EST), to discuss the financial results and provide a general business update. The third quarter earnings call can be accessed by dialing 844.578.9643 domestically or 270.823.1522 internationally prior to the start of the call. The participant access code is 9194505. Investors are advised to dial in at least five minutes prior to the call to register. The conference call will also be webcast live over the Internet. The webcast can be accessed by logging on to the “Investor Relations” section of the Luna website, </w:t>
      </w:r>
      <w:r>
        <w:rPr>
          <w:rFonts w:ascii="Arial" w:cs="Arial" w:eastAsia="Arial" w:hAnsi="Arial"/>
          <w:sz w:val="16"/>
          <w:szCs w:val="16"/>
          <w:u w:val="single" w:color="auto"/>
          <w:color w:val="0563C1"/>
        </w:rPr>
        <w:t>www.lunainc.com</w:t>
      </w:r>
      <w:r>
        <w:rPr>
          <w:rFonts w:ascii="Arial" w:cs="Arial" w:eastAsia="Arial" w:hAnsi="Arial"/>
          <w:sz w:val="16"/>
          <w:szCs w:val="16"/>
          <w:color w:val="auto"/>
        </w:rPr>
        <w:t>, prior to the event. The webcast will be archived under the “Webcasts and Presentations” section of the Luna website for at least 30 days following the conference call.</w:t>
      </w: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Arial" w:cs="Arial" w:eastAsia="Arial" w:hAnsi="Arial"/>
          <w:sz w:val="16"/>
          <w:szCs w:val="16"/>
          <w:b w:val="1"/>
          <w:bCs w:val="1"/>
          <w:u w:val="single" w:color="auto"/>
          <w:color w:val="auto"/>
        </w:rPr>
        <w:t>About Luna</w:t>
      </w:r>
    </w:p>
    <w:p>
      <w:pPr>
        <w:spacing w:after="0" w:line="153" w:lineRule="exact"/>
        <w:rPr>
          <w:sz w:val="20"/>
          <w:szCs w:val="20"/>
          <w:color w:val="auto"/>
        </w:rPr>
      </w:pPr>
    </w:p>
    <w:p>
      <w:pPr>
        <w:jc w:val="both"/>
        <w:ind w:right="60"/>
        <w:spacing w:after="0" w:line="412" w:lineRule="auto"/>
        <w:rPr>
          <w:sz w:val="20"/>
          <w:szCs w:val="20"/>
          <w:color w:val="auto"/>
        </w:rPr>
      </w:pPr>
      <w:r>
        <w:rPr>
          <w:rFonts w:ascii="Arial" w:cs="Arial" w:eastAsia="Arial" w:hAnsi="Arial"/>
          <w:sz w:val="16"/>
          <w:szCs w:val="16"/>
          <w:color w:val="auto"/>
        </w:rPr>
        <w:t>Luna Innovations, Incorporated (</w:t>
      </w:r>
      <w:r>
        <w:rPr>
          <w:rFonts w:ascii="Arial" w:cs="Arial" w:eastAsia="Arial" w:hAnsi="Arial"/>
          <w:sz w:val="16"/>
          <w:szCs w:val="16"/>
          <w:u w:val="single" w:color="auto"/>
          <w:color w:val="0563C1"/>
        </w:rPr>
        <w:t>www.lunainc.com</w:t>
      </w:r>
      <w:r>
        <w:rPr>
          <w:rFonts w:ascii="Arial" w:cs="Arial" w:eastAsia="Arial" w:hAnsi="Arial"/>
          <w:sz w:val="16"/>
          <w:szCs w:val="16"/>
          <w:color w:val="auto"/>
        </w:rPr>
        <w:t>) is a leader in optical technology, providing unique capabilities in high-performance fiber optic-based test products for the telecommunications industry and distributed fiber optic-based sensing for the aerospace and automotive industries. Luna is organized into two business segments, which work closely together to turn ideas into products: a Technology Development segment and a Products and Licensing</w:t>
      </w:r>
    </w:p>
    <w:p>
      <w:pPr>
        <w:sectPr>
          <w:pgSz w:w="11900" w:h="16838" w:orient="portrait"/>
          <w:cols w:equalWidth="0" w:num="1">
            <w:col w:w="11420"/>
          </w:cols>
          <w:pgMar w:left="220" w:top="857" w:right="259" w:bottom="1440" w:gutter="0" w:footer="0" w:header="0"/>
        </w:sectPr>
      </w:pPr>
    </w:p>
    <w:bookmarkStart w:id="7" w:name="page8"/>
    <w:bookmarkEnd w:id="7"/>
    <w:p>
      <w:pPr>
        <w:spacing w:after="0"/>
        <w:rPr>
          <w:sz w:val="20"/>
          <w:szCs w:val="20"/>
          <w:color w:val="auto"/>
        </w:rPr>
      </w:pPr>
      <w:r>
        <w:rPr>
          <w:rFonts w:ascii="Arial" w:cs="Arial" w:eastAsia="Arial" w:hAnsi="Arial"/>
          <w:sz w:val="16"/>
          <w:szCs w:val="16"/>
          <w:color w:val="auto"/>
        </w:rPr>
        <w:t>segment. Luna’s business model is designed to accelerate the process of bringing new and innovative technologies to market.</w:t>
      </w:r>
    </w:p>
    <w:p>
      <w:pPr>
        <w:spacing w:after="0" w:line="200" w:lineRule="exact"/>
        <w:rPr>
          <w:sz w:val="20"/>
          <w:szCs w:val="20"/>
          <w:color w:val="auto"/>
        </w:rPr>
      </w:pPr>
    </w:p>
    <w:p>
      <w:pPr>
        <w:spacing w:after="0" w:line="278" w:lineRule="exact"/>
        <w:rPr>
          <w:sz w:val="20"/>
          <w:szCs w:val="20"/>
          <w:color w:val="auto"/>
        </w:rPr>
      </w:pPr>
    </w:p>
    <w:p>
      <w:pPr>
        <w:spacing w:after="0"/>
        <w:rPr>
          <w:sz w:val="20"/>
          <w:szCs w:val="20"/>
          <w:color w:val="auto"/>
        </w:rPr>
      </w:pPr>
      <w:r>
        <w:rPr>
          <w:rFonts w:ascii="Arial" w:cs="Arial" w:eastAsia="Arial" w:hAnsi="Arial"/>
          <w:sz w:val="16"/>
          <w:szCs w:val="16"/>
          <w:b w:val="1"/>
          <w:bCs w:val="1"/>
          <w:u w:val="single" w:color="auto"/>
          <w:color w:val="auto"/>
        </w:rPr>
        <w:t>Forward-Looking Statements</w:t>
      </w:r>
    </w:p>
    <w:p>
      <w:pPr>
        <w:spacing w:after="0" w:line="264" w:lineRule="exact"/>
        <w:rPr>
          <w:sz w:val="20"/>
          <w:szCs w:val="20"/>
          <w:color w:val="auto"/>
        </w:rPr>
      </w:pPr>
    </w:p>
    <w:p>
      <w:pPr>
        <w:spacing w:after="0" w:line="530" w:lineRule="auto"/>
        <w:rPr>
          <w:sz w:val="20"/>
          <w:szCs w:val="20"/>
          <w:color w:val="auto"/>
        </w:rPr>
      </w:pPr>
      <w:r>
        <w:rPr>
          <w:rFonts w:ascii="Arial" w:cs="Arial" w:eastAsia="Arial" w:hAnsi="Arial"/>
          <w:sz w:val="15"/>
          <w:szCs w:val="15"/>
          <w:color w:val="auto"/>
        </w:rPr>
        <w:t>The statements in this release that are not historical facts constitute “forward-looking statements” made pursuant to the safe harbor provision of the Private Securities Litigation Reform Act of 1995 that involve risks and uncertainties. These statements include Luna's expectations regarding its growth potential, its projected financial results for the fourth quarter of fiscal 2018 and the full year ended December 31, 2018, and its business focus. Management cautions the reader that these forward-looking statements are only predictions and are subject to a number of both known and unknown risks and uncertainties, and actual results, performance, and/or achievements of Luna may differ materially from the future results, performance, and/or achievements expressed or implied by these forward-looking statements as a result of a number of factors. These factors include, without limitation, failure of demand for Luna's products and services to meet expectations, failure of target market to grow and expand, technological and strategic challenges and those risks and uncertainties set forth in Luna’s Quarterly Report on Form 10-Q for the quarter ended September 30, 2018, and Luna's other periodic reports and filings with the Securities and Exchange Commission ("SEC"). Such filings are available on the SEC’s website at www.sec.gov and on Luna’s website at www.lunainc.com. The statements made in this release are based on information available to Luna as of the date of this release and Luna undertakes no obligation to update any of the forward-looking statements after the date of this release.</w:t>
      </w:r>
    </w:p>
    <w:p>
      <w:pPr>
        <w:spacing w:after="0" w:line="159"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1600" w:type="dxa"/>
            <w:vAlign w:val="bottom"/>
            <w:gridSpan w:val="2"/>
          </w:tcPr>
          <w:p>
            <w:pPr>
              <w:spacing w:after="0"/>
              <w:rPr>
                <w:sz w:val="20"/>
                <w:szCs w:val="20"/>
                <w:color w:val="auto"/>
              </w:rPr>
            </w:pPr>
            <w:r>
              <w:rPr>
                <w:rFonts w:ascii="Arial" w:cs="Arial" w:eastAsia="Arial" w:hAnsi="Arial"/>
                <w:sz w:val="16"/>
                <w:szCs w:val="16"/>
                <w:b w:val="1"/>
                <w:bCs w:val="1"/>
                <w:color w:val="auto"/>
              </w:rPr>
              <w:t>Investor Contacts:</w:t>
            </w:r>
          </w:p>
        </w:tc>
        <w:tc>
          <w:tcPr>
            <w:tcW w:w="4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1180" w:type="dxa"/>
            <w:vAlign w:val="bottom"/>
          </w:tcPr>
          <w:p>
            <w:pPr>
              <w:spacing w:after="0"/>
              <w:rPr>
                <w:sz w:val="18"/>
                <w:szCs w:val="18"/>
                <w:color w:val="auto"/>
              </w:rPr>
            </w:pPr>
          </w:p>
        </w:tc>
      </w:tr>
      <w:tr>
        <w:trPr>
          <w:trHeight w:val="277"/>
        </w:trPr>
        <w:tc>
          <w:tcPr>
            <w:tcW w:w="1600" w:type="dxa"/>
            <w:vAlign w:val="bottom"/>
            <w:gridSpan w:val="2"/>
          </w:tcPr>
          <w:p>
            <w:pPr>
              <w:spacing w:after="0"/>
              <w:rPr>
                <w:sz w:val="20"/>
                <w:szCs w:val="20"/>
                <w:color w:val="auto"/>
              </w:rPr>
            </w:pPr>
            <w:r>
              <w:rPr>
                <w:rFonts w:ascii="Arial" w:cs="Arial" w:eastAsia="Arial" w:hAnsi="Arial"/>
                <w:sz w:val="16"/>
                <w:szCs w:val="16"/>
                <w:color w:val="auto"/>
              </w:rPr>
              <w:t>Jane Bomba</w:t>
            </w:r>
          </w:p>
        </w:tc>
        <w:tc>
          <w:tcPr>
            <w:tcW w:w="3020" w:type="dxa"/>
            <w:vAlign w:val="bottom"/>
            <w:gridSpan w:val="4"/>
          </w:tcPr>
          <w:p>
            <w:pPr>
              <w:ind w:left="100"/>
              <w:spacing w:after="0"/>
              <w:rPr>
                <w:sz w:val="20"/>
                <w:szCs w:val="20"/>
                <w:color w:val="auto"/>
              </w:rPr>
            </w:pPr>
            <w:r>
              <w:rPr>
                <w:rFonts w:ascii="Arial" w:cs="Arial" w:eastAsia="Arial" w:hAnsi="Arial"/>
                <w:sz w:val="16"/>
                <w:szCs w:val="16"/>
                <w:color w:val="auto"/>
              </w:rPr>
              <w:t>Sally J. Curley</w:t>
            </w:r>
          </w:p>
        </w:tc>
      </w:tr>
      <w:tr>
        <w:trPr>
          <w:trHeight w:val="277"/>
        </w:trPr>
        <w:tc>
          <w:tcPr>
            <w:tcW w:w="2080" w:type="dxa"/>
            <w:vAlign w:val="bottom"/>
            <w:gridSpan w:val="3"/>
          </w:tcPr>
          <w:p>
            <w:pPr>
              <w:spacing w:after="0"/>
              <w:rPr>
                <w:sz w:val="20"/>
                <w:szCs w:val="20"/>
                <w:color w:val="auto"/>
              </w:rPr>
            </w:pPr>
            <w:r>
              <w:rPr>
                <w:rFonts w:ascii="Arial" w:cs="Arial" w:eastAsia="Arial" w:hAnsi="Arial"/>
                <w:sz w:val="16"/>
                <w:szCs w:val="16"/>
                <w:color w:val="auto"/>
                <w:w w:val="95"/>
              </w:rPr>
              <w:t>Luna Innovations Incorporated</w:t>
            </w:r>
          </w:p>
        </w:tc>
        <w:tc>
          <w:tcPr>
            <w:tcW w:w="260" w:type="dxa"/>
            <w:vAlign w:val="bottom"/>
          </w:tcPr>
          <w:p>
            <w:pPr>
              <w:spacing w:after="0"/>
              <w:rPr>
                <w:sz w:val="24"/>
                <w:szCs w:val="24"/>
                <w:color w:val="auto"/>
              </w:rPr>
            </w:pPr>
          </w:p>
        </w:tc>
        <w:tc>
          <w:tcPr>
            <w:tcW w:w="2280" w:type="dxa"/>
            <w:vAlign w:val="bottom"/>
            <w:gridSpan w:val="2"/>
          </w:tcPr>
          <w:p>
            <w:pPr>
              <w:ind w:left="280"/>
              <w:spacing w:after="0"/>
              <w:rPr>
                <w:sz w:val="20"/>
                <w:szCs w:val="20"/>
                <w:color w:val="auto"/>
              </w:rPr>
            </w:pPr>
            <w:r>
              <w:rPr>
                <w:rFonts w:ascii="Arial" w:cs="Arial" w:eastAsia="Arial" w:hAnsi="Arial"/>
                <w:sz w:val="16"/>
                <w:szCs w:val="16"/>
                <w:color w:val="auto"/>
                <w:w w:val="91"/>
              </w:rPr>
              <w:t>Luna Innovations Incorporated</w:t>
            </w:r>
          </w:p>
        </w:tc>
      </w:tr>
      <w:tr>
        <w:trPr>
          <w:trHeight w:val="277"/>
        </w:trPr>
        <w:tc>
          <w:tcPr>
            <w:tcW w:w="1600" w:type="dxa"/>
            <w:vAlign w:val="bottom"/>
            <w:gridSpan w:val="2"/>
          </w:tcPr>
          <w:p>
            <w:pPr>
              <w:spacing w:after="0"/>
              <w:rPr>
                <w:sz w:val="20"/>
                <w:szCs w:val="20"/>
                <w:color w:val="auto"/>
              </w:rPr>
            </w:pPr>
            <w:r>
              <w:rPr>
                <w:rFonts w:ascii="Arial" w:cs="Arial" w:eastAsia="Arial" w:hAnsi="Arial"/>
                <w:sz w:val="16"/>
                <w:szCs w:val="16"/>
                <w:color w:val="auto"/>
              </w:rPr>
              <w:t>Phone: 303-829-1211</w:t>
            </w:r>
          </w:p>
        </w:tc>
        <w:tc>
          <w:tcPr>
            <w:tcW w:w="480" w:type="dxa"/>
            <w:vAlign w:val="bottom"/>
          </w:tcPr>
          <w:p>
            <w:pPr>
              <w:spacing w:after="0"/>
              <w:rPr>
                <w:sz w:val="24"/>
                <w:szCs w:val="24"/>
                <w:color w:val="auto"/>
              </w:rPr>
            </w:pPr>
          </w:p>
        </w:tc>
        <w:tc>
          <w:tcPr>
            <w:tcW w:w="1360" w:type="dxa"/>
            <w:vAlign w:val="bottom"/>
            <w:gridSpan w:val="2"/>
          </w:tcPr>
          <w:p>
            <w:pPr>
              <w:jc w:val="right"/>
              <w:ind w:right="279"/>
              <w:spacing w:after="0"/>
              <w:rPr>
                <w:sz w:val="20"/>
                <w:szCs w:val="20"/>
                <w:color w:val="auto"/>
              </w:rPr>
            </w:pPr>
            <w:r>
              <w:rPr>
                <w:rFonts w:ascii="Arial" w:cs="Arial" w:eastAsia="Arial" w:hAnsi="Arial"/>
                <w:sz w:val="16"/>
                <w:szCs w:val="16"/>
                <w:color w:val="auto"/>
                <w:w w:val="98"/>
              </w:rPr>
              <w:t>614-530-3002</w:t>
            </w:r>
          </w:p>
        </w:tc>
        <w:tc>
          <w:tcPr>
            <w:tcW w:w="1180" w:type="dxa"/>
            <w:vAlign w:val="bottom"/>
          </w:tcPr>
          <w:p>
            <w:pPr>
              <w:spacing w:after="0"/>
              <w:rPr>
                <w:sz w:val="24"/>
                <w:szCs w:val="24"/>
                <w:color w:val="auto"/>
              </w:rPr>
            </w:pPr>
          </w:p>
        </w:tc>
      </w:tr>
      <w:tr>
        <w:trPr>
          <w:trHeight w:val="240"/>
        </w:trPr>
        <w:tc>
          <w:tcPr>
            <w:tcW w:w="1600" w:type="dxa"/>
            <w:vAlign w:val="bottom"/>
            <w:gridSpan w:val="2"/>
          </w:tcPr>
          <w:p>
            <w:pPr>
              <w:spacing w:after="0"/>
              <w:rPr>
                <w:sz w:val="20"/>
                <w:szCs w:val="20"/>
                <w:color w:val="auto"/>
              </w:rPr>
            </w:pPr>
            <w:r>
              <w:rPr>
                <w:rFonts w:ascii="Arial" w:cs="Arial" w:eastAsia="Arial" w:hAnsi="Arial"/>
                <w:sz w:val="16"/>
                <w:szCs w:val="16"/>
                <w:color w:val="auto"/>
                <w:w w:val="94"/>
              </w:rPr>
              <w:t xml:space="preserve">Email: </w:t>
            </w:r>
            <w:r>
              <w:rPr>
                <w:rFonts w:ascii="Arial" w:cs="Arial" w:eastAsia="Arial" w:hAnsi="Arial"/>
                <w:sz w:val="16"/>
                <w:szCs w:val="16"/>
                <w:color w:val="0563C1"/>
                <w:w w:val="94"/>
              </w:rPr>
              <w:t>IR@lunainc.com</w:t>
            </w:r>
          </w:p>
        </w:tc>
        <w:tc>
          <w:tcPr>
            <w:tcW w:w="4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280" w:type="dxa"/>
            <w:vAlign w:val="bottom"/>
            <w:gridSpan w:val="2"/>
          </w:tcPr>
          <w:p>
            <w:pPr>
              <w:spacing w:after="0"/>
              <w:rPr>
                <w:sz w:val="20"/>
                <w:szCs w:val="20"/>
                <w:color w:val="auto"/>
              </w:rPr>
            </w:pPr>
            <w:r>
              <w:rPr>
                <w:rFonts w:ascii="Arial" w:cs="Arial" w:eastAsia="Arial" w:hAnsi="Arial"/>
                <w:sz w:val="16"/>
                <w:szCs w:val="16"/>
                <w:color w:val="0563C1"/>
              </w:rPr>
              <w:t>IR@lunainc.com</w:t>
            </w:r>
          </w:p>
        </w:tc>
      </w:tr>
      <w:tr>
        <w:trPr>
          <w:trHeight w:val="20"/>
        </w:trPr>
        <w:tc>
          <w:tcPr>
            <w:tcW w:w="480" w:type="dxa"/>
            <w:vAlign w:val="bottom"/>
          </w:tcPr>
          <w:p>
            <w:pPr>
              <w:spacing w:after="0" w:line="20" w:lineRule="exact"/>
              <w:rPr>
                <w:sz w:val="1"/>
                <w:szCs w:val="1"/>
                <w:color w:val="auto"/>
              </w:rPr>
            </w:pPr>
          </w:p>
        </w:tc>
        <w:tc>
          <w:tcPr>
            <w:tcW w:w="1120" w:type="dxa"/>
            <w:vAlign w:val="bottom"/>
            <w:shd w:val="clear" w:color="auto" w:fill="0563C1"/>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100" w:type="dxa"/>
            <w:vAlign w:val="bottom"/>
            <w:shd w:val="clear" w:color="auto" w:fill="0563C1"/>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r>
    </w:tbl>
    <w:p>
      <w:pPr>
        <w:sectPr>
          <w:pgSz w:w="11900" w:h="16838" w:orient="portrait"/>
          <w:cols w:equalWidth="0" w:num="1">
            <w:col w:w="11440"/>
          </w:cols>
          <w:pgMar w:left="220" w:top="546" w:right="239" w:bottom="1440" w:gutter="0" w:footer="0" w:header="0"/>
        </w:sectPr>
      </w:pPr>
    </w:p>
    <w:bookmarkStart w:id="8" w:name="page9"/>
    <w:bookmarkEnd w:id="8"/>
    <w:p>
      <w:pPr>
        <w:jc w:val="center"/>
        <w:ind w:right="20"/>
        <w:spacing w:after="0"/>
        <w:rPr>
          <w:sz w:val="20"/>
          <w:szCs w:val="20"/>
          <w:color w:val="auto"/>
        </w:rPr>
      </w:pPr>
      <w:r>
        <w:rPr>
          <w:rFonts w:ascii="Arial" w:cs="Arial" w:eastAsia="Arial" w:hAnsi="Arial"/>
          <w:sz w:val="15"/>
          <w:szCs w:val="15"/>
          <w:b w:val="1"/>
          <w:bCs w:val="1"/>
          <w:color w:val="auto"/>
        </w:rPr>
        <w:t>Luna Innovations Incorporated</w:t>
      </w:r>
    </w:p>
    <w:p>
      <w:pPr>
        <w:spacing w:after="0" w:line="19" w:lineRule="exact"/>
        <w:rPr>
          <w:sz w:val="20"/>
          <w:szCs w:val="20"/>
          <w:color w:val="auto"/>
        </w:rPr>
      </w:pPr>
    </w:p>
    <w:p>
      <w:pPr>
        <w:jc w:val="center"/>
        <w:ind w:right="20"/>
        <w:spacing w:after="0"/>
        <w:rPr>
          <w:sz w:val="20"/>
          <w:szCs w:val="20"/>
          <w:color w:val="auto"/>
        </w:rPr>
      </w:pPr>
      <w:r>
        <w:rPr>
          <w:rFonts w:ascii="Arial" w:cs="Arial" w:eastAsia="Arial" w:hAnsi="Arial"/>
          <w:sz w:val="15"/>
          <w:szCs w:val="15"/>
          <w:b w:val="1"/>
          <w:bCs w:val="1"/>
          <w:color w:val="auto"/>
        </w:rPr>
        <w:t>Consolidated Statements of Operations</w:t>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173"/>
        </w:trPr>
        <w:tc>
          <w:tcPr>
            <w:tcW w:w="44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820" w:type="dxa"/>
            <w:vAlign w:val="bottom"/>
            <w:gridSpan w:val="5"/>
          </w:tcPr>
          <w:p>
            <w:pPr>
              <w:ind w:left="160"/>
              <w:spacing w:after="0"/>
              <w:rPr>
                <w:sz w:val="20"/>
                <w:szCs w:val="20"/>
                <w:color w:val="auto"/>
              </w:rPr>
            </w:pPr>
            <w:r>
              <w:rPr>
                <w:rFonts w:ascii="Arial" w:cs="Arial" w:eastAsia="Arial" w:hAnsi="Arial"/>
                <w:sz w:val="13"/>
                <w:szCs w:val="13"/>
                <w:b w:val="1"/>
                <w:bCs w:val="1"/>
                <w:color w:val="auto"/>
              </w:rPr>
              <w:t>Three Months Ended September 30,</w:t>
            </w:r>
          </w:p>
        </w:tc>
        <w:tc>
          <w:tcPr>
            <w:tcW w:w="200" w:type="dxa"/>
            <w:vAlign w:val="bottom"/>
          </w:tcPr>
          <w:p>
            <w:pPr>
              <w:spacing w:after="0"/>
              <w:rPr>
                <w:sz w:val="15"/>
                <w:szCs w:val="15"/>
                <w:color w:val="auto"/>
              </w:rPr>
            </w:pPr>
          </w:p>
        </w:tc>
        <w:tc>
          <w:tcPr>
            <w:tcW w:w="2420" w:type="dxa"/>
            <w:vAlign w:val="bottom"/>
            <w:gridSpan w:val="4"/>
          </w:tcPr>
          <w:p>
            <w:pPr>
              <w:jc w:val="right"/>
              <w:ind w:right="253"/>
              <w:spacing w:after="0"/>
              <w:rPr>
                <w:sz w:val="20"/>
                <w:szCs w:val="20"/>
                <w:color w:val="auto"/>
              </w:rPr>
            </w:pPr>
            <w:r>
              <w:rPr>
                <w:rFonts w:ascii="Arial" w:cs="Arial" w:eastAsia="Arial" w:hAnsi="Arial"/>
                <w:sz w:val="13"/>
                <w:szCs w:val="13"/>
                <w:b w:val="1"/>
                <w:bCs w:val="1"/>
                <w:color w:val="auto"/>
                <w:w w:val="97"/>
              </w:rPr>
              <w:t>Nine Months Ended September 30,</w:t>
            </w:r>
          </w:p>
        </w:tc>
        <w:tc>
          <w:tcPr>
            <w:tcW w:w="0" w:type="dxa"/>
            <w:vAlign w:val="bottom"/>
          </w:tcPr>
          <w:p>
            <w:pPr>
              <w:spacing w:after="0"/>
              <w:rPr>
                <w:sz w:val="1"/>
                <w:szCs w:val="1"/>
                <w:color w:val="auto"/>
              </w:rPr>
            </w:pPr>
          </w:p>
        </w:tc>
      </w:tr>
      <w:tr>
        <w:trPr>
          <w:trHeight w:val="27"/>
        </w:trPr>
        <w:tc>
          <w:tcPr>
            <w:tcW w:w="448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86"/>
        </w:trPr>
        <w:tc>
          <w:tcPr>
            <w:tcW w:w="44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100" w:type="dxa"/>
            <w:vAlign w:val="bottom"/>
          </w:tcPr>
          <w:p>
            <w:pPr>
              <w:jc w:val="right"/>
              <w:ind w:right="473"/>
              <w:spacing w:after="0"/>
              <w:rPr>
                <w:sz w:val="20"/>
                <w:szCs w:val="20"/>
                <w:color w:val="auto"/>
              </w:rPr>
            </w:pPr>
            <w:r>
              <w:rPr>
                <w:rFonts w:ascii="Arial" w:cs="Arial" w:eastAsia="Arial" w:hAnsi="Arial"/>
                <w:sz w:val="13"/>
                <w:szCs w:val="13"/>
                <w:b w:val="1"/>
                <w:bCs w:val="1"/>
                <w:color w:val="auto"/>
              </w:rPr>
              <w:t>2018</w:t>
            </w:r>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40" w:type="dxa"/>
            <w:vAlign w:val="bottom"/>
          </w:tcPr>
          <w:p>
            <w:pPr>
              <w:jc w:val="right"/>
              <w:ind w:right="453"/>
              <w:spacing w:after="0"/>
              <w:rPr>
                <w:sz w:val="20"/>
                <w:szCs w:val="20"/>
                <w:color w:val="auto"/>
              </w:rPr>
            </w:pPr>
            <w:r>
              <w:rPr>
                <w:rFonts w:ascii="Arial" w:cs="Arial" w:eastAsia="Arial" w:hAnsi="Arial"/>
                <w:sz w:val="13"/>
                <w:szCs w:val="13"/>
                <w:b w:val="1"/>
                <w:bCs w:val="1"/>
                <w:color w:val="auto"/>
              </w:rPr>
              <w:t>2017</w:t>
            </w: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jc w:val="right"/>
              <w:ind w:right="413"/>
              <w:spacing w:after="0"/>
              <w:rPr>
                <w:sz w:val="20"/>
                <w:szCs w:val="20"/>
                <w:color w:val="auto"/>
              </w:rPr>
            </w:pPr>
            <w:r>
              <w:rPr>
                <w:rFonts w:ascii="Arial" w:cs="Arial" w:eastAsia="Arial" w:hAnsi="Arial"/>
                <w:sz w:val="13"/>
                <w:szCs w:val="13"/>
                <w:b w:val="1"/>
                <w:bCs w:val="1"/>
                <w:color w:val="auto"/>
              </w:rPr>
              <w:t>2018</w:t>
            </w: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880" w:type="dxa"/>
            <w:vAlign w:val="bottom"/>
          </w:tcPr>
          <w:p>
            <w:pPr>
              <w:jc w:val="right"/>
              <w:ind w:right="473"/>
              <w:spacing w:after="0"/>
              <w:rPr>
                <w:sz w:val="20"/>
                <w:szCs w:val="20"/>
                <w:color w:val="auto"/>
              </w:rPr>
            </w:pPr>
            <w:r>
              <w:rPr>
                <w:rFonts w:ascii="Arial" w:cs="Arial" w:eastAsia="Arial" w:hAnsi="Arial"/>
                <w:sz w:val="13"/>
                <w:szCs w:val="13"/>
                <w:b w:val="1"/>
                <w:bCs w:val="1"/>
                <w:color w:val="auto"/>
              </w:rPr>
              <w:t>2017</w:t>
            </w:r>
          </w:p>
        </w:tc>
        <w:tc>
          <w:tcPr>
            <w:tcW w:w="0" w:type="dxa"/>
            <w:vAlign w:val="bottom"/>
          </w:tcPr>
          <w:p>
            <w:pPr>
              <w:spacing w:after="0"/>
              <w:rPr>
                <w:sz w:val="1"/>
                <w:szCs w:val="1"/>
                <w:color w:val="auto"/>
              </w:rPr>
            </w:pPr>
          </w:p>
        </w:tc>
      </w:tr>
      <w:tr>
        <w:trPr>
          <w:trHeight w:val="27"/>
        </w:trPr>
        <w:tc>
          <w:tcPr>
            <w:tcW w:w="448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680" w:type="dxa"/>
            <w:vAlign w:val="bottom"/>
            <w:tcBorders>
              <w:bottom w:val="single" w:sz="8" w:color="auto"/>
            </w:tcBorders>
            <w:gridSpan w:val="3"/>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540" w:type="dxa"/>
            <w:vAlign w:val="bottom"/>
            <w:tcBorders>
              <w:bottom w:val="single" w:sz="8" w:color="auto"/>
            </w:tcBorders>
            <w:gridSpan w:val="3"/>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75"/>
        </w:trPr>
        <w:tc>
          <w:tcPr>
            <w:tcW w:w="44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680" w:type="dxa"/>
            <w:vAlign w:val="bottom"/>
            <w:gridSpan w:val="3"/>
          </w:tcPr>
          <w:p>
            <w:pPr>
              <w:jc w:val="right"/>
              <w:ind w:right="93"/>
              <w:spacing w:after="0"/>
              <w:rPr>
                <w:sz w:val="20"/>
                <w:szCs w:val="20"/>
                <w:color w:val="auto"/>
              </w:rPr>
            </w:pPr>
            <w:r>
              <w:rPr>
                <w:rFonts w:ascii="Arial" w:cs="Arial" w:eastAsia="Arial" w:hAnsi="Arial"/>
                <w:sz w:val="13"/>
                <w:szCs w:val="13"/>
                <w:b w:val="1"/>
                <w:bCs w:val="1"/>
                <w:color w:val="auto"/>
              </w:rPr>
              <w:t>(unaudited)</w:t>
            </w:r>
          </w:p>
        </w:tc>
        <w:tc>
          <w:tcPr>
            <w:tcW w:w="9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540" w:type="dxa"/>
            <w:vAlign w:val="bottom"/>
            <w:gridSpan w:val="3"/>
          </w:tcPr>
          <w:p>
            <w:pPr>
              <w:jc w:val="right"/>
              <w:ind w:right="33"/>
              <w:spacing w:after="0"/>
              <w:rPr>
                <w:sz w:val="20"/>
                <w:szCs w:val="20"/>
                <w:color w:val="auto"/>
              </w:rPr>
            </w:pPr>
            <w:r>
              <w:rPr>
                <w:rFonts w:ascii="Arial" w:cs="Arial" w:eastAsia="Arial" w:hAnsi="Arial"/>
                <w:sz w:val="13"/>
                <w:szCs w:val="13"/>
                <w:b w:val="1"/>
                <w:bCs w:val="1"/>
                <w:color w:val="auto"/>
              </w:rPr>
              <w:t>(unaudited)</w:t>
            </w:r>
          </w:p>
        </w:tc>
        <w:tc>
          <w:tcPr>
            <w:tcW w:w="8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1"/>
        </w:trPr>
        <w:tc>
          <w:tcPr>
            <w:tcW w:w="4480" w:type="dxa"/>
            <w:vAlign w:val="bottom"/>
          </w:tcPr>
          <w:p>
            <w:pPr>
              <w:ind w:left="20"/>
              <w:spacing w:after="0"/>
              <w:rPr>
                <w:sz w:val="20"/>
                <w:szCs w:val="20"/>
                <w:color w:val="auto"/>
              </w:rPr>
            </w:pPr>
            <w:r>
              <w:rPr>
                <w:rFonts w:ascii="Arial" w:cs="Arial" w:eastAsia="Arial" w:hAnsi="Arial"/>
                <w:sz w:val="13"/>
                <w:szCs w:val="13"/>
                <w:color w:val="auto"/>
              </w:rPr>
              <w:t>Revenues:</w:t>
            </w:r>
          </w:p>
        </w:tc>
        <w:tc>
          <w:tcPr>
            <w:tcW w:w="24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8"/>
        </w:trPr>
        <w:tc>
          <w:tcPr>
            <w:tcW w:w="4480" w:type="dxa"/>
            <w:vAlign w:val="bottom"/>
          </w:tcPr>
          <w:p>
            <w:pPr>
              <w:spacing w:after="0"/>
              <w:rPr>
                <w:sz w:val="3"/>
                <w:szCs w:val="3"/>
                <w:color w:val="auto"/>
              </w:rPr>
            </w:pPr>
          </w:p>
        </w:tc>
        <w:tc>
          <w:tcPr>
            <w:tcW w:w="240" w:type="dxa"/>
            <w:vAlign w:val="bottom"/>
          </w:tcPr>
          <w:p>
            <w:pPr>
              <w:spacing w:after="0"/>
              <w:rPr>
                <w:sz w:val="3"/>
                <w:szCs w:val="3"/>
                <w:color w:val="auto"/>
              </w:rPr>
            </w:pPr>
          </w:p>
        </w:tc>
        <w:tc>
          <w:tcPr>
            <w:tcW w:w="1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380" w:type="dxa"/>
            <w:vAlign w:val="bottom"/>
          </w:tcPr>
          <w:p>
            <w:pPr>
              <w:spacing w:after="0"/>
              <w:rPr>
                <w:sz w:val="3"/>
                <w:szCs w:val="3"/>
                <w:color w:val="auto"/>
              </w:rPr>
            </w:pPr>
          </w:p>
        </w:tc>
        <w:tc>
          <w:tcPr>
            <w:tcW w:w="940" w:type="dxa"/>
            <w:vAlign w:val="bottom"/>
          </w:tcPr>
          <w:p>
            <w:pPr>
              <w:spacing w:after="0"/>
              <w:rPr>
                <w:sz w:val="3"/>
                <w:szCs w:val="3"/>
                <w:color w:val="auto"/>
              </w:rPr>
            </w:pPr>
          </w:p>
        </w:tc>
        <w:tc>
          <w:tcPr>
            <w:tcW w:w="20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440" w:type="dxa"/>
            <w:vAlign w:val="bottom"/>
          </w:tcPr>
          <w:p>
            <w:pPr>
              <w:spacing w:after="0"/>
              <w:rPr>
                <w:sz w:val="3"/>
                <w:szCs w:val="3"/>
                <w:color w:val="auto"/>
              </w:rPr>
            </w:pPr>
          </w:p>
        </w:tc>
        <w:tc>
          <w:tcPr>
            <w:tcW w:w="8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02"/>
        </w:trPr>
        <w:tc>
          <w:tcPr>
            <w:tcW w:w="4480" w:type="dxa"/>
            <w:vAlign w:val="bottom"/>
            <w:tcBorders>
              <w:bottom w:val="single" w:sz="8" w:color="CCEEFF"/>
            </w:tcBorders>
            <w:shd w:val="clear" w:color="auto" w:fill="CCEEFF"/>
          </w:tcPr>
          <w:p>
            <w:pPr>
              <w:ind w:left="300"/>
              <w:spacing w:after="0"/>
              <w:rPr>
                <w:sz w:val="20"/>
                <w:szCs w:val="20"/>
                <w:color w:val="auto"/>
              </w:rPr>
            </w:pPr>
            <w:r>
              <w:rPr>
                <w:rFonts w:ascii="Arial" w:cs="Arial" w:eastAsia="Arial" w:hAnsi="Arial"/>
                <w:sz w:val="13"/>
                <w:szCs w:val="13"/>
                <w:color w:val="auto"/>
              </w:rPr>
              <w:t>Technology development</w:t>
            </w:r>
          </w:p>
        </w:tc>
        <w:tc>
          <w:tcPr>
            <w:tcW w:w="240" w:type="dxa"/>
            <w:vAlign w:val="bottom"/>
            <w:tcBorders>
              <w:bottom w:val="single" w:sz="8" w:color="CCEEFF"/>
            </w:tcBorders>
            <w:shd w:val="clear" w:color="auto" w:fill="CCEEFF"/>
          </w:tcPr>
          <w:p>
            <w:pPr>
              <w:jc w:val="right"/>
              <w:ind w:right="93"/>
              <w:spacing w:after="0"/>
              <w:rPr>
                <w:sz w:val="20"/>
                <w:szCs w:val="20"/>
                <w:color w:val="auto"/>
              </w:rPr>
            </w:pPr>
            <w:r>
              <w:rPr>
                <w:rFonts w:ascii="Arial" w:cs="Arial" w:eastAsia="Arial" w:hAnsi="Arial"/>
                <w:sz w:val="13"/>
                <w:szCs w:val="13"/>
                <w:color w:val="auto"/>
                <w:w w:val="82"/>
              </w:rPr>
              <w:t>$</w:t>
            </w: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5,315,861</w:t>
            </w:r>
          </w:p>
        </w:tc>
        <w:tc>
          <w:tcPr>
            <w:tcW w:w="20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jc w:val="right"/>
              <w:ind w:right="213"/>
              <w:spacing w:after="0"/>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4,590,054</w:t>
            </w:r>
          </w:p>
        </w:tc>
        <w:tc>
          <w:tcPr>
            <w:tcW w:w="20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w w:val="82"/>
              </w:rPr>
              <w:t>$</w:t>
            </w: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15,418,919</w:t>
            </w:r>
          </w:p>
        </w:tc>
        <w:tc>
          <w:tcPr>
            <w:tcW w:w="10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jc w:val="right"/>
              <w:ind w:right="293"/>
              <w:spacing w:after="0"/>
              <w:rPr>
                <w:sz w:val="20"/>
                <w:szCs w:val="20"/>
                <w:color w:val="auto"/>
              </w:rPr>
            </w:pPr>
            <w:r>
              <w:rPr>
                <w:rFonts w:ascii="Arial" w:cs="Arial" w:eastAsia="Arial" w:hAnsi="Arial"/>
                <w:sz w:val="13"/>
                <w:szCs w:val="13"/>
                <w:color w:val="auto"/>
                <w:w w:val="82"/>
              </w:rPr>
              <w:t>$</w:t>
            </w:r>
          </w:p>
        </w:tc>
        <w:tc>
          <w:tcPr>
            <w:tcW w:w="8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13,428,428</w:t>
            </w:r>
          </w:p>
        </w:tc>
        <w:tc>
          <w:tcPr>
            <w:tcW w:w="0" w:type="dxa"/>
            <w:vAlign w:val="bottom"/>
          </w:tcPr>
          <w:p>
            <w:pPr>
              <w:spacing w:after="0"/>
              <w:rPr>
                <w:sz w:val="1"/>
                <w:szCs w:val="1"/>
                <w:color w:val="auto"/>
              </w:rPr>
            </w:pPr>
          </w:p>
        </w:tc>
      </w:tr>
      <w:tr>
        <w:trPr>
          <w:trHeight w:val="195"/>
        </w:trPr>
        <w:tc>
          <w:tcPr>
            <w:tcW w:w="4480" w:type="dxa"/>
            <w:vAlign w:val="bottom"/>
          </w:tcPr>
          <w:p>
            <w:pPr>
              <w:ind w:left="300"/>
              <w:spacing w:after="0"/>
              <w:rPr>
                <w:sz w:val="20"/>
                <w:szCs w:val="20"/>
                <w:color w:val="auto"/>
              </w:rPr>
            </w:pPr>
            <w:r>
              <w:rPr>
                <w:rFonts w:ascii="Arial" w:cs="Arial" w:eastAsia="Arial" w:hAnsi="Arial"/>
                <w:sz w:val="13"/>
                <w:szCs w:val="13"/>
                <w:color w:val="auto"/>
              </w:rPr>
              <w:t>Products and licensing</w:t>
            </w:r>
          </w:p>
        </w:tc>
        <w:tc>
          <w:tcPr>
            <w:tcW w:w="240" w:type="dxa"/>
            <w:vAlign w:val="bottom"/>
          </w:tcPr>
          <w:p>
            <w:pPr>
              <w:spacing w:after="0"/>
              <w:rPr>
                <w:sz w:val="16"/>
                <w:szCs w:val="16"/>
                <w:color w:val="auto"/>
              </w:rPr>
            </w:pPr>
          </w:p>
        </w:tc>
        <w:tc>
          <w:tcPr>
            <w:tcW w:w="1100" w:type="dxa"/>
            <w:vAlign w:val="bottom"/>
          </w:tcPr>
          <w:p>
            <w:pPr>
              <w:jc w:val="right"/>
              <w:ind w:right="53"/>
              <w:spacing w:after="0"/>
              <w:rPr>
                <w:sz w:val="20"/>
                <w:szCs w:val="20"/>
                <w:color w:val="auto"/>
              </w:rPr>
            </w:pPr>
            <w:r>
              <w:rPr>
                <w:rFonts w:ascii="Arial" w:cs="Arial" w:eastAsia="Arial" w:hAnsi="Arial"/>
                <w:sz w:val="13"/>
                <w:szCs w:val="13"/>
                <w:color w:val="auto"/>
              </w:rPr>
              <w:t>5,371,165</w:t>
            </w:r>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40" w:type="dxa"/>
            <w:vAlign w:val="bottom"/>
          </w:tcPr>
          <w:p>
            <w:pPr>
              <w:jc w:val="right"/>
              <w:ind w:right="33"/>
              <w:spacing w:after="0"/>
              <w:rPr>
                <w:sz w:val="20"/>
                <w:szCs w:val="20"/>
                <w:color w:val="auto"/>
              </w:rPr>
            </w:pPr>
            <w:r>
              <w:rPr>
                <w:rFonts w:ascii="Arial" w:cs="Arial" w:eastAsia="Arial" w:hAnsi="Arial"/>
                <w:sz w:val="13"/>
                <w:szCs w:val="13"/>
                <w:color w:val="auto"/>
              </w:rPr>
              <w:t>3,712,657</w:t>
            </w: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jc w:val="right"/>
              <w:ind w:right="33"/>
              <w:spacing w:after="0"/>
              <w:rPr>
                <w:sz w:val="20"/>
                <w:szCs w:val="20"/>
                <w:color w:val="auto"/>
              </w:rPr>
            </w:pPr>
            <w:r>
              <w:rPr>
                <w:rFonts w:ascii="Arial" w:cs="Arial" w:eastAsia="Arial" w:hAnsi="Arial"/>
                <w:sz w:val="13"/>
                <w:szCs w:val="13"/>
                <w:color w:val="auto"/>
              </w:rPr>
              <w:t>13,960,003</w:t>
            </w: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880" w:type="dxa"/>
            <w:vAlign w:val="bottom"/>
          </w:tcPr>
          <w:p>
            <w:pPr>
              <w:jc w:val="right"/>
              <w:ind w:right="33"/>
              <w:spacing w:after="0"/>
              <w:rPr>
                <w:sz w:val="20"/>
                <w:szCs w:val="20"/>
                <w:color w:val="auto"/>
              </w:rPr>
            </w:pPr>
            <w:r>
              <w:rPr>
                <w:rFonts w:ascii="Arial" w:cs="Arial" w:eastAsia="Arial" w:hAnsi="Arial"/>
                <w:sz w:val="13"/>
                <w:szCs w:val="13"/>
                <w:color w:val="auto"/>
              </w:rPr>
              <w:t>9,791,213</w:t>
            </w:r>
          </w:p>
        </w:tc>
        <w:tc>
          <w:tcPr>
            <w:tcW w:w="0" w:type="dxa"/>
            <w:vAlign w:val="bottom"/>
          </w:tcPr>
          <w:p>
            <w:pPr>
              <w:spacing w:after="0"/>
              <w:rPr>
                <w:sz w:val="1"/>
                <w:szCs w:val="1"/>
                <w:color w:val="auto"/>
              </w:rPr>
            </w:pPr>
          </w:p>
        </w:tc>
      </w:tr>
      <w:tr>
        <w:trPr>
          <w:trHeight w:val="27"/>
        </w:trPr>
        <w:tc>
          <w:tcPr>
            <w:tcW w:w="44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2"/>
        </w:trPr>
        <w:tc>
          <w:tcPr>
            <w:tcW w:w="44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Total revenues</w:t>
            </w:r>
          </w:p>
        </w:tc>
        <w:tc>
          <w:tcPr>
            <w:tcW w:w="240" w:type="dxa"/>
            <w:vAlign w:val="bottom"/>
            <w:tcBorders>
              <w:bottom w:val="single" w:sz="8" w:color="CCEEFF"/>
            </w:tcBorders>
            <w:shd w:val="clear" w:color="auto" w:fill="CCEEFF"/>
          </w:tcPr>
          <w:p>
            <w:pPr>
              <w:spacing w:after="0"/>
              <w:rPr>
                <w:sz w:val="17"/>
                <w:szCs w:val="17"/>
                <w:color w:val="auto"/>
              </w:rPr>
            </w:pP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10,687,026</w:t>
            </w:r>
          </w:p>
        </w:tc>
        <w:tc>
          <w:tcPr>
            <w:tcW w:w="20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8,302,711</w:t>
            </w:r>
          </w:p>
        </w:tc>
        <w:tc>
          <w:tcPr>
            <w:tcW w:w="20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29,378,922</w:t>
            </w:r>
          </w:p>
        </w:tc>
        <w:tc>
          <w:tcPr>
            <w:tcW w:w="10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8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23,219,641</w:t>
            </w:r>
          </w:p>
        </w:tc>
        <w:tc>
          <w:tcPr>
            <w:tcW w:w="0" w:type="dxa"/>
            <w:vAlign w:val="bottom"/>
          </w:tcPr>
          <w:p>
            <w:pPr>
              <w:spacing w:after="0"/>
              <w:rPr>
                <w:sz w:val="1"/>
                <w:szCs w:val="1"/>
                <w:color w:val="auto"/>
              </w:rPr>
            </w:pPr>
          </w:p>
        </w:tc>
      </w:tr>
      <w:tr>
        <w:trPr>
          <w:trHeight w:val="164"/>
        </w:trPr>
        <w:tc>
          <w:tcPr>
            <w:tcW w:w="4480" w:type="dxa"/>
            <w:vAlign w:val="bottom"/>
          </w:tcPr>
          <w:p>
            <w:pPr>
              <w:ind w:left="20"/>
              <w:spacing w:after="0"/>
              <w:rPr>
                <w:sz w:val="20"/>
                <w:szCs w:val="20"/>
                <w:color w:val="auto"/>
              </w:rPr>
            </w:pPr>
            <w:r>
              <w:rPr>
                <w:rFonts w:ascii="Arial" w:cs="Arial" w:eastAsia="Arial" w:hAnsi="Arial"/>
                <w:sz w:val="13"/>
                <w:szCs w:val="13"/>
                <w:color w:val="auto"/>
              </w:rPr>
              <w:t>Cost of revenues:</w:t>
            </w:r>
          </w:p>
        </w:tc>
        <w:tc>
          <w:tcPr>
            <w:tcW w:w="240" w:type="dxa"/>
            <w:vAlign w:val="bottom"/>
            <w:tcBorders>
              <w:top w:val="single" w:sz="8" w:color="auto"/>
            </w:tcBorders>
          </w:tcPr>
          <w:p>
            <w:pPr>
              <w:spacing w:after="0"/>
              <w:rPr>
                <w:sz w:val="14"/>
                <w:szCs w:val="14"/>
                <w:color w:val="auto"/>
              </w:rPr>
            </w:pPr>
          </w:p>
        </w:tc>
        <w:tc>
          <w:tcPr>
            <w:tcW w:w="1100" w:type="dxa"/>
            <w:vAlign w:val="bottom"/>
            <w:tcBorders>
              <w:top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380" w:type="dxa"/>
            <w:vAlign w:val="bottom"/>
            <w:tcBorders>
              <w:top w:val="single" w:sz="8" w:color="auto"/>
            </w:tcBorders>
          </w:tcPr>
          <w:p>
            <w:pPr>
              <w:spacing w:after="0"/>
              <w:rPr>
                <w:sz w:val="14"/>
                <w:szCs w:val="14"/>
                <w:color w:val="auto"/>
              </w:rPr>
            </w:pPr>
          </w:p>
        </w:tc>
        <w:tc>
          <w:tcPr>
            <w:tcW w:w="940" w:type="dxa"/>
            <w:vAlign w:val="bottom"/>
            <w:tcBorders>
              <w:top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200" w:type="dxa"/>
            <w:vAlign w:val="bottom"/>
            <w:tcBorders>
              <w:top w:val="single" w:sz="8" w:color="auto"/>
            </w:tcBorders>
          </w:tcPr>
          <w:p>
            <w:pPr>
              <w:spacing w:after="0"/>
              <w:rPr>
                <w:sz w:val="14"/>
                <w:szCs w:val="14"/>
                <w:color w:val="auto"/>
              </w:rPr>
            </w:pPr>
          </w:p>
        </w:tc>
        <w:tc>
          <w:tcPr>
            <w:tcW w:w="100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Borders>
              <w:top w:val="single" w:sz="8" w:color="auto"/>
            </w:tcBorders>
          </w:tcPr>
          <w:p>
            <w:pPr>
              <w:spacing w:after="0"/>
              <w:rPr>
                <w:sz w:val="14"/>
                <w:szCs w:val="14"/>
                <w:color w:val="auto"/>
              </w:rPr>
            </w:pPr>
          </w:p>
        </w:tc>
        <w:tc>
          <w:tcPr>
            <w:tcW w:w="880" w:type="dxa"/>
            <w:vAlign w:val="bottom"/>
            <w:tcBorders>
              <w:top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9"/>
        </w:trPr>
        <w:tc>
          <w:tcPr>
            <w:tcW w:w="4480" w:type="dxa"/>
            <w:vAlign w:val="bottom"/>
          </w:tcPr>
          <w:p>
            <w:pPr>
              <w:spacing w:after="0"/>
              <w:rPr>
                <w:sz w:val="4"/>
                <w:szCs w:val="4"/>
                <w:color w:val="auto"/>
              </w:rPr>
            </w:pPr>
          </w:p>
        </w:tc>
        <w:tc>
          <w:tcPr>
            <w:tcW w:w="240" w:type="dxa"/>
            <w:vAlign w:val="bottom"/>
          </w:tcPr>
          <w:p>
            <w:pPr>
              <w:spacing w:after="0"/>
              <w:rPr>
                <w:sz w:val="4"/>
                <w:szCs w:val="4"/>
                <w:color w:val="auto"/>
              </w:rPr>
            </w:pPr>
          </w:p>
        </w:tc>
        <w:tc>
          <w:tcPr>
            <w:tcW w:w="1100" w:type="dxa"/>
            <w:vAlign w:val="bottom"/>
          </w:tcPr>
          <w:p>
            <w:pPr>
              <w:spacing w:after="0"/>
              <w:rPr>
                <w:sz w:val="4"/>
                <w:szCs w:val="4"/>
                <w:color w:val="auto"/>
              </w:rPr>
            </w:pPr>
          </w:p>
        </w:tc>
        <w:tc>
          <w:tcPr>
            <w:tcW w:w="200" w:type="dxa"/>
            <w:vAlign w:val="bottom"/>
          </w:tcPr>
          <w:p>
            <w:pPr>
              <w:spacing w:after="0"/>
              <w:rPr>
                <w:sz w:val="4"/>
                <w:szCs w:val="4"/>
                <w:color w:val="auto"/>
              </w:rPr>
            </w:pPr>
          </w:p>
        </w:tc>
        <w:tc>
          <w:tcPr>
            <w:tcW w:w="380" w:type="dxa"/>
            <w:vAlign w:val="bottom"/>
          </w:tcPr>
          <w:p>
            <w:pPr>
              <w:spacing w:after="0"/>
              <w:rPr>
                <w:sz w:val="4"/>
                <w:szCs w:val="4"/>
                <w:color w:val="auto"/>
              </w:rPr>
            </w:pPr>
          </w:p>
        </w:tc>
        <w:tc>
          <w:tcPr>
            <w:tcW w:w="940" w:type="dxa"/>
            <w:vAlign w:val="bottom"/>
          </w:tcPr>
          <w:p>
            <w:pPr>
              <w:spacing w:after="0"/>
              <w:rPr>
                <w:sz w:val="4"/>
                <w:szCs w:val="4"/>
                <w:color w:val="auto"/>
              </w:rPr>
            </w:pPr>
          </w:p>
        </w:tc>
        <w:tc>
          <w:tcPr>
            <w:tcW w:w="20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c>
          <w:tcPr>
            <w:tcW w:w="440" w:type="dxa"/>
            <w:vAlign w:val="bottom"/>
          </w:tcPr>
          <w:p>
            <w:pPr>
              <w:spacing w:after="0"/>
              <w:rPr>
                <w:sz w:val="4"/>
                <w:szCs w:val="4"/>
                <w:color w:val="auto"/>
              </w:rPr>
            </w:pPr>
          </w:p>
        </w:tc>
        <w:tc>
          <w:tcPr>
            <w:tcW w:w="8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2"/>
        </w:trPr>
        <w:tc>
          <w:tcPr>
            <w:tcW w:w="4480" w:type="dxa"/>
            <w:vAlign w:val="bottom"/>
            <w:tcBorders>
              <w:bottom w:val="single" w:sz="8" w:color="CCEEFF"/>
            </w:tcBorders>
            <w:shd w:val="clear" w:color="auto" w:fill="CCEEFF"/>
          </w:tcPr>
          <w:p>
            <w:pPr>
              <w:ind w:left="300"/>
              <w:spacing w:after="0"/>
              <w:rPr>
                <w:sz w:val="20"/>
                <w:szCs w:val="20"/>
                <w:color w:val="auto"/>
              </w:rPr>
            </w:pPr>
            <w:r>
              <w:rPr>
                <w:rFonts w:ascii="Arial" w:cs="Arial" w:eastAsia="Arial" w:hAnsi="Arial"/>
                <w:sz w:val="13"/>
                <w:szCs w:val="13"/>
                <w:color w:val="auto"/>
              </w:rPr>
              <w:t>Technology development</w:t>
            </w:r>
          </w:p>
        </w:tc>
        <w:tc>
          <w:tcPr>
            <w:tcW w:w="240" w:type="dxa"/>
            <w:vAlign w:val="bottom"/>
            <w:tcBorders>
              <w:bottom w:val="single" w:sz="8" w:color="CCEEFF"/>
            </w:tcBorders>
            <w:shd w:val="clear" w:color="auto" w:fill="CCEEFF"/>
          </w:tcPr>
          <w:p>
            <w:pPr>
              <w:spacing w:after="0"/>
              <w:rPr>
                <w:sz w:val="17"/>
                <w:szCs w:val="17"/>
                <w:color w:val="auto"/>
              </w:rPr>
            </w:pP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3,918,666</w:t>
            </w:r>
          </w:p>
        </w:tc>
        <w:tc>
          <w:tcPr>
            <w:tcW w:w="20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3,491,840</w:t>
            </w:r>
          </w:p>
        </w:tc>
        <w:tc>
          <w:tcPr>
            <w:tcW w:w="20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11,131,965</w:t>
            </w:r>
          </w:p>
        </w:tc>
        <w:tc>
          <w:tcPr>
            <w:tcW w:w="10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8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10,045,261</w:t>
            </w:r>
          </w:p>
        </w:tc>
        <w:tc>
          <w:tcPr>
            <w:tcW w:w="0" w:type="dxa"/>
            <w:vAlign w:val="bottom"/>
          </w:tcPr>
          <w:p>
            <w:pPr>
              <w:spacing w:after="0"/>
              <w:rPr>
                <w:sz w:val="1"/>
                <w:szCs w:val="1"/>
                <w:color w:val="auto"/>
              </w:rPr>
            </w:pPr>
          </w:p>
        </w:tc>
      </w:tr>
      <w:tr>
        <w:trPr>
          <w:trHeight w:val="195"/>
        </w:trPr>
        <w:tc>
          <w:tcPr>
            <w:tcW w:w="4480" w:type="dxa"/>
            <w:vAlign w:val="bottom"/>
          </w:tcPr>
          <w:p>
            <w:pPr>
              <w:ind w:left="300"/>
              <w:spacing w:after="0"/>
              <w:rPr>
                <w:sz w:val="20"/>
                <w:szCs w:val="20"/>
                <w:color w:val="auto"/>
              </w:rPr>
            </w:pPr>
            <w:r>
              <w:rPr>
                <w:rFonts w:ascii="Arial" w:cs="Arial" w:eastAsia="Arial" w:hAnsi="Arial"/>
                <w:sz w:val="13"/>
                <w:szCs w:val="13"/>
                <w:color w:val="auto"/>
              </w:rPr>
              <w:t>Products and licensing</w:t>
            </w:r>
          </w:p>
        </w:tc>
        <w:tc>
          <w:tcPr>
            <w:tcW w:w="240" w:type="dxa"/>
            <w:vAlign w:val="bottom"/>
          </w:tcPr>
          <w:p>
            <w:pPr>
              <w:spacing w:after="0"/>
              <w:rPr>
                <w:sz w:val="16"/>
                <w:szCs w:val="16"/>
                <w:color w:val="auto"/>
              </w:rPr>
            </w:pPr>
          </w:p>
        </w:tc>
        <w:tc>
          <w:tcPr>
            <w:tcW w:w="1100" w:type="dxa"/>
            <w:vAlign w:val="bottom"/>
          </w:tcPr>
          <w:p>
            <w:pPr>
              <w:jc w:val="right"/>
              <w:ind w:right="53"/>
              <w:spacing w:after="0"/>
              <w:rPr>
                <w:sz w:val="20"/>
                <w:szCs w:val="20"/>
                <w:color w:val="auto"/>
              </w:rPr>
            </w:pPr>
            <w:r>
              <w:rPr>
                <w:rFonts w:ascii="Arial" w:cs="Arial" w:eastAsia="Arial" w:hAnsi="Arial"/>
                <w:sz w:val="13"/>
                <w:szCs w:val="13"/>
                <w:color w:val="auto"/>
              </w:rPr>
              <w:t>2,079,749</w:t>
            </w:r>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40" w:type="dxa"/>
            <w:vAlign w:val="bottom"/>
          </w:tcPr>
          <w:p>
            <w:pPr>
              <w:jc w:val="right"/>
              <w:ind w:right="33"/>
              <w:spacing w:after="0"/>
              <w:rPr>
                <w:sz w:val="20"/>
                <w:szCs w:val="20"/>
                <w:color w:val="auto"/>
              </w:rPr>
            </w:pPr>
            <w:r>
              <w:rPr>
                <w:rFonts w:ascii="Arial" w:cs="Arial" w:eastAsia="Arial" w:hAnsi="Arial"/>
                <w:sz w:val="13"/>
                <w:szCs w:val="13"/>
                <w:color w:val="auto"/>
              </w:rPr>
              <w:t>1,469,961</w:t>
            </w: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jc w:val="right"/>
              <w:ind w:right="33"/>
              <w:spacing w:after="0"/>
              <w:rPr>
                <w:sz w:val="20"/>
                <w:szCs w:val="20"/>
                <w:color w:val="auto"/>
              </w:rPr>
            </w:pPr>
            <w:r>
              <w:rPr>
                <w:rFonts w:ascii="Arial" w:cs="Arial" w:eastAsia="Arial" w:hAnsi="Arial"/>
                <w:sz w:val="13"/>
                <w:szCs w:val="13"/>
                <w:color w:val="auto"/>
              </w:rPr>
              <w:t>5,381,333</w:t>
            </w: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880" w:type="dxa"/>
            <w:vAlign w:val="bottom"/>
          </w:tcPr>
          <w:p>
            <w:pPr>
              <w:jc w:val="right"/>
              <w:ind w:right="33"/>
              <w:spacing w:after="0"/>
              <w:rPr>
                <w:sz w:val="20"/>
                <w:szCs w:val="20"/>
                <w:color w:val="auto"/>
              </w:rPr>
            </w:pPr>
            <w:r>
              <w:rPr>
                <w:rFonts w:ascii="Arial" w:cs="Arial" w:eastAsia="Arial" w:hAnsi="Arial"/>
                <w:sz w:val="13"/>
                <w:szCs w:val="13"/>
                <w:color w:val="auto"/>
              </w:rPr>
              <w:t>3,994,044</w:t>
            </w:r>
          </w:p>
        </w:tc>
        <w:tc>
          <w:tcPr>
            <w:tcW w:w="0" w:type="dxa"/>
            <w:vAlign w:val="bottom"/>
          </w:tcPr>
          <w:p>
            <w:pPr>
              <w:spacing w:after="0"/>
              <w:rPr>
                <w:sz w:val="1"/>
                <w:szCs w:val="1"/>
                <w:color w:val="auto"/>
              </w:rPr>
            </w:pPr>
          </w:p>
        </w:tc>
      </w:tr>
      <w:tr>
        <w:trPr>
          <w:trHeight w:val="27"/>
        </w:trPr>
        <w:tc>
          <w:tcPr>
            <w:tcW w:w="44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2"/>
        </w:trPr>
        <w:tc>
          <w:tcPr>
            <w:tcW w:w="44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Total cost of revenues</w:t>
            </w:r>
          </w:p>
        </w:tc>
        <w:tc>
          <w:tcPr>
            <w:tcW w:w="240" w:type="dxa"/>
            <w:vAlign w:val="bottom"/>
            <w:tcBorders>
              <w:bottom w:val="single" w:sz="8" w:color="CCEEFF"/>
            </w:tcBorders>
            <w:shd w:val="clear" w:color="auto" w:fill="CCEEFF"/>
          </w:tcPr>
          <w:p>
            <w:pPr>
              <w:spacing w:after="0"/>
              <w:rPr>
                <w:sz w:val="17"/>
                <w:szCs w:val="17"/>
                <w:color w:val="auto"/>
              </w:rPr>
            </w:pP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5,998,415</w:t>
            </w:r>
          </w:p>
        </w:tc>
        <w:tc>
          <w:tcPr>
            <w:tcW w:w="20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4,961,801</w:t>
            </w:r>
          </w:p>
        </w:tc>
        <w:tc>
          <w:tcPr>
            <w:tcW w:w="20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16,513,298</w:t>
            </w:r>
          </w:p>
        </w:tc>
        <w:tc>
          <w:tcPr>
            <w:tcW w:w="10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8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14,039,305</w:t>
            </w:r>
          </w:p>
        </w:tc>
        <w:tc>
          <w:tcPr>
            <w:tcW w:w="0" w:type="dxa"/>
            <w:vAlign w:val="bottom"/>
          </w:tcPr>
          <w:p>
            <w:pPr>
              <w:spacing w:after="0"/>
              <w:rPr>
                <w:sz w:val="1"/>
                <w:szCs w:val="1"/>
                <w:color w:val="auto"/>
              </w:rPr>
            </w:pPr>
          </w:p>
        </w:tc>
      </w:tr>
      <w:tr>
        <w:trPr>
          <w:trHeight w:val="175"/>
        </w:trPr>
        <w:tc>
          <w:tcPr>
            <w:tcW w:w="4480" w:type="dxa"/>
            <w:vAlign w:val="bottom"/>
          </w:tcPr>
          <w:p>
            <w:pPr>
              <w:ind w:left="20"/>
              <w:spacing w:after="0"/>
              <w:rPr>
                <w:sz w:val="20"/>
                <w:szCs w:val="20"/>
                <w:color w:val="auto"/>
              </w:rPr>
            </w:pPr>
            <w:r>
              <w:rPr>
                <w:rFonts w:ascii="Arial" w:cs="Arial" w:eastAsia="Arial" w:hAnsi="Arial"/>
                <w:sz w:val="13"/>
                <w:szCs w:val="13"/>
                <w:color w:val="auto"/>
              </w:rPr>
              <w:t>Gross profit</w:t>
            </w:r>
          </w:p>
        </w:tc>
        <w:tc>
          <w:tcPr>
            <w:tcW w:w="240" w:type="dxa"/>
            <w:vAlign w:val="bottom"/>
            <w:tcBorders>
              <w:top w:val="single" w:sz="8" w:color="auto"/>
            </w:tcBorders>
          </w:tcPr>
          <w:p>
            <w:pPr>
              <w:spacing w:after="0"/>
              <w:rPr>
                <w:sz w:val="15"/>
                <w:szCs w:val="15"/>
                <w:color w:val="auto"/>
              </w:rPr>
            </w:pPr>
          </w:p>
        </w:tc>
        <w:tc>
          <w:tcPr>
            <w:tcW w:w="110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4,688,611</w:t>
            </w:r>
          </w:p>
        </w:tc>
        <w:tc>
          <w:tcPr>
            <w:tcW w:w="200" w:type="dxa"/>
            <w:vAlign w:val="bottom"/>
          </w:tcPr>
          <w:p>
            <w:pPr>
              <w:spacing w:after="0"/>
              <w:rPr>
                <w:sz w:val="15"/>
                <w:szCs w:val="15"/>
                <w:color w:val="auto"/>
              </w:rPr>
            </w:pPr>
          </w:p>
        </w:tc>
        <w:tc>
          <w:tcPr>
            <w:tcW w:w="380" w:type="dxa"/>
            <w:vAlign w:val="bottom"/>
            <w:tcBorders>
              <w:top w:val="single" w:sz="8" w:color="auto"/>
            </w:tcBorders>
          </w:tcPr>
          <w:p>
            <w:pPr>
              <w:spacing w:after="0"/>
              <w:rPr>
                <w:sz w:val="15"/>
                <w:szCs w:val="15"/>
                <w:color w:val="auto"/>
              </w:rPr>
            </w:pPr>
          </w:p>
        </w:tc>
        <w:tc>
          <w:tcPr>
            <w:tcW w:w="94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3,340,910</w:t>
            </w:r>
          </w:p>
        </w:tc>
        <w:tc>
          <w:tcPr>
            <w:tcW w:w="200" w:type="dxa"/>
            <w:vAlign w:val="bottom"/>
          </w:tcPr>
          <w:p>
            <w:pPr>
              <w:spacing w:after="0"/>
              <w:rPr>
                <w:sz w:val="15"/>
                <w:szCs w:val="15"/>
                <w:color w:val="auto"/>
              </w:rPr>
            </w:pPr>
          </w:p>
        </w:tc>
        <w:tc>
          <w:tcPr>
            <w:tcW w:w="200" w:type="dxa"/>
            <w:vAlign w:val="bottom"/>
            <w:tcBorders>
              <w:top w:val="single" w:sz="8" w:color="auto"/>
            </w:tcBorders>
          </w:tcPr>
          <w:p>
            <w:pPr>
              <w:spacing w:after="0"/>
              <w:rPr>
                <w:sz w:val="15"/>
                <w:szCs w:val="15"/>
                <w:color w:val="auto"/>
              </w:rPr>
            </w:pPr>
          </w:p>
        </w:tc>
        <w:tc>
          <w:tcPr>
            <w:tcW w:w="100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12,865,624</w:t>
            </w:r>
          </w:p>
        </w:tc>
        <w:tc>
          <w:tcPr>
            <w:tcW w:w="100" w:type="dxa"/>
            <w:vAlign w:val="bottom"/>
          </w:tcPr>
          <w:p>
            <w:pPr>
              <w:spacing w:after="0"/>
              <w:rPr>
                <w:sz w:val="15"/>
                <w:szCs w:val="15"/>
                <w:color w:val="auto"/>
              </w:rPr>
            </w:pPr>
          </w:p>
        </w:tc>
        <w:tc>
          <w:tcPr>
            <w:tcW w:w="440" w:type="dxa"/>
            <w:vAlign w:val="bottom"/>
            <w:tcBorders>
              <w:top w:val="single" w:sz="8" w:color="auto"/>
            </w:tcBorders>
          </w:tcPr>
          <w:p>
            <w:pPr>
              <w:spacing w:after="0"/>
              <w:rPr>
                <w:sz w:val="15"/>
                <w:szCs w:val="15"/>
                <w:color w:val="auto"/>
              </w:rPr>
            </w:pPr>
          </w:p>
        </w:tc>
        <w:tc>
          <w:tcPr>
            <w:tcW w:w="88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9,180,336</w:t>
            </w:r>
          </w:p>
        </w:tc>
        <w:tc>
          <w:tcPr>
            <w:tcW w:w="0" w:type="dxa"/>
            <w:vAlign w:val="bottom"/>
          </w:tcPr>
          <w:p>
            <w:pPr>
              <w:spacing w:after="0"/>
              <w:rPr>
                <w:sz w:val="1"/>
                <w:szCs w:val="1"/>
                <w:color w:val="auto"/>
              </w:rPr>
            </w:pPr>
          </w:p>
        </w:tc>
      </w:tr>
      <w:tr>
        <w:trPr>
          <w:trHeight w:val="27"/>
        </w:trPr>
        <w:tc>
          <w:tcPr>
            <w:tcW w:w="44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93"/>
        </w:trPr>
        <w:tc>
          <w:tcPr>
            <w:tcW w:w="44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Operating expense:</w:t>
            </w:r>
          </w:p>
        </w:tc>
        <w:tc>
          <w:tcPr>
            <w:tcW w:w="240" w:type="dxa"/>
            <w:vAlign w:val="bottom"/>
            <w:tcBorders>
              <w:bottom w:val="single" w:sz="8" w:color="CCEEFF"/>
            </w:tcBorders>
            <w:shd w:val="clear" w:color="auto" w:fill="CCEEFF"/>
          </w:tcPr>
          <w:p>
            <w:pPr>
              <w:spacing w:after="0"/>
              <w:rPr>
                <w:sz w:val="16"/>
                <w:szCs w:val="16"/>
                <w:color w:val="auto"/>
              </w:rPr>
            </w:pPr>
          </w:p>
        </w:tc>
        <w:tc>
          <w:tcPr>
            <w:tcW w:w="110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spacing w:after="0"/>
              <w:rPr>
                <w:sz w:val="16"/>
                <w:szCs w:val="16"/>
                <w:color w:val="auto"/>
              </w:rPr>
            </w:pPr>
          </w:p>
        </w:tc>
        <w:tc>
          <w:tcPr>
            <w:tcW w:w="380" w:type="dxa"/>
            <w:vAlign w:val="bottom"/>
            <w:tcBorders>
              <w:bottom w:val="single" w:sz="8" w:color="CCEEFF"/>
            </w:tcBorders>
            <w:shd w:val="clear" w:color="auto" w:fill="CCEEFF"/>
          </w:tcPr>
          <w:p>
            <w:pPr>
              <w:spacing w:after="0"/>
              <w:rPr>
                <w:sz w:val="16"/>
                <w:szCs w:val="16"/>
                <w:color w:val="auto"/>
              </w:rPr>
            </w:pPr>
          </w:p>
        </w:tc>
        <w:tc>
          <w:tcPr>
            <w:tcW w:w="94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spacing w:after="0"/>
              <w:rPr>
                <w:sz w:val="16"/>
                <w:szCs w:val="16"/>
                <w:color w:val="auto"/>
              </w:rPr>
            </w:pPr>
          </w:p>
        </w:tc>
        <w:tc>
          <w:tcPr>
            <w:tcW w:w="100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440" w:type="dxa"/>
            <w:vAlign w:val="bottom"/>
            <w:tcBorders>
              <w:bottom w:val="single" w:sz="8" w:color="CCEEFF"/>
            </w:tcBorders>
            <w:shd w:val="clear" w:color="auto" w:fill="CCEEFF"/>
          </w:tcPr>
          <w:p>
            <w:pPr>
              <w:spacing w:after="0"/>
              <w:rPr>
                <w:sz w:val="16"/>
                <w:szCs w:val="16"/>
                <w:color w:val="auto"/>
              </w:rPr>
            </w:pPr>
          </w:p>
        </w:tc>
        <w:tc>
          <w:tcPr>
            <w:tcW w:w="88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4480" w:type="dxa"/>
            <w:vAlign w:val="bottom"/>
          </w:tcPr>
          <w:p>
            <w:pPr>
              <w:ind w:left="300"/>
              <w:spacing w:after="0"/>
              <w:rPr>
                <w:sz w:val="20"/>
                <w:szCs w:val="20"/>
                <w:color w:val="auto"/>
              </w:rPr>
            </w:pPr>
            <w:r>
              <w:rPr>
                <w:rFonts w:ascii="Arial" w:cs="Arial" w:eastAsia="Arial" w:hAnsi="Arial"/>
                <w:sz w:val="13"/>
                <w:szCs w:val="13"/>
                <w:color w:val="auto"/>
              </w:rPr>
              <w:t>Selling, general and administrative</w:t>
            </w:r>
          </w:p>
        </w:tc>
        <w:tc>
          <w:tcPr>
            <w:tcW w:w="240" w:type="dxa"/>
            <w:vAlign w:val="bottom"/>
          </w:tcPr>
          <w:p>
            <w:pPr>
              <w:spacing w:after="0"/>
              <w:rPr>
                <w:sz w:val="16"/>
                <w:szCs w:val="16"/>
                <w:color w:val="auto"/>
              </w:rPr>
            </w:pPr>
          </w:p>
        </w:tc>
        <w:tc>
          <w:tcPr>
            <w:tcW w:w="1100" w:type="dxa"/>
            <w:vAlign w:val="bottom"/>
          </w:tcPr>
          <w:p>
            <w:pPr>
              <w:jc w:val="right"/>
              <w:ind w:right="53"/>
              <w:spacing w:after="0"/>
              <w:rPr>
                <w:sz w:val="20"/>
                <w:szCs w:val="20"/>
                <w:color w:val="auto"/>
              </w:rPr>
            </w:pPr>
            <w:r>
              <w:rPr>
                <w:rFonts w:ascii="Arial" w:cs="Arial" w:eastAsia="Arial" w:hAnsi="Arial"/>
                <w:sz w:val="13"/>
                <w:szCs w:val="13"/>
                <w:color w:val="auto"/>
              </w:rPr>
              <w:t>3,233,485</w:t>
            </w:r>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40" w:type="dxa"/>
            <w:vAlign w:val="bottom"/>
          </w:tcPr>
          <w:p>
            <w:pPr>
              <w:jc w:val="right"/>
              <w:ind w:right="33"/>
              <w:spacing w:after="0"/>
              <w:rPr>
                <w:sz w:val="20"/>
                <w:szCs w:val="20"/>
                <w:color w:val="auto"/>
              </w:rPr>
            </w:pPr>
            <w:r>
              <w:rPr>
                <w:rFonts w:ascii="Arial" w:cs="Arial" w:eastAsia="Arial" w:hAnsi="Arial"/>
                <w:sz w:val="13"/>
                <w:szCs w:val="13"/>
                <w:color w:val="auto"/>
              </w:rPr>
              <w:t>2,831,493</w:t>
            </w: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jc w:val="right"/>
              <w:ind w:right="33"/>
              <w:spacing w:after="0"/>
              <w:rPr>
                <w:sz w:val="20"/>
                <w:szCs w:val="20"/>
                <w:color w:val="auto"/>
              </w:rPr>
            </w:pPr>
            <w:r>
              <w:rPr>
                <w:rFonts w:ascii="Arial" w:cs="Arial" w:eastAsia="Arial" w:hAnsi="Arial"/>
                <w:sz w:val="13"/>
                <w:szCs w:val="13"/>
                <w:color w:val="auto"/>
              </w:rPr>
              <w:t>9,898,064</w:t>
            </w: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880" w:type="dxa"/>
            <w:vAlign w:val="bottom"/>
          </w:tcPr>
          <w:p>
            <w:pPr>
              <w:jc w:val="right"/>
              <w:ind w:right="33"/>
              <w:spacing w:after="0"/>
              <w:rPr>
                <w:sz w:val="20"/>
                <w:szCs w:val="20"/>
                <w:color w:val="auto"/>
              </w:rPr>
            </w:pPr>
            <w:r>
              <w:rPr>
                <w:rFonts w:ascii="Arial" w:cs="Arial" w:eastAsia="Arial" w:hAnsi="Arial"/>
                <w:sz w:val="13"/>
                <w:szCs w:val="13"/>
                <w:color w:val="auto"/>
              </w:rPr>
              <w:t>8,983,016</w:t>
            </w:r>
          </w:p>
        </w:tc>
        <w:tc>
          <w:tcPr>
            <w:tcW w:w="0" w:type="dxa"/>
            <w:vAlign w:val="bottom"/>
          </w:tcPr>
          <w:p>
            <w:pPr>
              <w:spacing w:after="0"/>
              <w:rPr>
                <w:sz w:val="1"/>
                <w:szCs w:val="1"/>
                <w:color w:val="auto"/>
              </w:rPr>
            </w:pPr>
          </w:p>
        </w:tc>
      </w:tr>
      <w:tr>
        <w:trPr>
          <w:trHeight w:val="27"/>
        </w:trPr>
        <w:tc>
          <w:tcPr>
            <w:tcW w:w="44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100" w:type="dxa"/>
            <w:vAlign w:val="bottom"/>
          </w:tcPr>
          <w:p>
            <w:pPr>
              <w:spacing w:after="0"/>
              <w:rPr>
                <w:sz w:val="2"/>
                <w:szCs w:val="2"/>
                <w:color w:val="auto"/>
              </w:rPr>
            </w:pPr>
          </w:p>
        </w:tc>
        <w:tc>
          <w:tcPr>
            <w:tcW w:w="200" w:type="dxa"/>
            <w:vAlign w:val="bottom"/>
          </w:tcPr>
          <w:p>
            <w:pPr>
              <w:spacing w:after="0"/>
              <w:rPr>
                <w:sz w:val="2"/>
                <w:szCs w:val="2"/>
                <w:color w:val="auto"/>
              </w:rPr>
            </w:pPr>
          </w:p>
        </w:tc>
        <w:tc>
          <w:tcPr>
            <w:tcW w:w="380" w:type="dxa"/>
            <w:vAlign w:val="bottom"/>
          </w:tcPr>
          <w:p>
            <w:pPr>
              <w:spacing w:after="0"/>
              <w:rPr>
                <w:sz w:val="2"/>
                <w:szCs w:val="2"/>
                <w:color w:val="auto"/>
              </w:rPr>
            </w:pPr>
          </w:p>
        </w:tc>
        <w:tc>
          <w:tcPr>
            <w:tcW w:w="94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0" w:type="dxa"/>
            <w:vAlign w:val="bottom"/>
          </w:tcPr>
          <w:p>
            <w:pPr>
              <w:spacing w:after="0"/>
              <w:rPr>
                <w:sz w:val="2"/>
                <w:szCs w:val="2"/>
                <w:color w:val="auto"/>
              </w:rPr>
            </w:pPr>
          </w:p>
        </w:tc>
        <w:tc>
          <w:tcPr>
            <w:tcW w:w="100" w:type="dxa"/>
            <w:vAlign w:val="bottom"/>
          </w:tcPr>
          <w:p>
            <w:pPr>
              <w:spacing w:after="0"/>
              <w:rPr>
                <w:sz w:val="2"/>
                <w:szCs w:val="2"/>
                <w:color w:val="auto"/>
              </w:rPr>
            </w:pPr>
          </w:p>
        </w:tc>
        <w:tc>
          <w:tcPr>
            <w:tcW w:w="440" w:type="dxa"/>
            <w:vAlign w:val="bottom"/>
          </w:tcPr>
          <w:p>
            <w:pPr>
              <w:spacing w:after="0"/>
              <w:rPr>
                <w:sz w:val="2"/>
                <w:szCs w:val="2"/>
                <w:color w:val="auto"/>
              </w:rPr>
            </w:pPr>
          </w:p>
        </w:tc>
        <w:tc>
          <w:tcPr>
            <w:tcW w:w="8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22"/>
        </w:trPr>
        <w:tc>
          <w:tcPr>
            <w:tcW w:w="4480" w:type="dxa"/>
            <w:vAlign w:val="bottom"/>
            <w:tcBorders>
              <w:bottom w:val="single" w:sz="8" w:color="CCEEFF"/>
            </w:tcBorders>
            <w:shd w:val="clear" w:color="auto" w:fill="CCEEFF"/>
          </w:tcPr>
          <w:p>
            <w:pPr>
              <w:ind w:left="300"/>
              <w:spacing w:after="0"/>
              <w:rPr>
                <w:sz w:val="20"/>
                <w:szCs w:val="20"/>
                <w:color w:val="auto"/>
              </w:rPr>
            </w:pPr>
            <w:r>
              <w:rPr>
                <w:rFonts w:ascii="Arial" w:cs="Arial" w:eastAsia="Arial" w:hAnsi="Arial"/>
                <w:sz w:val="13"/>
                <w:szCs w:val="13"/>
                <w:color w:val="auto"/>
              </w:rPr>
              <w:t>Research, development and engineering</w:t>
            </w:r>
          </w:p>
        </w:tc>
        <w:tc>
          <w:tcPr>
            <w:tcW w:w="240" w:type="dxa"/>
            <w:vAlign w:val="bottom"/>
            <w:tcBorders>
              <w:bottom w:val="single" w:sz="8" w:color="CCEEFF"/>
            </w:tcBorders>
            <w:shd w:val="clear" w:color="auto" w:fill="CCEEFF"/>
          </w:tcPr>
          <w:p>
            <w:pPr>
              <w:spacing w:after="0"/>
              <w:rPr>
                <w:sz w:val="19"/>
                <w:szCs w:val="19"/>
                <w:color w:val="auto"/>
              </w:rPr>
            </w:pP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873,629</w:t>
            </w:r>
          </w:p>
        </w:tc>
        <w:tc>
          <w:tcPr>
            <w:tcW w:w="200" w:type="dxa"/>
            <w:vAlign w:val="bottom"/>
            <w:tcBorders>
              <w:bottom w:val="single" w:sz="8" w:color="CCEEFF"/>
            </w:tcBorders>
            <w:shd w:val="clear" w:color="auto" w:fill="CCEEFF"/>
          </w:tcPr>
          <w:p>
            <w:pPr>
              <w:spacing w:after="0"/>
              <w:rPr>
                <w:sz w:val="19"/>
                <w:szCs w:val="19"/>
                <w:color w:val="auto"/>
              </w:rPr>
            </w:pPr>
          </w:p>
        </w:tc>
        <w:tc>
          <w:tcPr>
            <w:tcW w:w="38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662,142</w:t>
            </w:r>
          </w:p>
        </w:tc>
        <w:tc>
          <w:tcPr>
            <w:tcW w:w="20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spacing w:after="0"/>
              <w:rPr>
                <w:sz w:val="19"/>
                <w:szCs w:val="19"/>
                <w:color w:val="auto"/>
              </w:rPr>
            </w:pP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2,513,497</w:t>
            </w:r>
          </w:p>
        </w:tc>
        <w:tc>
          <w:tcPr>
            <w:tcW w:w="100" w:type="dxa"/>
            <w:vAlign w:val="bottom"/>
            <w:tcBorders>
              <w:bottom w:val="single" w:sz="8" w:color="CCEEFF"/>
            </w:tcBorders>
            <w:shd w:val="clear" w:color="auto" w:fill="CCEEFF"/>
          </w:tcPr>
          <w:p>
            <w:pPr>
              <w:spacing w:after="0"/>
              <w:rPr>
                <w:sz w:val="19"/>
                <w:szCs w:val="19"/>
                <w:color w:val="auto"/>
              </w:rPr>
            </w:pPr>
          </w:p>
        </w:tc>
        <w:tc>
          <w:tcPr>
            <w:tcW w:w="44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1,961,770</w:t>
            </w:r>
          </w:p>
        </w:tc>
        <w:tc>
          <w:tcPr>
            <w:tcW w:w="0" w:type="dxa"/>
            <w:vAlign w:val="bottom"/>
          </w:tcPr>
          <w:p>
            <w:pPr>
              <w:spacing w:after="0"/>
              <w:rPr>
                <w:sz w:val="1"/>
                <w:szCs w:val="1"/>
                <w:color w:val="auto"/>
              </w:rPr>
            </w:pPr>
          </w:p>
        </w:tc>
      </w:tr>
      <w:tr>
        <w:trPr>
          <w:trHeight w:val="175"/>
        </w:trPr>
        <w:tc>
          <w:tcPr>
            <w:tcW w:w="4480" w:type="dxa"/>
            <w:vAlign w:val="bottom"/>
          </w:tcPr>
          <w:p>
            <w:pPr>
              <w:ind w:left="20"/>
              <w:spacing w:after="0"/>
              <w:rPr>
                <w:sz w:val="20"/>
                <w:szCs w:val="20"/>
                <w:color w:val="auto"/>
              </w:rPr>
            </w:pPr>
            <w:r>
              <w:rPr>
                <w:rFonts w:ascii="Arial" w:cs="Arial" w:eastAsia="Arial" w:hAnsi="Arial"/>
                <w:sz w:val="13"/>
                <w:szCs w:val="13"/>
                <w:color w:val="auto"/>
              </w:rPr>
              <w:t>Total operating expense</w:t>
            </w:r>
          </w:p>
        </w:tc>
        <w:tc>
          <w:tcPr>
            <w:tcW w:w="240" w:type="dxa"/>
            <w:vAlign w:val="bottom"/>
            <w:tcBorders>
              <w:top w:val="single" w:sz="8" w:color="auto"/>
            </w:tcBorders>
          </w:tcPr>
          <w:p>
            <w:pPr>
              <w:spacing w:after="0"/>
              <w:rPr>
                <w:sz w:val="15"/>
                <w:szCs w:val="15"/>
                <w:color w:val="auto"/>
              </w:rPr>
            </w:pPr>
          </w:p>
        </w:tc>
        <w:tc>
          <w:tcPr>
            <w:tcW w:w="110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4,107,114</w:t>
            </w:r>
          </w:p>
        </w:tc>
        <w:tc>
          <w:tcPr>
            <w:tcW w:w="200" w:type="dxa"/>
            <w:vAlign w:val="bottom"/>
          </w:tcPr>
          <w:p>
            <w:pPr>
              <w:spacing w:after="0"/>
              <w:rPr>
                <w:sz w:val="15"/>
                <w:szCs w:val="15"/>
                <w:color w:val="auto"/>
              </w:rPr>
            </w:pPr>
          </w:p>
        </w:tc>
        <w:tc>
          <w:tcPr>
            <w:tcW w:w="380" w:type="dxa"/>
            <w:vAlign w:val="bottom"/>
            <w:tcBorders>
              <w:top w:val="single" w:sz="8" w:color="auto"/>
            </w:tcBorders>
          </w:tcPr>
          <w:p>
            <w:pPr>
              <w:spacing w:after="0"/>
              <w:rPr>
                <w:sz w:val="15"/>
                <w:szCs w:val="15"/>
                <w:color w:val="auto"/>
              </w:rPr>
            </w:pPr>
          </w:p>
        </w:tc>
        <w:tc>
          <w:tcPr>
            <w:tcW w:w="94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3,493,635</w:t>
            </w:r>
          </w:p>
        </w:tc>
        <w:tc>
          <w:tcPr>
            <w:tcW w:w="200" w:type="dxa"/>
            <w:vAlign w:val="bottom"/>
          </w:tcPr>
          <w:p>
            <w:pPr>
              <w:spacing w:after="0"/>
              <w:rPr>
                <w:sz w:val="15"/>
                <w:szCs w:val="15"/>
                <w:color w:val="auto"/>
              </w:rPr>
            </w:pPr>
          </w:p>
        </w:tc>
        <w:tc>
          <w:tcPr>
            <w:tcW w:w="200" w:type="dxa"/>
            <w:vAlign w:val="bottom"/>
            <w:tcBorders>
              <w:top w:val="single" w:sz="8" w:color="auto"/>
            </w:tcBorders>
          </w:tcPr>
          <w:p>
            <w:pPr>
              <w:spacing w:after="0"/>
              <w:rPr>
                <w:sz w:val="15"/>
                <w:szCs w:val="15"/>
                <w:color w:val="auto"/>
              </w:rPr>
            </w:pPr>
          </w:p>
        </w:tc>
        <w:tc>
          <w:tcPr>
            <w:tcW w:w="100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12,411,561</w:t>
            </w:r>
          </w:p>
        </w:tc>
        <w:tc>
          <w:tcPr>
            <w:tcW w:w="100" w:type="dxa"/>
            <w:vAlign w:val="bottom"/>
          </w:tcPr>
          <w:p>
            <w:pPr>
              <w:spacing w:after="0"/>
              <w:rPr>
                <w:sz w:val="15"/>
                <w:szCs w:val="15"/>
                <w:color w:val="auto"/>
              </w:rPr>
            </w:pPr>
          </w:p>
        </w:tc>
        <w:tc>
          <w:tcPr>
            <w:tcW w:w="440" w:type="dxa"/>
            <w:vAlign w:val="bottom"/>
            <w:tcBorders>
              <w:top w:val="single" w:sz="8" w:color="auto"/>
            </w:tcBorders>
          </w:tcPr>
          <w:p>
            <w:pPr>
              <w:spacing w:after="0"/>
              <w:rPr>
                <w:sz w:val="15"/>
                <w:szCs w:val="15"/>
                <w:color w:val="auto"/>
              </w:rPr>
            </w:pPr>
          </w:p>
        </w:tc>
        <w:tc>
          <w:tcPr>
            <w:tcW w:w="88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10,944,786</w:t>
            </w:r>
          </w:p>
        </w:tc>
        <w:tc>
          <w:tcPr>
            <w:tcW w:w="0" w:type="dxa"/>
            <w:vAlign w:val="bottom"/>
          </w:tcPr>
          <w:p>
            <w:pPr>
              <w:spacing w:after="0"/>
              <w:rPr>
                <w:sz w:val="1"/>
                <w:szCs w:val="1"/>
                <w:color w:val="auto"/>
              </w:rPr>
            </w:pPr>
          </w:p>
        </w:tc>
      </w:tr>
      <w:tr>
        <w:trPr>
          <w:trHeight w:val="27"/>
        </w:trPr>
        <w:tc>
          <w:tcPr>
            <w:tcW w:w="44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2"/>
        </w:trPr>
        <w:tc>
          <w:tcPr>
            <w:tcW w:w="44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Operating income/(loss)</w:t>
            </w:r>
          </w:p>
        </w:tc>
        <w:tc>
          <w:tcPr>
            <w:tcW w:w="240" w:type="dxa"/>
            <w:vAlign w:val="bottom"/>
            <w:tcBorders>
              <w:bottom w:val="single" w:sz="8" w:color="CCEEFF"/>
            </w:tcBorders>
            <w:shd w:val="clear" w:color="auto" w:fill="CCEEFF"/>
          </w:tcPr>
          <w:p>
            <w:pPr>
              <w:spacing w:after="0"/>
              <w:rPr>
                <w:sz w:val="17"/>
                <w:szCs w:val="17"/>
                <w:color w:val="auto"/>
              </w:rPr>
            </w:pP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581,497</w:t>
            </w:r>
          </w:p>
        </w:tc>
        <w:tc>
          <w:tcPr>
            <w:tcW w:w="20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(152,725)</w:t>
            </w:r>
          </w:p>
        </w:tc>
        <w:tc>
          <w:tcPr>
            <w:tcW w:w="20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454,063</w:t>
            </w:r>
          </w:p>
        </w:tc>
        <w:tc>
          <w:tcPr>
            <w:tcW w:w="10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(1,764,450)</w:t>
            </w:r>
          </w:p>
        </w:tc>
        <w:tc>
          <w:tcPr>
            <w:tcW w:w="0" w:type="dxa"/>
            <w:vAlign w:val="bottom"/>
          </w:tcPr>
          <w:p>
            <w:pPr>
              <w:spacing w:after="0"/>
              <w:rPr>
                <w:sz w:val="1"/>
                <w:szCs w:val="1"/>
                <w:color w:val="auto"/>
              </w:rPr>
            </w:pPr>
          </w:p>
        </w:tc>
      </w:tr>
      <w:tr>
        <w:trPr>
          <w:trHeight w:val="164"/>
        </w:trPr>
        <w:tc>
          <w:tcPr>
            <w:tcW w:w="4480" w:type="dxa"/>
            <w:vAlign w:val="bottom"/>
          </w:tcPr>
          <w:p>
            <w:pPr>
              <w:ind w:left="20"/>
              <w:spacing w:after="0"/>
              <w:rPr>
                <w:sz w:val="20"/>
                <w:szCs w:val="20"/>
                <w:color w:val="auto"/>
              </w:rPr>
            </w:pPr>
            <w:r>
              <w:rPr>
                <w:rFonts w:ascii="Arial" w:cs="Arial" w:eastAsia="Arial" w:hAnsi="Arial"/>
                <w:sz w:val="13"/>
                <w:szCs w:val="13"/>
                <w:color w:val="auto"/>
              </w:rPr>
              <w:t>Other income/(expense):</w:t>
            </w:r>
          </w:p>
        </w:tc>
        <w:tc>
          <w:tcPr>
            <w:tcW w:w="240" w:type="dxa"/>
            <w:vAlign w:val="bottom"/>
            <w:tcBorders>
              <w:top w:val="single" w:sz="8" w:color="auto"/>
            </w:tcBorders>
          </w:tcPr>
          <w:p>
            <w:pPr>
              <w:spacing w:after="0"/>
              <w:rPr>
                <w:sz w:val="14"/>
                <w:szCs w:val="14"/>
                <w:color w:val="auto"/>
              </w:rPr>
            </w:pPr>
          </w:p>
        </w:tc>
        <w:tc>
          <w:tcPr>
            <w:tcW w:w="1100" w:type="dxa"/>
            <w:vAlign w:val="bottom"/>
            <w:tcBorders>
              <w:top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380" w:type="dxa"/>
            <w:vAlign w:val="bottom"/>
            <w:tcBorders>
              <w:top w:val="single" w:sz="8" w:color="auto"/>
            </w:tcBorders>
          </w:tcPr>
          <w:p>
            <w:pPr>
              <w:spacing w:after="0"/>
              <w:rPr>
                <w:sz w:val="14"/>
                <w:szCs w:val="14"/>
                <w:color w:val="auto"/>
              </w:rPr>
            </w:pPr>
          </w:p>
        </w:tc>
        <w:tc>
          <w:tcPr>
            <w:tcW w:w="940" w:type="dxa"/>
            <w:vAlign w:val="bottom"/>
            <w:tcBorders>
              <w:top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200" w:type="dxa"/>
            <w:vAlign w:val="bottom"/>
            <w:tcBorders>
              <w:top w:val="single" w:sz="8" w:color="auto"/>
            </w:tcBorders>
          </w:tcPr>
          <w:p>
            <w:pPr>
              <w:spacing w:after="0"/>
              <w:rPr>
                <w:sz w:val="14"/>
                <w:szCs w:val="14"/>
                <w:color w:val="auto"/>
              </w:rPr>
            </w:pPr>
          </w:p>
        </w:tc>
        <w:tc>
          <w:tcPr>
            <w:tcW w:w="100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Borders>
              <w:top w:val="single" w:sz="8" w:color="auto"/>
            </w:tcBorders>
          </w:tcPr>
          <w:p>
            <w:pPr>
              <w:spacing w:after="0"/>
              <w:rPr>
                <w:sz w:val="14"/>
                <w:szCs w:val="14"/>
                <w:color w:val="auto"/>
              </w:rPr>
            </w:pPr>
          </w:p>
        </w:tc>
        <w:tc>
          <w:tcPr>
            <w:tcW w:w="880" w:type="dxa"/>
            <w:vAlign w:val="bottom"/>
            <w:tcBorders>
              <w:top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9"/>
        </w:trPr>
        <w:tc>
          <w:tcPr>
            <w:tcW w:w="4480" w:type="dxa"/>
            <w:vAlign w:val="bottom"/>
          </w:tcPr>
          <w:p>
            <w:pPr>
              <w:spacing w:after="0"/>
              <w:rPr>
                <w:sz w:val="4"/>
                <w:szCs w:val="4"/>
                <w:color w:val="auto"/>
              </w:rPr>
            </w:pPr>
          </w:p>
        </w:tc>
        <w:tc>
          <w:tcPr>
            <w:tcW w:w="240" w:type="dxa"/>
            <w:vAlign w:val="bottom"/>
          </w:tcPr>
          <w:p>
            <w:pPr>
              <w:spacing w:after="0"/>
              <w:rPr>
                <w:sz w:val="4"/>
                <w:szCs w:val="4"/>
                <w:color w:val="auto"/>
              </w:rPr>
            </w:pPr>
          </w:p>
        </w:tc>
        <w:tc>
          <w:tcPr>
            <w:tcW w:w="1100" w:type="dxa"/>
            <w:vAlign w:val="bottom"/>
          </w:tcPr>
          <w:p>
            <w:pPr>
              <w:spacing w:after="0"/>
              <w:rPr>
                <w:sz w:val="4"/>
                <w:szCs w:val="4"/>
                <w:color w:val="auto"/>
              </w:rPr>
            </w:pPr>
          </w:p>
        </w:tc>
        <w:tc>
          <w:tcPr>
            <w:tcW w:w="200" w:type="dxa"/>
            <w:vAlign w:val="bottom"/>
          </w:tcPr>
          <w:p>
            <w:pPr>
              <w:spacing w:after="0"/>
              <w:rPr>
                <w:sz w:val="4"/>
                <w:szCs w:val="4"/>
                <w:color w:val="auto"/>
              </w:rPr>
            </w:pPr>
          </w:p>
        </w:tc>
        <w:tc>
          <w:tcPr>
            <w:tcW w:w="380" w:type="dxa"/>
            <w:vAlign w:val="bottom"/>
          </w:tcPr>
          <w:p>
            <w:pPr>
              <w:spacing w:after="0"/>
              <w:rPr>
                <w:sz w:val="4"/>
                <w:szCs w:val="4"/>
                <w:color w:val="auto"/>
              </w:rPr>
            </w:pPr>
          </w:p>
        </w:tc>
        <w:tc>
          <w:tcPr>
            <w:tcW w:w="940" w:type="dxa"/>
            <w:vAlign w:val="bottom"/>
          </w:tcPr>
          <w:p>
            <w:pPr>
              <w:spacing w:after="0"/>
              <w:rPr>
                <w:sz w:val="4"/>
                <w:szCs w:val="4"/>
                <w:color w:val="auto"/>
              </w:rPr>
            </w:pPr>
          </w:p>
        </w:tc>
        <w:tc>
          <w:tcPr>
            <w:tcW w:w="20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c>
          <w:tcPr>
            <w:tcW w:w="440" w:type="dxa"/>
            <w:vAlign w:val="bottom"/>
          </w:tcPr>
          <w:p>
            <w:pPr>
              <w:spacing w:after="0"/>
              <w:rPr>
                <w:sz w:val="4"/>
                <w:szCs w:val="4"/>
                <w:color w:val="auto"/>
              </w:rPr>
            </w:pPr>
          </w:p>
        </w:tc>
        <w:tc>
          <w:tcPr>
            <w:tcW w:w="8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2"/>
        </w:trPr>
        <w:tc>
          <w:tcPr>
            <w:tcW w:w="4480" w:type="dxa"/>
            <w:vAlign w:val="bottom"/>
            <w:tcBorders>
              <w:bottom w:val="single" w:sz="8" w:color="CCEEFF"/>
            </w:tcBorders>
            <w:shd w:val="clear" w:color="auto" w:fill="CCEEFF"/>
          </w:tcPr>
          <w:p>
            <w:pPr>
              <w:ind w:left="300"/>
              <w:spacing w:after="0"/>
              <w:rPr>
                <w:sz w:val="20"/>
                <w:szCs w:val="20"/>
                <w:color w:val="auto"/>
              </w:rPr>
            </w:pPr>
            <w:r>
              <w:rPr>
                <w:rFonts w:ascii="Arial" w:cs="Arial" w:eastAsia="Arial" w:hAnsi="Arial"/>
                <w:sz w:val="13"/>
                <w:szCs w:val="13"/>
                <w:color w:val="auto"/>
              </w:rPr>
              <w:t>Investment income</w:t>
            </w:r>
          </w:p>
        </w:tc>
        <w:tc>
          <w:tcPr>
            <w:tcW w:w="240" w:type="dxa"/>
            <w:vAlign w:val="bottom"/>
            <w:tcBorders>
              <w:bottom w:val="single" w:sz="8" w:color="CCEEFF"/>
            </w:tcBorders>
            <w:shd w:val="clear" w:color="auto" w:fill="CCEEFF"/>
          </w:tcPr>
          <w:p>
            <w:pPr>
              <w:spacing w:after="0"/>
              <w:rPr>
                <w:sz w:val="17"/>
                <w:szCs w:val="17"/>
                <w:color w:val="auto"/>
              </w:rPr>
            </w:pP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171,896</w:t>
            </w:r>
          </w:p>
        </w:tc>
        <w:tc>
          <w:tcPr>
            <w:tcW w:w="20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140" w:type="dxa"/>
            <w:vAlign w:val="bottom"/>
            <w:tcBorders>
              <w:bottom w:val="single" w:sz="8" w:color="CCEEFF"/>
            </w:tcBorders>
            <w:gridSpan w:val="2"/>
            <w:shd w:val="clear" w:color="auto" w:fill="CCEEFF"/>
          </w:tcPr>
          <w:p>
            <w:pPr>
              <w:jc w:val="right"/>
              <w:ind w:right="300"/>
              <w:spacing w:after="0"/>
              <w:rPr>
                <w:sz w:val="20"/>
                <w:szCs w:val="20"/>
                <w:color w:val="auto"/>
              </w:rPr>
            </w:pPr>
            <w:r>
              <w:rPr>
                <w:rFonts w:ascii="Arial" w:cs="Arial" w:eastAsia="Arial" w:hAnsi="Arial"/>
                <w:sz w:val="13"/>
                <w:szCs w:val="13"/>
                <w:color w:val="auto"/>
              </w:rPr>
              <w:t>—</w:t>
            </w:r>
          </w:p>
        </w:tc>
        <w:tc>
          <w:tcPr>
            <w:tcW w:w="20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350,976</w:t>
            </w:r>
          </w:p>
        </w:tc>
        <w:tc>
          <w:tcPr>
            <w:tcW w:w="10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8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95"/>
        </w:trPr>
        <w:tc>
          <w:tcPr>
            <w:tcW w:w="4480" w:type="dxa"/>
            <w:vAlign w:val="bottom"/>
          </w:tcPr>
          <w:p>
            <w:pPr>
              <w:ind w:left="300"/>
              <w:spacing w:after="0"/>
              <w:rPr>
                <w:sz w:val="20"/>
                <w:szCs w:val="20"/>
                <w:color w:val="auto"/>
              </w:rPr>
            </w:pPr>
            <w:r>
              <w:rPr>
                <w:rFonts w:ascii="Arial" w:cs="Arial" w:eastAsia="Arial" w:hAnsi="Arial"/>
                <w:sz w:val="13"/>
                <w:szCs w:val="13"/>
                <w:color w:val="auto"/>
              </w:rPr>
              <w:t>Other income/(expense)</w:t>
            </w:r>
          </w:p>
        </w:tc>
        <w:tc>
          <w:tcPr>
            <w:tcW w:w="240" w:type="dxa"/>
            <w:vAlign w:val="bottom"/>
          </w:tcPr>
          <w:p>
            <w:pPr>
              <w:spacing w:after="0"/>
              <w:rPr>
                <w:sz w:val="16"/>
                <w:szCs w:val="16"/>
                <w:color w:val="auto"/>
              </w:rPr>
            </w:pPr>
          </w:p>
        </w:tc>
        <w:tc>
          <w:tcPr>
            <w:tcW w:w="1100" w:type="dxa"/>
            <w:vAlign w:val="bottom"/>
          </w:tcPr>
          <w:p>
            <w:pPr>
              <w:jc w:val="right"/>
              <w:ind w:right="53"/>
              <w:spacing w:after="0"/>
              <w:rPr>
                <w:sz w:val="20"/>
                <w:szCs w:val="20"/>
                <w:color w:val="auto"/>
              </w:rPr>
            </w:pPr>
            <w:r>
              <w:rPr>
                <w:rFonts w:ascii="Arial" w:cs="Arial" w:eastAsia="Arial" w:hAnsi="Arial"/>
                <w:sz w:val="13"/>
                <w:szCs w:val="13"/>
                <w:color w:val="auto"/>
              </w:rPr>
              <w:t>8,319</w:t>
            </w:r>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40" w:type="dxa"/>
            <w:vAlign w:val="bottom"/>
          </w:tcPr>
          <w:p>
            <w:pPr>
              <w:jc w:val="right"/>
              <w:ind w:right="33"/>
              <w:spacing w:after="0"/>
              <w:rPr>
                <w:sz w:val="20"/>
                <w:szCs w:val="20"/>
                <w:color w:val="auto"/>
              </w:rPr>
            </w:pPr>
            <w:r>
              <w:rPr>
                <w:rFonts w:ascii="Arial" w:cs="Arial" w:eastAsia="Arial" w:hAnsi="Arial"/>
                <w:sz w:val="13"/>
                <w:szCs w:val="13"/>
                <w:color w:val="auto"/>
              </w:rPr>
              <w:t>13,733</w:t>
            </w: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jc w:val="right"/>
              <w:spacing w:after="0"/>
              <w:rPr>
                <w:sz w:val="20"/>
                <w:szCs w:val="20"/>
                <w:color w:val="auto"/>
              </w:rPr>
            </w:pPr>
            <w:r>
              <w:rPr>
                <w:rFonts w:ascii="Arial" w:cs="Arial" w:eastAsia="Arial" w:hAnsi="Arial"/>
                <w:sz w:val="13"/>
                <w:szCs w:val="13"/>
                <w:color w:val="auto"/>
              </w:rPr>
              <w:t>(16,001)</w:t>
            </w: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880" w:type="dxa"/>
            <w:vAlign w:val="bottom"/>
          </w:tcPr>
          <w:p>
            <w:pPr>
              <w:jc w:val="right"/>
              <w:ind w:right="33"/>
              <w:spacing w:after="0"/>
              <w:rPr>
                <w:sz w:val="20"/>
                <w:szCs w:val="20"/>
                <w:color w:val="auto"/>
              </w:rPr>
            </w:pPr>
            <w:r>
              <w:rPr>
                <w:rFonts w:ascii="Arial" w:cs="Arial" w:eastAsia="Arial" w:hAnsi="Arial"/>
                <w:sz w:val="13"/>
                <w:szCs w:val="13"/>
                <w:color w:val="auto"/>
              </w:rPr>
              <w:t>26,286</w:t>
            </w:r>
          </w:p>
        </w:tc>
        <w:tc>
          <w:tcPr>
            <w:tcW w:w="0" w:type="dxa"/>
            <w:vAlign w:val="bottom"/>
          </w:tcPr>
          <w:p>
            <w:pPr>
              <w:spacing w:after="0"/>
              <w:rPr>
                <w:sz w:val="1"/>
                <w:szCs w:val="1"/>
                <w:color w:val="auto"/>
              </w:rPr>
            </w:pPr>
          </w:p>
        </w:tc>
      </w:tr>
      <w:tr>
        <w:trPr>
          <w:trHeight w:val="27"/>
        </w:trPr>
        <w:tc>
          <w:tcPr>
            <w:tcW w:w="44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100" w:type="dxa"/>
            <w:vAlign w:val="bottom"/>
          </w:tcPr>
          <w:p>
            <w:pPr>
              <w:spacing w:after="0"/>
              <w:rPr>
                <w:sz w:val="2"/>
                <w:szCs w:val="2"/>
                <w:color w:val="auto"/>
              </w:rPr>
            </w:pPr>
          </w:p>
        </w:tc>
        <w:tc>
          <w:tcPr>
            <w:tcW w:w="200" w:type="dxa"/>
            <w:vAlign w:val="bottom"/>
          </w:tcPr>
          <w:p>
            <w:pPr>
              <w:spacing w:after="0"/>
              <w:rPr>
                <w:sz w:val="2"/>
                <w:szCs w:val="2"/>
                <w:color w:val="auto"/>
              </w:rPr>
            </w:pPr>
          </w:p>
        </w:tc>
        <w:tc>
          <w:tcPr>
            <w:tcW w:w="380" w:type="dxa"/>
            <w:vAlign w:val="bottom"/>
          </w:tcPr>
          <w:p>
            <w:pPr>
              <w:spacing w:after="0"/>
              <w:rPr>
                <w:sz w:val="2"/>
                <w:szCs w:val="2"/>
                <w:color w:val="auto"/>
              </w:rPr>
            </w:pPr>
          </w:p>
        </w:tc>
        <w:tc>
          <w:tcPr>
            <w:tcW w:w="94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0" w:type="dxa"/>
            <w:vAlign w:val="bottom"/>
          </w:tcPr>
          <w:p>
            <w:pPr>
              <w:spacing w:after="0"/>
              <w:rPr>
                <w:sz w:val="2"/>
                <w:szCs w:val="2"/>
                <w:color w:val="auto"/>
              </w:rPr>
            </w:pPr>
          </w:p>
        </w:tc>
        <w:tc>
          <w:tcPr>
            <w:tcW w:w="100" w:type="dxa"/>
            <w:vAlign w:val="bottom"/>
          </w:tcPr>
          <w:p>
            <w:pPr>
              <w:spacing w:after="0"/>
              <w:rPr>
                <w:sz w:val="2"/>
                <w:szCs w:val="2"/>
                <w:color w:val="auto"/>
              </w:rPr>
            </w:pPr>
          </w:p>
        </w:tc>
        <w:tc>
          <w:tcPr>
            <w:tcW w:w="440" w:type="dxa"/>
            <w:vAlign w:val="bottom"/>
          </w:tcPr>
          <w:p>
            <w:pPr>
              <w:spacing w:after="0"/>
              <w:rPr>
                <w:sz w:val="2"/>
                <w:szCs w:val="2"/>
                <w:color w:val="auto"/>
              </w:rPr>
            </w:pPr>
          </w:p>
        </w:tc>
        <w:tc>
          <w:tcPr>
            <w:tcW w:w="8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22"/>
        </w:trPr>
        <w:tc>
          <w:tcPr>
            <w:tcW w:w="4480" w:type="dxa"/>
            <w:vAlign w:val="bottom"/>
            <w:tcBorders>
              <w:bottom w:val="single" w:sz="8" w:color="CCEEFF"/>
            </w:tcBorders>
            <w:shd w:val="clear" w:color="auto" w:fill="CCEEFF"/>
          </w:tcPr>
          <w:p>
            <w:pPr>
              <w:ind w:left="300"/>
              <w:spacing w:after="0"/>
              <w:rPr>
                <w:sz w:val="20"/>
                <w:szCs w:val="20"/>
                <w:color w:val="auto"/>
              </w:rPr>
            </w:pPr>
            <w:r>
              <w:rPr>
                <w:rFonts w:ascii="Arial" w:cs="Arial" w:eastAsia="Arial" w:hAnsi="Arial"/>
                <w:sz w:val="13"/>
                <w:szCs w:val="13"/>
                <w:color w:val="auto"/>
              </w:rPr>
              <w:t>Interest expense</w:t>
            </w:r>
          </w:p>
        </w:tc>
        <w:tc>
          <w:tcPr>
            <w:tcW w:w="240" w:type="dxa"/>
            <w:vAlign w:val="bottom"/>
            <w:tcBorders>
              <w:bottom w:val="single" w:sz="8" w:color="CCEEFF"/>
            </w:tcBorders>
            <w:shd w:val="clear" w:color="auto" w:fill="CCEEFF"/>
          </w:tcPr>
          <w:p>
            <w:pPr>
              <w:spacing w:after="0"/>
              <w:rPr>
                <w:sz w:val="19"/>
                <w:szCs w:val="19"/>
                <w:color w:val="auto"/>
              </w:rPr>
            </w:pPr>
          </w:p>
        </w:tc>
        <w:tc>
          <w:tcPr>
            <w:tcW w:w="1100" w:type="dxa"/>
            <w:vAlign w:val="bottom"/>
            <w:tcBorders>
              <w:bottom w:val="single" w:sz="8" w:color="CCEEFF"/>
            </w:tcBorders>
            <w:shd w:val="clear" w:color="auto" w:fill="CCEEFF"/>
          </w:tcPr>
          <w:p>
            <w:pPr>
              <w:jc w:val="right"/>
              <w:ind w:right="13"/>
              <w:spacing w:after="0"/>
              <w:rPr>
                <w:sz w:val="20"/>
                <w:szCs w:val="20"/>
                <w:color w:val="auto"/>
              </w:rPr>
            </w:pPr>
            <w:r>
              <w:rPr>
                <w:rFonts w:ascii="Arial" w:cs="Arial" w:eastAsia="Arial" w:hAnsi="Arial"/>
                <w:sz w:val="13"/>
                <w:szCs w:val="13"/>
                <w:color w:val="auto"/>
              </w:rPr>
              <w:t>(28,029)</w:t>
            </w:r>
          </w:p>
        </w:tc>
        <w:tc>
          <w:tcPr>
            <w:tcW w:w="200" w:type="dxa"/>
            <w:vAlign w:val="bottom"/>
            <w:tcBorders>
              <w:bottom w:val="single" w:sz="8" w:color="CCEEFF"/>
            </w:tcBorders>
            <w:shd w:val="clear" w:color="auto" w:fill="CCEEFF"/>
          </w:tcPr>
          <w:p>
            <w:pPr>
              <w:spacing w:after="0"/>
              <w:rPr>
                <w:sz w:val="19"/>
                <w:szCs w:val="19"/>
                <w:color w:val="auto"/>
              </w:rPr>
            </w:pPr>
          </w:p>
        </w:tc>
        <w:tc>
          <w:tcPr>
            <w:tcW w:w="38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(54,847)</w:t>
            </w:r>
          </w:p>
        </w:tc>
        <w:tc>
          <w:tcPr>
            <w:tcW w:w="200" w:type="dxa"/>
            <w:vAlign w:val="bottom"/>
            <w:tcBorders>
              <w:bottom w:val="single" w:sz="8" w:color="CCEEFF"/>
            </w:tcBorders>
            <w:shd w:val="clear" w:color="auto" w:fill="CCEEFF"/>
          </w:tcPr>
          <w:p>
            <w:pPr>
              <w:spacing w:after="0"/>
              <w:rPr>
                <w:sz w:val="19"/>
                <w:szCs w:val="19"/>
                <w:color w:val="auto"/>
              </w:rPr>
            </w:pPr>
          </w:p>
        </w:tc>
        <w:tc>
          <w:tcPr>
            <w:tcW w:w="200" w:type="dxa"/>
            <w:vAlign w:val="bottom"/>
            <w:tcBorders>
              <w:bottom w:val="single" w:sz="8" w:color="CCEEFF"/>
            </w:tcBorders>
            <w:shd w:val="clear" w:color="auto" w:fill="CCEEFF"/>
          </w:tcPr>
          <w:p>
            <w:pPr>
              <w:spacing w:after="0"/>
              <w:rPr>
                <w:sz w:val="19"/>
                <w:szCs w:val="19"/>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(103,208)</w:t>
            </w:r>
          </w:p>
        </w:tc>
        <w:tc>
          <w:tcPr>
            <w:tcW w:w="100" w:type="dxa"/>
            <w:vAlign w:val="bottom"/>
            <w:tcBorders>
              <w:bottom w:val="single" w:sz="8" w:color="CCEEFF"/>
            </w:tcBorders>
            <w:shd w:val="clear" w:color="auto" w:fill="CCEEFF"/>
          </w:tcPr>
          <w:p>
            <w:pPr>
              <w:spacing w:after="0"/>
              <w:rPr>
                <w:sz w:val="19"/>
                <w:szCs w:val="19"/>
                <w:color w:val="auto"/>
              </w:rPr>
            </w:pPr>
          </w:p>
        </w:tc>
        <w:tc>
          <w:tcPr>
            <w:tcW w:w="44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(178,879)</w:t>
            </w:r>
          </w:p>
        </w:tc>
        <w:tc>
          <w:tcPr>
            <w:tcW w:w="0" w:type="dxa"/>
            <w:vAlign w:val="bottom"/>
          </w:tcPr>
          <w:p>
            <w:pPr>
              <w:spacing w:after="0"/>
              <w:rPr>
                <w:sz w:val="1"/>
                <w:szCs w:val="1"/>
                <w:color w:val="auto"/>
              </w:rPr>
            </w:pPr>
          </w:p>
        </w:tc>
      </w:tr>
      <w:tr>
        <w:trPr>
          <w:trHeight w:val="175"/>
        </w:trPr>
        <w:tc>
          <w:tcPr>
            <w:tcW w:w="4480" w:type="dxa"/>
            <w:vAlign w:val="bottom"/>
          </w:tcPr>
          <w:p>
            <w:pPr>
              <w:ind w:left="20"/>
              <w:spacing w:after="0"/>
              <w:rPr>
                <w:sz w:val="20"/>
                <w:szCs w:val="20"/>
                <w:color w:val="auto"/>
              </w:rPr>
            </w:pPr>
            <w:r>
              <w:rPr>
                <w:rFonts w:ascii="Arial" w:cs="Arial" w:eastAsia="Arial" w:hAnsi="Arial"/>
                <w:sz w:val="13"/>
                <w:szCs w:val="13"/>
                <w:color w:val="auto"/>
              </w:rPr>
              <w:t>Total other income/(expense)</w:t>
            </w:r>
          </w:p>
        </w:tc>
        <w:tc>
          <w:tcPr>
            <w:tcW w:w="240" w:type="dxa"/>
            <w:vAlign w:val="bottom"/>
            <w:tcBorders>
              <w:top w:val="single" w:sz="8" w:color="auto"/>
            </w:tcBorders>
          </w:tcPr>
          <w:p>
            <w:pPr>
              <w:spacing w:after="0"/>
              <w:rPr>
                <w:sz w:val="15"/>
                <w:szCs w:val="15"/>
                <w:color w:val="auto"/>
              </w:rPr>
            </w:pPr>
          </w:p>
        </w:tc>
        <w:tc>
          <w:tcPr>
            <w:tcW w:w="110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152,186</w:t>
            </w:r>
          </w:p>
        </w:tc>
        <w:tc>
          <w:tcPr>
            <w:tcW w:w="200" w:type="dxa"/>
            <w:vAlign w:val="bottom"/>
          </w:tcPr>
          <w:p>
            <w:pPr>
              <w:spacing w:after="0"/>
              <w:rPr>
                <w:sz w:val="15"/>
                <w:szCs w:val="15"/>
                <w:color w:val="auto"/>
              </w:rPr>
            </w:pPr>
          </w:p>
        </w:tc>
        <w:tc>
          <w:tcPr>
            <w:tcW w:w="380" w:type="dxa"/>
            <w:vAlign w:val="bottom"/>
            <w:tcBorders>
              <w:top w:val="single" w:sz="8" w:color="auto"/>
            </w:tcBorders>
          </w:tcPr>
          <w:p>
            <w:pPr>
              <w:spacing w:after="0"/>
              <w:rPr>
                <w:sz w:val="15"/>
                <w:szCs w:val="15"/>
                <w:color w:val="auto"/>
              </w:rPr>
            </w:pPr>
          </w:p>
        </w:tc>
        <w:tc>
          <w:tcPr>
            <w:tcW w:w="940" w:type="dxa"/>
            <w:vAlign w:val="bottom"/>
            <w:tcBorders>
              <w:top w:val="single" w:sz="8" w:color="auto"/>
            </w:tcBorders>
          </w:tcPr>
          <w:p>
            <w:pPr>
              <w:jc w:val="right"/>
              <w:spacing w:after="0"/>
              <w:rPr>
                <w:sz w:val="20"/>
                <w:szCs w:val="20"/>
                <w:color w:val="auto"/>
              </w:rPr>
            </w:pPr>
            <w:r>
              <w:rPr>
                <w:rFonts w:ascii="Arial" w:cs="Arial" w:eastAsia="Arial" w:hAnsi="Arial"/>
                <w:sz w:val="13"/>
                <w:szCs w:val="13"/>
                <w:color w:val="auto"/>
              </w:rPr>
              <w:t>(41,114)</w:t>
            </w:r>
          </w:p>
        </w:tc>
        <w:tc>
          <w:tcPr>
            <w:tcW w:w="200" w:type="dxa"/>
            <w:vAlign w:val="bottom"/>
          </w:tcPr>
          <w:p>
            <w:pPr>
              <w:spacing w:after="0"/>
              <w:rPr>
                <w:sz w:val="15"/>
                <w:szCs w:val="15"/>
                <w:color w:val="auto"/>
              </w:rPr>
            </w:pPr>
          </w:p>
        </w:tc>
        <w:tc>
          <w:tcPr>
            <w:tcW w:w="200" w:type="dxa"/>
            <w:vAlign w:val="bottom"/>
            <w:tcBorders>
              <w:top w:val="single" w:sz="8" w:color="auto"/>
            </w:tcBorders>
          </w:tcPr>
          <w:p>
            <w:pPr>
              <w:spacing w:after="0"/>
              <w:rPr>
                <w:sz w:val="15"/>
                <w:szCs w:val="15"/>
                <w:color w:val="auto"/>
              </w:rPr>
            </w:pPr>
          </w:p>
        </w:tc>
        <w:tc>
          <w:tcPr>
            <w:tcW w:w="100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231,767</w:t>
            </w:r>
          </w:p>
        </w:tc>
        <w:tc>
          <w:tcPr>
            <w:tcW w:w="100" w:type="dxa"/>
            <w:vAlign w:val="bottom"/>
          </w:tcPr>
          <w:p>
            <w:pPr>
              <w:spacing w:after="0"/>
              <w:rPr>
                <w:sz w:val="15"/>
                <w:szCs w:val="15"/>
                <w:color w:val="auto"/>
              </w:rPr>
            </w:pPr>
          </w:p>
        </w:tc>
        <w:tc>
          <w:tcPr>
            <w:tcW w:w="440" w:type="dxa"/>
            <w:vAlign w:val="bottom"/>
            <w:tcBorders>
              <w:top w:val="single" w:sz="8" w:color="auto"/>
            </w:tcBorders>
          </w:tcPr>
          <w:p>
            <w:pPr>
              <w:spacing w:after="0"/>
              <w:rPr>
                <w:sz w:val="15"/>
                <w:szCs w:val="15"/>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3"/>
                <w:szCs w:val="13"/>
                <w:color w:val="auto"/>
              </w:rPr>
              <w:t>(152,593)</w:t>
            </w:r>
          </w:p>
        </w:tc>
        <w:tc>
          <w:tcPr>
            <w:tcW w:w="0" w:type="dxa"/>
            <w:vAlign w:val="bottom"/>
          </w:tcPr>
          <w:p>
            <w:pPr>
              <w:spacing w:after="0"/>
              <w:rPr>
                <w:sz w:val="1"/>
                <w:szCs w:val="1"/>
                <w:color w:val="auto"/>
              </w:rPr>
            </w:pPr>
          </w:p>
        </w:tc>
      </w:tr>
      <w:tr>
        <w:trPr>
          <w:trHeight w:val="27"/>
        </w:trPr>
        <w:tc>
          <w:tcPr>
            <w:tcW w:w="44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82"/>
        </w:trPr>
        <w:tc>
          <w:tcPr>
            <w:tcW w:w="44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Income/(loss) from continuing operations before income taxes</w:t>
            </w:r>
          </w:p>
        </w:tc>
        <w:tc>
          <w:tcPr>
            <w:tcW w:w="240" w:type="dxa"/>
            <w:vAlign w:val="bottom"/>
            <w:tcBorders>
              <w:bottom w:val="single" w:sz="8" w:color="CCEEFF"/>
            </w:tcBorders>
            <w:shd w:val="clear" w:color="auto" w:fill="CCEEFF"/>
          </w:tcPr>
          <w:p>
            <w:pPr>
              <w:spacing w:after="0"/>
              <w:rPr>
                <w:sz w:val="15"/>
                <w:szCs w:val="15"/>
                <w:color w:val="auto"/>
              </w:rPr>
            </w:pP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733,683</w:t>
            </w:r>
          </w:p>
        </w:tc>
        <w:tc>
          <w:tcPr>
            <w:tcW w:w="200" w:type="dxa"/>
            <w:vAlign w:val="bottom"/>
            <w:tcBorders>
              <w:bottom w:val="single" w:sz="8" w:color="CCEEFF"/>
            </w:tcBorders>
            <w:shd w:val="clear" w:color="auto" w:fill="CCEEFF"/>
          </w:tcPr>
          <w:p>
            <w:pPr>
              <w:spacing w:after="0"/>
              <w:rPr>
                <w:sz w:val="15"/>
                <w:szCs w:val="15"/>
                <w:color w:val="auto"/>
              </w:rPr>
            </w:pPr>
          </w:p>
        </w:tc>
        <w:tc>
          <w:tcPr>
            <w:tcW w:w="380" w:type="dxa"/>
            <w:vAlign w:val="bottom"/>
            <w:tcBorders>
              <w:bottom w:val="single" w:sz="8" w:color="CCEEFF"/>
            </w:tcBorders>
            <w:shd w:val="clear" w:color="auto" w:fill="CCEEFF"/>
          </w:tcPr>
          <w:p>
            <w:pPr>
              <w:spacing w:after="0"/>
              <w:rPr>
                <w:sz w:val="15"/>
                <w:szCs w:val="15"/>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(193,839)</w:t>
            </w:r>
          </w:p>
        </w:tc>
        <w:tc>
          <w:tcPr>
            <w:tcW w:w="2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685,830</w:t>
            </w:r>
          </w:p>
        </w:tc>
        <w:tc>
          <w:tcPr>
            <w:tcW w:w="100" w:type="dxa"/>
            <w:vAlign w:val="bottom"/>
            <w:tcBorders>
              <w:bottom w:val="single" w:sz="8" w:color="CCEEFF"/>
            </w:tcBorders>
            <w:shd w:val="clear" w:color="auto" w:fill="CCEEFF"/>
          </w:tcPr>
          <w:p>
            <w:pPr>
              <w:spacing w:after="0"/>
              <w:rPr>
                <w:sz w:val="15"/>
                <w:szCs w:val="15"/>
                <w:color w:val="auto"/>
              </w:rPr>
            </w:pPr>
          </w:p>
        </w:tc>
        <w:tc>
          <w:tcPr>
            <w:tcW w:w="440" w:type="dxa"/>
            <w:vAlign w:val="bottom"/>
            <w:tcBorders>
              <w:bottom w:val="single" w:sz="8" w:color="CCEEFF"/>
            </w:tcBorders>
            <w:shd w:val="clear" w:color="auto" w:fill="CCEEFF"/>
          </w:tcPr>
          <w:p>
            <w:pPr>
              <w:spacing w:after="0"/>
              <w:rPr>
                <w:sz w:val="15"/>
                <w:szCs w:val="15"/>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(1,917,043)</w:t>
            </w:r>
          </w:p>
        </w:tc>
        <w:tc>
          <w:tcPr>
            <w:tcW w:w="0" w:type="dxa"/>
            <w:vAlign w:val="bottom"/>
          </w:tcPr>
          <w:p>
            <w:pPr>
              <w:spacing w:after="0"/>
              <w:rPr>
                <w:sz w:val="1"/>
                <w:szCs w:val="1"/>
                <w:color w:val="auto"/>
              </w:rPr>
            </w:pPr>
          </w:p>
        </w:tc>
      </w:tr>
      <w:tr>
        <w:trPr>
          <w:trHeight w:val="195"/>
        </w:trPr>
        <w:tc>
          <w:tcPr>
            <w:tcW w:w="4480" w:type="dxa"/>
            <w:vAlign w:val="bottom"/>
          </w:tcPr>
          <w:p>
            <w:pPr>
              <w:ind w:left="20"/>
              <w:spacing w:after="0"/>
              <w:rPr>
                <w:sz w:val="20"/>
                <w:szCs w:val="20"/>
                <w:color w:val="auto"/>
              </w:rPr>
            </w:pPr>
            <w:r>
              <w:rPr>
                <w:rFonts w:ascii="Arial" w:cs="Arial" w:eastAsia="Arial" w:hAnsi="Arial"/>
                <w:sz w:val="13"/>
                <w:szCs w:val="13"/>
                <w:color w:val="auto"/>
              </w:rPr>
              <w:t>Income tax benefit</w:t>
            </w:r>
          </w:p>
        </w:tc>
        <w:tc>
          <w:tcPr>
            <w:tcW w:w="240" w:type="dxa"/>
            <w:vAlign w:val="bottom"/>
          </w:tcPr>
          <w:p>
            <w:pPr>
              <w:spacing w:after="0"/>
              <w:rPr>
                <w:sz w:val="16"/>
                <w:szCs w:val="16"/>
                <w:color w:val="auto"/>
              </w:rPr>
            </w:pPr>
          </w:p>
        </w:tc>
        <w:tc>
          <w:tcPr>
            <w:tcW w:w="1100" w:type="dxa"/>
            <w:vAlign w:val="bottom"/>
          </w:tcPr>
          <w:p>
            <w:pPr>
              <w:jc w:val="right"/>
              <w:ind w:right="13"/>
              <w:spacing w:after="0"/>
              <w:rPr>
                <w:sz w:val="20"/>
                <w:szCs w:val="20"/>
                <w:color w:val="auto"/>
              </w:rPr>
            </w:pPr>
            <w:r>
              <w:rPr>
                <w:rFonts w:ascii="Arial" w:cs="Arial" w:eastAsia="Arial" w:hAnsi="Arial"/>
                <w:sz w:val="13"/>
                <w:szCs w:val="13"/>
                <w:color w:val="auto"/>
              </w:rPr>
              <w:t>(559,093)</w:t>
            </w:r>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40" w:type="dxa"/>
            <w:vAlign w:val="bottom"/>
          </w:tcPr>
          <w:p>
            <w:pPr>
              <w:jc w:val="right"/>
              <w:spacing w:after="0"/>
              <w:rPr>
                <w:sz w:val="20"/>
                <w:szCs w:val="20"/>
                <w:color w:val="auto"/>
              </w:rPr>
            </w:pPr>
            <w:r>
              <w:rPr>
                <w:rFonts w:ascii="Arial" w:cs="Arial" w:eastAsia="Arial" w:hAnsi="Arial"/>
                <w:sz w:val="13"/>
                <w:szCs w:val="13"/>
                <w:color w:val="auto"/>
              </w:rPr>
              <w:t>(388,787)</w:t>
            </w: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jc w:val="right"/>
              <w:spacing w:after="0"/>
              <w:rPr>
                <w:sz w:val="20"/>
                <w:szCs w:val="20"/>
                <w:color w:val="auto"/>
              </w:rPr>
            </w:pPr>
            <w:r>
              <w:rPr>
                <w:rFonts w:ascii="Arial" w:cs="Arial" w:eastAsia="Arial" w:hAnsi="Arial"/>
                <w:sz w:val="13"/>
                <w:szCs w:val="13"/>
                <w:color w:val="auto"/>
              </w:rPr>
              <w:t>(674,329)</w:t>
            </w: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880" w:type="dxa"/>
            <w:vAlign w:val="bottom"/>
          </w:tcPr>
          <w:p>
            <w:pPr>
              <w:jc w:val="right"/>
              <w:spacing w:after="0"/>
              <w:rPr>
                <w:sz w:val="20"/>
                <w:szCs w:val="20"/>
                <w:color w:val="auto"/>
              </w:rPr>
            </w:pPr>
            <w:r>
              <w:rPr>
                <w:rFonts w:ascii="Arial" w:cs="Arial" w:eastAsia="Arial" w:hAnsi="Arial"/>
                <w:sz w:val="13"/>
                <w:szCs w:val="13"/>
                <w:color w:val="auto"/>
              </w:rPr>
              <w:t>(662,049)</w:t>
            </w:r>
          </w:p>
        </w:tc>
        <w:tc>
          <w:tcPr>
            <w:tcW w:w="0" w:type="dxa"/>
            <w:vAlign w:val="bottom"/>
          </w:tcPr>
          <w:p>
            <w:pPr>
              <w:spacing w:after="0"/>
              <w:rPr>
                <w:sz w:val="1"/>
                <w:szCs w:val="1"/>
                <w:color w:val="auto"/>
              </w:rPr>
            </w:pPr>
          </w:p>
        </w:tc>
      </w:tr>
      <w:tr>
        <w:trPr>
          <w:trHeight w:val="27"/>
        </w:trPr>
        <w:tc>
          <w:tcPr>
            <w:tcW w:w="44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2"/>
        </w:trPr>
        <w:tc>
          <w:tcPr>
            <w:tcW w:w="44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Net income/(loss) from continuing operations</w:t>
            </w:r>
          </w:p>
        </w:tc>
        <w:tc>
          <w:tcPr>
            <w:tcW w:w="240" w:type="dxa"/>
            <w:vAlign w:val="bottom"/>
            <w:tcBorders>
              <w:bottom w:val="single" w:sz="8" w:color="CCEEFF"/>
            </w:tcBorders>
            <w:shd w:val="clear" w:color="auto" w:fill="CCEEFF"/>
          </w:tcPr>
          <w:p>
            <w:pPr>
              <w:spacing w:after="0"/>
              <w:rPr>
                <w:sz w:val="17"/>
                <w:szCs w:val="17"/>
                <w:color w:val="auto"/>
              </w:rPr>
            </w:pP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1,292,776</w:t>
            </w:r>
          </w:p>
        </w:tc>
        <w:tc>
          <w:tcPr>
            <w:tcW w:w="20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194,948</w:t>
            </w:r>
          </w:p>
        </w:tc>
        <w:tc>
          <w:tcPr>
            <w:tcW w:w="20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1,360,159</w:t>
            </w:r>
          </w:p>
        </w:tc>
        <w:tc>
          <w:tcPr>
            <w:tcW w:w="10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(1,254,994)</w:t>
            </w:r>
          </w:p>
        </w:tc>
        <w:tc>
          <w:tcPr>
            <w:tcW w:w="0" w:type="dxa"/>
            <w:vAlign w:val="bottom"/>
          </w:tcPr>
          <w:p>
            <w:pPr>
              <w:spacing w:after="0"/>
              <w:rPr>
                <w:sz w:val="1"/>
                <w:szCs w:val="1"/>
                <w:color w:val="auto"/>
              </w:rPr>
            </w:pPr>
          </w:p>
        </w:tc>
      </w:tr>
      <w:tr>
        <w:trPr>
          <w:trHeight w:val="175"/>
        </w:trPr>
        <w:tc>
          <w:tcPr>
            <w:tcW w:w="4480" w:type="dxa"/>
            <w:vAlign w:val="bottom"/>
          </w:tcPr>
          <w:p>
            <w:pPr>
              <w:ind w:left="20"/>
              <w:spacing w:after="0"/>
              <w:rPr>
                <w:sz w:val="20"/>
                <w:szCs w:val="20"/>
                <w:color w:val="auto"/>
              </w:rPr>
            </w:pPr>
            <w:r>
              <w:rPr>
                <w:rFonts w:ascii="Arial" w:cs="Arial" w:eastAsia="Arial" w:hAnsi="Arial"/>
                <w:sz w:val="13"/>
                <w:szCs w:val="13"/>
                <w:color w:val="auto"/>
              </w:rPr>
              <w:t>Gain on sale, net of income taxes of $1,866,232 and $1,508,373</w:t>
            </w:r>
          </w:p>
        </w:tc>
        <w:tc>
          <w:tcPr>
            <w:tcW w:w="240" w:type="dxa"/>
            <w:vAlign w:val="bottom"/>
            <w:tcBorders>
              <w:top w:val="single" w:sz="8" w:color="auto"/>
            </w:tcBorders>
          </w:tcPr>
          <w:p>
            <w:pPr>
              <w:spacing w:after="0"/>
              <w:rPr>
                <w:sz w:val="15"/>
                <w:szCs w:val="15"/>
                <w:color w:val="auto"/>
              </w:rPr>
            </w:pPr>
          </w:p>
        </w:tc>
        <w:tc>
          <w:tcPr>
            <w:tcW w:w="110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7,612,044</w:t>
            </w:r>
          </w:p>
        </w:tc>
        <w:tc>
          <w:tcPr>
            <w:tcW w:w="200" w:type="dxa"/>
            <w:vAlign w:val="bottom"/>
          </w:tcPr>
          <w:p>
            <w:pPr>
              <w:spacing w:after="0"/>
              <w:rPr>
                <w:sz w:val="15"/>
                <w:szCs w:val="15"/>
                <w:color w:val="auto"/>
              </w:rPr>
            </w:pPr>
          </w:p>
        </w:tc>
        <w:tc>
          <w:tcPr>
            <w:tcW w:w="380" w:type="dxa"/>
            <w:vAlign w:val="bottom"/>
            <w:tcBorders>
              <w:top w:val="single" w:sz="8" w:color="auto"/>
            </w:tcBorders>
          </w:tcPr>
          <w:p>
            <w:pPr>
              <w:spacing w:after="0"/>
              <w:rPr>
                <w:sz w:val="15"/>
                <w:szCs w:val="15"/>
                <w:color w:val="auto"/>
              </w:rPr>
            </w:pPr>
          </w:p>
        </w:tc>
        <w:tc>
          <w:tcPr>
            <w:tcW w:w="94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15,096,666</w:t>
            </w:r>
          </w:p>
        </w:tc>
        <w:tc>
          <w:tcPr>
            <w:tcW w:w="200" w:type="dxa"/>
            <w:vAlign w:val="bottom"/>
          </w:tcPr>
          <w:p>
            <w:pPr>
              <w:spacing w:after="0"/>
              <w:rPr>
                <w:sz w:val="15"/>
                <w:szCs w:val="15"/>
                <w:color w:val="auto"/>
              </w:rPr>
            </w:pPr>
          </w:p>
        </w:tc>
        <w:tc>
          <w:tcPr>
            <w:tcW w:w="200" w:type="dxa"/>
            <w:vAlign w:val="bottom"/>
            <w:tcBorders>
              <w:top w:val="single" w:sz="8" w:color="auto"/>
            </w:tcBorders>
          </w:tcPr>
          <w:p>
            <w:pPr>
              <w:spacing w:after="0"/>
              <w:rPr>
                <w:sz w:val="15"/>
                <w:szCs w:val="15"/>
                <w:color w:val="auto"/>
              </w:rPr>
            </w:pPr>
          </w:p>
        </w:tc>
        <w:tc>
          <w:tcPr>
            <w:tcW w:w="100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7,571,810</w:t>
            </w:r>
          </w:p>
        </w:tc>
        <w:tc>
          <w:tcPr>
            <w:tcW w:w="100" w:type="dxa"/>
            <w:vAlign w:val="bottom"/>
          </w:tcPr>
          <w:p>
            <w:pPr>
              <w:spacing w:after="0"/>
              <w:rPr>
                <w:sz w:val="15"/>
                <w:szCs w:val="15"/>
                <w:color w:val="auto"/>
              </w:rPr>
            </w:pPr>
          </w:p>
        </w:tc>
        <w:tc>
          <w:tcPr>
            <w:tcW w:w="440" w:type="dxa"/>
            <w:vAlign w:val="bottom"/>
            <w:tcBorders>
              <w:top w:val="single" w:sz="8" w:color="auto"/>
            </w:tcBorders>
          </w:tcPr>
          <w:p>
            <w:pPr>
              <w:spacing w:after="0"/>
              <w:rPr>
                <w:sz w:val="15"/>
                <w:szCs w:val="15"/>
                <w:color w:val="auto"/>
              </w:rPr>
            </w:pPr>
          </w:p>
        </w:tc>
        <w:tc>
          <w:tcPr>
            <w:tcW w:w="88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15,096,666</w:t>
            </w:r>
          </w:p>
        </w:tc>
        <w:tc>
          <w:tcPr>
            <w:tcW w:w="0" w:type="dxa"/>
            <w:vAlign w:val="bottom"/>
          </w:tcPr>
          <w:p>
            <w:pPr>
              <w:spacing w:after="0"/>
              <w:rPr>
                <w:sz w:val="1"/>
                <w:szCs w:val="1"/>
                <w:color w:val="auto"/>
              </w:rPr>
            </w:pPr>
          </w:p>
        </w:tc>
      </w:tr>
      <w:tr>
        <w:trPr>
          <w:trHeight w:val="27"/>
        </w:trPr>
        <w:tc>
          <w:tcPr>
            <w:tcW w:w="44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100" w:type="dxa"/>
            <w:vAlign w:val="bottom"/>
          </w:tcPr>
          <w:p>
            <w:pPr>
              <w:spacing w:after="0"/>
              <w:rPr>
                <w:sz w:val="2"/>
                <w:szCs w:val="2"/>
                <w:color w:val="auto"/>
              </w:rPr>
            </w:pPr>
          </w:p>
        </w:tc>
        <w:tc>
          <w:tcPr>
            <w:tcW w:w="200" w:type="dxa"/>
            <w:vAlign w:val="bottom"/>
          </w:tcPr>
          <w:p>
            <w:pPr>
              <w:spacing w:after="0"/>
              <w:rPr>
                <w:sz w:val="2"/>
                <w:szCs w:val="2"/>
                <w:color w:val="auto"/>
              </w:rPr>
            </w:pPr>
          </w:p>
        </w:tc>
        <w:tc>
          <w:tcPr>
            <w:tcW w:w="380" w:type="dxa"/>
            <w:vAlign w:val="bottom"/>
          </w:tcPr>
          <w:p>
            <w:pPr>
              <w:spacing w:after="0"/>
              <w:rPr>
                <w:sz w:val="2"/>
                <w:szCs w:val="2"/>
                <w:color w:val="auto"/>
              </w:rPr>
            </w:pPr>
          </w:p>
        </w:tc>
        <w:tc>
          <w:tcPr>
            <w:tcW w:w="94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0" w:type="dxa"/>
            <w:vAlign w:val="bottom"/>
          </w:tcPr>
          <w:p>
            <w:pPr>
              <w:spacing w:after="0"/>
              <w:rPr>
                <w:sz w:val="2"/>
                <w:szCs w:val="2"/>
                <w:color w:val="auto"/>
              </w:rPr>
            </w:pPr>
          </w:p>
        </w:tc>
        <w:tc>
          <w:tcPr>
            <w:tcW w:w="100" w:type="dxa"/>
            <w:vAlign w:val="bottom"/>
          </w:tcPr>
          <w:p>
            <w:pPr>
              <w:spacing w:after="0"/>
              <w:rPr>
                <w:sz w:val="2"/>
                <w:szCs w:val="2"/>
                <w:color w:val="auto"/>
              </w:rPr>
            </w:pPr>
          </w:p>
        </w:tc>
        <w:tc>
          <w:tcPr>
            <w:tcW w:w="440" w:type="dxa"/>
            <w:vAlign w:val="bottom"/>
          </w:tcPr>
          <w:p>
            <w:pPr>
              <w:spacing w:after="0"/>
              <w:rPr>
                <w:sz w:val="2"/>
                <w:szCs w:val="2"/>
                <w:color w:val="auto"/>
              </w:rPr>
            </w:pPr>
          </w:p>
        </w:tc>
        <w:tc>
          <w:tcPr>
            <w:tcW w:w="8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2"/>
        </w:trPr>
        <w:tc>
          <w:tcPr>
            <w:tcW w:w="4480" w:type="dxa"/>
            <w:vAlign w:val="bottom"/>
            <w:shd w:val="clear" w:color="auto" w:fill="CCEEFF"/>
          </w:tcPr>
          <w:p>
            <w:pPr>
              <w:ind w:left="20"/>
              <w:spacing w:after="0"/>
              <w:rPr>
                <w:sz w:val="20"/>
                <w:szCs w:val="20"/>
                <w:color w:val="auto"/>
              </w:rPr>
            </w:pPr>
            <w:r>
              <w:rPr>
                <w:rFonts w:ascii="Arial" w:cs="Arial" w:eastAsia="Arial" w:hAnsi="Arial"/>
                <w:sz w:val="13"/>
                <w:szCs w:val="13"/>
                <w:color w:val="auto"/>
              </w:rPr>
              <w:t>(Loss)/income from discontinued operations, net of income tax of $216,813,</w:t>
            </w:r>
          </w:p>
        </w:tc>
        <w:tc>
          <w:tcPr>
            <w:tcW w:w="240" w:type="dxa"/>
            <w:vAlign w:val="bottom"/>
            <w:shd w:val="clear" w:color="auto" w:fill="CCEEFF"/>
          </w:tcPr>
          <w:p>
            <w:pPr>
              <w:spacing w:after="0"/>
              <w:rPr>
                <w:sz w:val="15"/>
                <w:szCs w:val="15"/>
                <w:color w:val="auto"/>
              </w:rPr>
            </w:pPr>
          </w:p>
        </w:tc>
        <w:tc>
          <w:tcPr>
            <w:tcW w:w="1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10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440" w:type="dxa"/>
            <w:vAlign w:val="bottom"/>
            <w:shd w:val="clear" w:color="auto" w:fill="CCEEFF"/>
          </w:tcPr>
          <w:p>
            <w:pPr>
              <w:spacing w:after="0"/>
              <w:rPr>
                <w:sz w:val="15"/>
                <w:szCs w:val="15"/>
                <w:color w:val="auto"/>
              </w:rPr>
            </w:pPr>
          </w:p>
        </w:tc>
        <w:tc>
          <w:tcPr>
            <w:tcW w:w="88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44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$(91,705), $235,312, and $249,184</w:t>
            </w:r>
          </w:p>
        </w:tc>
        <w:tc>
          <w:tcPr>
            <w:tcW w:w="240" w:type="dxa"/>
            <w:vAlign w:val="bottom"/>
            <w:tcBorders>
              <w:bottom w:val="single" w:sz="8" w:color="CCEEFF"/>
            </w:tcBorders>
            <w:shd w:val="clear" w:color="auto" w:fill="CCEEFF"/>
          </w:tcPr>
          <w:p>
            <w:pPr>
              <w:spacing w:after="0"/>
              <w:rPr>
                <w:sz w:val="16"/>
                <w:szCs w:val="16"/>
                <w:color w:val="auto"/>
              </w:rPr>
            </w:pPr>
          </w:p>
        </w:tc>
        <w:tc>
          <w:tcPr>
            <w:tcW w:w="1100" w:type="dxa"/>
            <w:vAlign w:val="bottom"/>
            <w:tcBorders>
              <w:bottom w:val="single" w:sz="8" w:color="CCEEFF"/>
            </w:tcBorders>
            <w:shd w:val="clear" w:color="auto" w:fill="CCEEFF"/>
          </w:tcPr>
          <w:p>
            <w:pPr>
              <w:jc w:val="right"/>
              <w:ind w:right="13"/>
              <w:spacing w:after="0"/>
              <w:rPr>
                <w:sz w:val="20"/>
                <w:szCs w:val="20"/>
                <w:color w:val="auto"/>
              </w:rPr>
            </w:pPr>
            <w:r>
              <w:rPr>
                <w:rFonts w:ascii="Arial" w:cs="Arial" w:eastAsia="Arial" w:hAnsi="Arial"/>
                <w:sz w:val="13"/>
                <w:szCs w:val="13"/>
                <w:color w:val="auto"/>
              </w:rPr>
              <w:t>(56,418)</w:t>
            </w:r>
          </w:p>
        </w:tc>
        <w:tc>
          <w:tcPr>
            <w:tcW w:w="200" w:type="dxa"/>
            <w:vAlign w:val="bottom"/>
            <w:tcBorders>
              <w:bottom w:val="single" w:sz="8" w:color="CCEEFF"/>
            </w:tcBorders>
            <w:shd w:val="clear" w:color="auto" w:fill="CCEEFF"/>
          </w:tcPr>
          <w:p>
            <w:pPr>
              <w:spacing w:after="0"/>
              <w:rPr>
                <w:sz w:val="16"/>
                <w:szCs w:val="16"/>
                <w:color w:val="auto"/>
              </w:rPr>
            </w:pPr>
          </w:p>
        </w:tc>
        <w:tc>
          <w:tcPr>
            <w:tcW w:w="380" w:type="dxa"/>
            <w:vAlign w:val="bottom"/>
            <w:tcBorders>
              <w:bottom w:val="single" w:sz="8" w:color="CCEEFF"/>
            </w:tcBorders>
            <w:shd w:val="clear" w:color="auto" w:fill="CCEEFF"/>
          </w:tcPr>
          <w:p>
            <w:pPr>
              <w:spacing w:after="0"/>
              <w:rPr>
                <w:sz w:val="16"/>
                <w:szCs w:val="16"/>
                <w:color w:val="auto"/>
              </w:rPr>
            </w:pP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465,710</w:t>
            </w:r>
          </w:p>
        </w:tc>
        <w:tc>
          <w:tcPr>
            <w:tcW w:w="20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spacing w:after="0"/>
              <w:rPr>
                <w:sz w:val="16"/>
                <w:szCs w:val="16"/>
                <w:color w:val="auto"/>
              </w:rPr>
            </w:pP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1,132,436</w:t>
            </w:r>
          </w:p>
        </w:tc>
        <w:tc>
          <w:tcPr>
            <w:tcW w:w="100" w:type="dxa"/>
            <w:vAlign w:val="bottom"/>
            <w:tcBorders>
              <w:bottom w:val="single" w:sz="8" w:color="CCEEFF"/>
            </w:tcBorders>
            <w:shd w:val="clear" w:color="auto" w:fill="CCEEFF"/>
          </w:tcPr>
          <w:p>
            <w:pPr>
              <w:spacing w:after="0"/>
              <w:rPr>
                <w:sz w:val="16"/>
                <w:szCs w:val="16"/>
                <w:color w:val="auto"/>
              </w:rPr>
            </w:pPr>
          </w:p>
        </w:tc>
        <w:tc>
          <w:tcPr>
            <w:tcW w:w="440" w:type="dxa"/>
            <w:vAlign w:val="bottom"/>
            <w:tcBorders>
              <w:bottom w:val="single" w:sz="8" w:color="CCEEFF"/>
            </w:tcBorders>
            <w:shd w:val="clear" w:color="auto" w:fill="CCEEFF"/>
          </w:tcPr>
          <w:p>
            <w:pPr>
              <w:spacing w:after="0"/>
              <w:rPr>
                <w:sz w:val="16"/>
                <w:szCs w:val="16"/>
                <w:color w:val="auto"/>
              </w:rPr>
            </w:pPr>
          </w:p>
        </w:tc>
        <w:tc>
          <w:tcPr>
            <w:tcW w:w="8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337,904</w:t>
            </w:r>
          </w:p>
        </w:tc>
        <w:tc>
          <w:tcPr>
            <w:tcW w:w="0" w:type="dxa"/>
            <w:vAlign w:val="bottom"/>
          </w:tcPr>
          <w:p>
            <w:pPr>
              <w:spacing w:after="0"/>
              <w:rPr>
                <w:sz w:val="1"/>
                <w:szCs w:val="1"/>
                <w:color w:val="auto"/>
              </w:rPr>
            </w:pPr>
          </w:p>
        </w:tc>
      </w:tr>
      <w:tr>
        <w:trPr>
          <w:trHeight w:val="175"/>
        </w:trPr>
        <w:tc>
          <w:tcPr>
            <w:tcW w:w="4480" w:type="dxa"/>
            <w:vAlign w:val="bottom"/>
          </w:tcPr>
          <w:p>
            <w:pPr>
              <w:ind w:left="20"/>
              <w:spacing w:after="0"/>
              <w:rPr>
                <w:sz w:val="20"/>
                <w:szCs w:val="20"/>
                <w:color w:val="auto"/>
              </w:rPr>
            </w:pPr>
            <w:r>
              <w:rPr>
                <w:rFonts w:ascii="Arial" w:cs="Arial" w:eastAsia="Arial" w:hAnsi="Arial"/>
                <w:sz w:val="13"/>
                <w:szCs w:val="13"/>
                <w:color w:val="auto"/>
              </w:rPr>
              <w:t>Net income from discontinued operations</w:t>
            </w:r>
          </w:p>
        </w:tc>
        <w:tc>
          <w:tcPr>
            <w:tcW w:w="240" w:type="dxa"/>
            <w:vAlign w:val="bottom"/>
            <w:tcBorders>
              <w:top w:val="single" w:sz="8" w:color="auto"/>
            </w:tcBorders>
          </w:tcPr>
          <w:p>
            <w:pPr>
              <w:spacing w:after="0"/>
              <w:rPr>
                <w:sz w:val="15"/>
                <w:szCs w:val="15"/>
                <w:color w:val="auto"/>
              </w:rPr>
            </w:pPr>
          </w:p>
        </w:tc>
        <w:tc>
          <w:tcPr>
            <w:tcW w:w="110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7,555,626</w:t>
            </w:r>
          </w:p>
        </w:tc>
        <w:tc>
          <w:tcPr>
            <w:tcW w:w="200" w:type="dxa"/>
            <w:vAlign w:val="bottom"/>
          </w:tcPr>
          <w:p>
            <w:pPr>
              <w:spacing w:after="0"/>
              <w:rPr>
                <w:sz w:val="15"/>
                <w:szCs w:val="15"/>
                <w:color w:val="auto"/>
              </w:rPr>
            </w:pPr>
          </w:p>
        </w:tc>
        <w:tc>
          <w:tcPr>
            <w:tcW w:w="380" w:type="dxa"/>
            <w:vAlign w:val="bottom"/>
            <w:tcBorders>
              <w:top w:val="single" w:sz="8" w:color="auto"/>
            </w:tcBorders>
          </w:tcPr>
          <w:p>
            <w:pPr>
              <w:spacing w:after="0"/>
              <w:rPr>
                <w:sz w:val="15"/>
                <w:szCs w:val="15"/>
                <w:color w:val="auto"/>
              </w:rPr>
            </w:pPr>
          </w:p>
        </w:tc>
        <w:tc>
          <w:tcPr>
            <w:tcW w:w="94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15,562,376</w:t>
            </w:r>
          </w:p>
        </w:tc>
        <w:tc>
          <w:tcPr>
            <w:tcW w:w="200" w:type="dxa"/>
            <w:vAlign w:val="bottom"/>
          </w:tcPr>
          <w:p>
            <w:pPr>
              <w:spacing w:after="0"/>
              <w:rPr>
                <w:sz w:val="15"/>
                <w:szCs w:val="15"/>
                <w:color w:val="auto"/>
              </w:rPr>
            </w:pPr>
          </w:p>
        </w:tc>
        <w:tc>
          <w:tcPr>
            <w:tcW w:w="200" w:type="dxa"/>
            <w:vAlign w:val="bottom"/>
            <w:tcBorders>
              <w:top w:val="single" w:sz="8" w:color="auto"/>
            </w:tcBorders>
          </w:tcPr>
          <w:p>
            <w:pPr>
              <w:spacing w:after="0"/>
              <w:rPr>
                <w:sz w:val="15"/>
                <w:szCs w:val="15"/>
                <w:color w:val="auto"/>
              </w:rPr>
            </w:pPr>
          </w:p>
        </w:tc>
        <w:tc>
          <w:tcPr>
            <w:tcW w:w="100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8,704,246</w:t>
            </w:r>
          </w:p>
        </w:tc>
        <w:tc>
          <w:tcPr>
            <w:tcW w:w="100" w:type="dxa"/>
            <w:vAlign w:val="bottom"/>
          </w:tcPr>
          <w:p>
            <w:pPr>
              <w:spacing w:after="0"/>
              <w:rPr>
                <w:sz w:val="15"/>
                <w:szCs w:val="15"/>
                <w:color w:val="auto"/>
              </w:rPr>
            </w:pPr>
          </w:p>
        </w:tc>
        <w:tc>
          <w:tcPr>
            <w:tcW w:w="440" w:type="dxa"/>
            <w:vAlign w:val="bottom"/>
            <w:tcBorders>
              <w:top w:val="single" w:sz="8" w:color="auto"/>
            </w:tcBorders>
          </w:tcPr>
          <w:p>
            <w:pPr>
              <w:spacing w:after="0"/>
              <w:rPr>
                <w:sz w:val="15"/>
                <w:szCs w:val="15"/>
                <w:color w:val="auto"/>
              </w:rPr>
            </w:pPr>
          </w:p>
        </w:tc>
        <w:tc>
          <w:tcPr>
            <w:tcW w:w="88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15,434,570</w:t>
            </w:r>
          </w:p>
        </w:tc>
        <w:tc>
          <w:tcPr>
            <w:tcW w:w="0" w:type="dxa"/>
            <w:vAlign w:val="bottom"/>
          </w:tcPr>
          <w:p>
            <w:pPr>
              <w:spacing w:after="0"/>
              <w:rPr>
                <w:sz w:val="1"/>
                <w:szCs w:val="1"/>
                <w:color w:val="auto"/>
              </w:rPr>
            </w:pPr>
          </w:p>
        </w:tc>
      </w:tr>
      <w:tr>
        <w:trPr>
          <w:trHeight w:val="27"/>
        </w:trPr>
        <w:tc>
          <w:tcPr>
            <w:tcW w:w="44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82"/>
        </w:trPr>
        <w:tc>
          <w:tcPr>
            <w:tcW w:w="44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Net income</w:t>
            </w:r>
          </w:p>
        </w:tc>
        <w:tc>
          <w:tcPr>
            <w:tcW w:w="240" w:type="dxa"/>
            <w:vAlign w:val="bottom"/>
            <w:tcBorders>
              <w:bottom w:val="single" w:sz="8" w:color="CCEEFF"/>
            </w:tcBorders>
            <w:shd w:val="clear" w:color="auto" w:fill="CCEEFF"/>
          </w:tcPr>
          <w:p>
            <w:pPr>
              <w:spacing w:after="0"/>
              <w:rPr>
                <w:sz w:val="15"/>
                <w:szCs w:val="15"/>
                <w:color w:val="auto"/>
              </w:rPr>
            </w:pP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8,848,402</w:t>
            </w:r>
          </w:p>
        </w:tc>
        <w:tc>
          <w:tcPr>
            <w:tcW w:w="200" w:type="dxa"/>
            <w:vAlign w:val="bottom"/>
            <w:tcBorders>
              <w:bottom w:val="single" w:sz="8" w:color="CCEEFF"/>
            </w:tcBorders>
            <w:shd w:val="clear" w:color="auto" w:fill="CCEEFF"/>
          </w:tcPr>
          <w:p>
            <w:pPr>
              <w:spacing w:after="0"/>
              <w:rPr>
                <w:sz w:val="15"/>
                <w:szCs w:val="15"/>
                <w:color w:val="auto"/>
              </w:rPr>
            </w:pPr>
          </w:p>
        </w:tc>
        <w:tc>
          <w:tcPr>
            <w:tcW w:w="380" w:type="dxa"/>
            <w:vAlign w:val="bottom"/>
            <w:tcBorders>
              <w:bottom w:val="single" w:sz="8" w:color="CCEEFF"/>
            </w:tcBorders>
            <w:shd w:val="clear" w:color="auto" w:fill="CCEEFF"/>
          </w:tcPr>
          <w:p>
            <w:pPr>
              <w:spacing w:after="0"/>
              <w:rPr>
                <w:sz w:val="15"/>
                <w:szCs w:val="15"/>
                <w:color w:val="auto"/>
              </w:rPr>
            </w:pP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15,757,324</w:t>
            </w:r>
          </w:p>
        </w:tc>
        <w:tc>
          <w:tcPr>
            <w:tcW w:w="2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10,064,405</w:t>
            </w:r>
          </w:p>
        </w:tc>
        <w:tc>
          <w:tcPr>
            <w:tcW w:w="100" w:type="dxa"/>
            <w:vAlign w:val="bottom"/>
            <w:tcBorders>
              <w:bottom w:val="single" w:sz="8" w:color="CCEEFF"/>
            </w:tcBorders>
            <w:shd w:val="clear" w:color="auto" w:fill="CCEEFF"/>
          </w:tcPr>
          <w:p>
            <w:pPr>
              <w:spacing w:after="0"/>
              <w:rPr>
                <w:sz w:val="15"/>
                <w:szCs w:val="15"/>
                <w:color w:val="auto"/>
              </w:rPr>
            </w:pPr>
          </w:p>
        </w:tc>
        <w:tc>
          <w:tcPr>
            <w:tcW w:w="440" w:type="dxa"/>
            <w:vAlign w:val="bottom"/>
            <w:tcBorders>
              <w:bottom w:val="single" w:sz="8" w:color="CCEEFF"/>
            </w:tcBorders>
            <w:shd w:val="clear" w:color="auto" w:fill="CCEEFF"/>
          </w:tcPr>
          <w:p>
            <w:pPr>
              <w:spacing w:after="0"/>
              <w:rPr>
                <w:sz w:val="15"/>
                <w:szCs w:val="15"/>
                <w:color w:val="auto"/>
              </w:rPr>
            </w:pPr>
          </w:p>
        </w:tc>
        <w:tc>
          <w:tcPr>
            <w:tcW w:w="8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14,179,576</w:t>
            </w:r>
          </w:p>
        </w:tc>
        <w:tc>
          <w:tcPr>
            <w:tcW w:w="0" w:type="dxa"/>
            <w:vAlign w:val="bottom"/>
          </w:tcPr>
          <w:p>
            <w:pPr>
              <w:spacing w:after="0"/>
              <w:rPr>
                <w:sz w:val="1"/>
                <w:szCs w:val="1"/>
                <w:color w:val="auto"/>
              </w:rPr>
            </w:pPr>
          </w:p>
        </w:tc>
      </w:tr>
      <w:tr>
        <w:trPr>
          <w:trHeight w:val="195"/>
        </w:trPr>
        <w:tc>
          <w:tcPr>
            <w:tcW w:w="4480" w:type="dxa"/>
            <w:vAlign w:val="bottom"/>
          </w:tcPr>
          <w:p>
            <w:pPr>
              <w:ind w:left="20"/>
              <w:spacing w:after="0"/>
              <w:rPr>
                <w:sz w:val="20"/>
                <w:szCs w:val="20"/>
                <w:color w:val="auto"/>
              </w:rPr>
            </w:pPr>
            <w:r>
              <w:rPr>
                <w:rFonts w:ascii="Arial" w:cs="Arial" w:eastAsia="Arial" w:hAnsi="Arial"/>
                <w:sz w:val="13"/>
                <w:szCs w:val="13"/>
                <w:color w:val="auto"/>
              </w:rPr>
              <w:t>Preferred stock dividend</w:t>
            </w:r>
          </w:p>
        </w:tc>
        <w:tc>
          <w:tcPr>
            <w:tcW w:w="240" w:type="dxa"/>
            <w:vAlign w:val="bottom"/>
          </w:tcPr>
          <w:p>
            <w:pPr>
              <w:spacing w:after="0"/>
              <w:rPr>
                <w:sz w:val="16"/>
                <w:szCs w:val="16"/>
                <w:color w:val="auto"/>
              </w:rPr>
            </w:pPr>
          </w:p>
        </w:tc>
        <w:tc>
          <w:tcPr>
            <w:tcW w:w="1100" w:type="dxa"/>
            <w:vAlign w:val="bottom"/>
          </w:tcPr>
          <w:p>
            <w:pPr>
              <w:jc w:val="right"/>
              <w:ind w:right="53"/>
              <w:spacing w:after="0"/>
              <w:rPr>
                <w:sz w:val="20"/>
                <w:szCs w:val="20"/>
                <w:color w:val="auto"/>
              </w:rPr>
            </w:pPr>
            <w:r>
              <w:rPr>
                <w:rFonts w:ascii="Arial" w:cs="Arial" w:eastAsia="Arial" w:hAnsi="Arial"/>
                <w:sz w:val="13"/>
                <w:szCs w:val="13"/>
                <w:color w:val="auto"/>
              </w:rPr>
              <w:t>63,235</w:t>
            </w:r>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40" w:type="dxa"/>
            <w:vAlign w:val="bottom"/>
          </w:tcPr>
          <w:p>
            <w:pPr>
              <w:jc w:val="right"/>
              <w:ind w:right="33"/>
              <w:spacing w:after="0"/>
              <w:rPr>
                <w:sz w:val="20"/>
                <w:szCs w:val="20"/>
                <w:color w:val="auto"/>
              </w:rPr>
            </w:pPr>
            <w:r>
              <w:rPr>
                <w:rFonts w:ascii="Arial" w:cs="Arial" w:eastAsia="Arial" w:hAnsi="Arial"/>
                <w:sz w:val="13"/>
                <w:szCs w:val="13"/>
                <w:color w:val="auto"/>
              </w:rPr>
              <w:t>33,699</w:t>
            </w: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0" w:type="dxa"/>
            <w:vAlign w:val="bottom"/>
          </w:tcPr>
          <w:p>
            <w:pPr>
              <w:jc w:val="right"/>
              <w:ind w:right="33"/>
              <w:spacing w:after="0"/>
              <w:rPr>
                <w:sz w:val="20"/>
                <w:szCs w:val="20"/>
                <w:color w:val="auto"/>
              </w:rPr>
            </w:pPr>
            <w:r>
              <w:rPr>
                <w:rFonts w:ascii="Arial" w:cs="Arial" w:eastAsia="Arial" w:hAnsi="Arial"/>
                <w:sz w:val="13"/>
                <w:szCs w:val="13"/>
                <w:color w:val="auto"/>
              </w:rPr>
              <w:t>190,895</w:t>
            </w: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880" w:type="dxa"/>
            <w:vAlign w:val="bottom"/>
          </w:tcPr>
          <w:p>
            <w:pPr>
              <w:jc w:val="right"/>
              <w:ind w:right="33"/>
              <w:spacing w:after="0"/>
              <w:rPr>
                <w:sz w:val="20"/>
                <w:szCs w:val="20"/>
                <w:color w:val="auto"/>
              </w:rPr>
            </w:pPr>
            <w:r>
              <w:rPr>
                <w:rFonts w:ascii="Arial" w:cs="Arial" w:eastAsia="Arial" w:hAnsi="Arial"/>
                <w:sz w:val="13"/>
                <w:szCs w:val="13"/>
                <w:color w:val="auto"/>
              </w:rPr>
              <w:t>97,331</w:t>
            </w:r>
          </w:p>
        </w:tc>
        <w:tc>
          <w:tcPr>
            <w:tcW w:w="0" w:type="dxa"/>
            <w:vAlign w:val="bottom"/>
          </w:tcPr>
          <w:p>
            <w:pPr>
              <w:spacing w:after="0"/>
              <w:rPr>
                <w:sz w:val="1"/>
                <w:szCs w:val="1"/>
                <w:color w:val="auto"/>
              </w:rPr>
            </w:pPr>
          </w:p>
        </w:tc>
      </w:tr>
      <w:tr>
        <w:trPr>
          <w:trHeight w:val="27"/>
        </w:trPr>
        <w:tc>
          <w:tcPr>
            <w:tcW w:w="44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7"/>
        </w:trPr>
        <w:tc>
          <w:tcPr>
            <w:tcW w:w="44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Net income attributable to common stockholders</w:t>
            </w:r>
          </w:p>
        </w:tc>
        <w:tc>
          <w:tcPr>
            <w:tcW w:w="240" w:type="dxa"/>
            <w:vAlign w:val="bottom"/>
            <w:tcBorders>
              <w:bottom w:val="single" w:sz="8" w:color="CCEEFF"/>
            </w:tcBorders>
            <w:shd w:val="clear" w:color="auto" w:fill="CCEEFF"/>
          </w:tcPr>
          <w:p>
            <w:pPr>
              <w:jc w:val="right"/>
              <w:ind w:right="93"/>
              <w:spacing w:after="0"/>
              <w:rPr>
                <w:sz w:val="20"/>
                <w:szCs w:val="20"/>
                <w:color w:val="auto"/>
              </w:rPr>
            </w:pPr>
            <w:r>
              <w:rPr>
                <w:rFonts w:ascii="Arial" w:cs="Arial" w:eastAsia="Arial" w:hAnsi="Arial"/>
                <w:sz w:val="13"/>
                <w:szCs w:val="13"/>
                <w:color w:val="auto"/>
                <w:w w:val="82"/>
              </w:rPr>
              <w:t>$</w:t>
            </w: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8,785,167</w:t>
            </w:r>
          </w:p>
        </w:tc>
        <w:tc>
          <w:tcPr>
            <w:tcW w:w="20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jc w:val="right"/>
              <w:ind w:right="213"/>
              <w:spacing w:after="0"/>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15,723,625</w:t>
            </w:r>
          </w:p>
        </w:tc>
        <w:tc>
          <w:tcPr>
            <w:tcW w:w="200" w:type="dxa"/>
            <w:vAlign w:val="bottom"/>
            <w:tcBorders>
              <w:bottom w:val="single" w:sz="8" w:color="CCEEFF"/>
            </w:tcBorders>
            <w:shd w:val="clear" w:color="auto" w:fill="CCEEFF"/>
          </w:tcPr>
          <w:p>
            <w:pPr>
              <w:spacing w:after="0"/>
              <w:rPr>
                <w:sz w:val="17"/>
                <w:szCs w:val="17"/>
                <w:color w:val="auto"/>
              </w:rPr>
            </w:pPr>
          </w:p>
        </w:tc>
        <w:tc>
          <w:tcPr>
            <w:tcW w:w="2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w w:val="82"/>
              </w:rPr>
              <w:t>$</w:t>
            </w: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9,873,510</w:t>
            </w:r>
          </w:p>
        </w:tc>
        <w:tc>
          <w:tcPr>
            <w:tcW w:w="10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jc w:val="right"/>
              <w:ind w:right="293"/>
              <w:spacing w:after="0"/>
              <w:rPr>
                <w:sz w:val="20"/>
                <w:szCs w:val="20"/>
                <w:color w:val="auto"/>
              </w:rPr>
            </w:pPr>
            <w:r>
              <w:rPr>
                <w:rFonts w:ascii="Arial" w:cs="Arial" w:eastAsia="Arial" w:hAnsi="Arial"/>
                <w:sz w:val="13"/>
                <w:szCs w:val="13"/>
                <w:color w:val="auto"/>
                <w:w w:val="82"/>
              </w:rPr>
              <w:t>$</w:t>
            </w:r>
          </w:p>
        </w:tc>
        <w:tc>
          <w:tcPr>
            <w:tcW w:w="8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14,082,245</w:t>
            </w:r>
          </w:p>
        </w:tc>
        <w:tc>
          <w:tcPr>
            <w:tcW w:w="0" w:type="dxa"/>
            <w:vAlign w:val="bottom"/>
          </w:tcPr>
          <w:p>
            <w:pPr>
              <w:spacing w:after="0"/>
              <w:rPr>
                <w:sz w:val="1"/>
                <w:szCs w:val="1"/>
                <w:color w:val="auto"/>
              </w:rPr>
            </w:pPr>
          </w:p>
        </w:tc>
      </w:tr>
      <w:tr>
        <w:trPr>
          <w:trHeight w:val="20"/>
        </w:trPr>
        <w:tc>
          <w:tcPr>
            <w:tcW w:w="4480" w:type="dxa"/>
            <w:vAlign w:val="bottom"/>
            <w:tcBorders>
              <w:top w:val="single" w:sz="8" w:color="CCEEFF"/>
              <w:bottom w:val="single" w:sz="8" w:color="CCEEFF"/>
            </w:tcBorders>
            <w:vMerge w:val="restart"/>
          </w:tcPr>
          <w:p>
            <w:pPr>
              <w:ind w:left="20"/>
              <w:spacing w:after="0"/>
              <w:rPr>
                <w:sz w:val="20"/>
                <w:szCs w:val="20"/>
                <w:color w:val="auto"/>
              </w:rPr>
            </w:pPr>
            <w:r>
              <w:rPr>
                <w:rFonts w:ascii="Arial" w:cs="Arial" w:eastAsia="Arial" w:hAnsi="Arial"/>
                <w:sz w:val="13"/>
                <w:szCs w:val="13"/>
                <w:color w:val="auto"/>
              </w:rPr>
              <w:t>Net income/(loss) per share from continuing operations:</w:t>
            </w:r>
          </w:p>
        </w:tc>
        <w:tc>
          <w:tcPr>
            <w:tcW w:w="24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5"/>
        </w:trPr>
        <w:tc>
          <w:tcPr>
            <w:tcW w:w="4480" w:type="dxa"/>
            <w:vAlign w:val="bottom"/>
            <w:vMerge w:val="continue"/>
          </w:tcPr>
          <w:p>
            <w:pPr>
              <w:spacing w:after="0"/>
              <w:rPr>
                <w:sz w:val="11"/>
                <w:szCs w:val="11"/>
                <w:color w:val="auto"/>
              </w:rPr>
            </w:pPr>
          </w:p>
        </w:tc>
        <w:tc>
          <w:tcPr>
            <w:tcW w:w="24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60"/>
        </w:trPr>
        <w:tc>
          <w:tcPr>
            <w:tcW w:w="4480" w:type="dxa"/>
            <w:vAlign w:val="bottom"/>
          </w:tcPr>
          <w:p>
            <w:pPr>
              <w:spacing w:after="0"/>
              <w:rPr>
                <w:sz w:val="5"/>
                <w:szCs w:val="5"/>
                <w:color w:val="auto"/>
              </w:rPr>
            </w:pPr>
          </w:p>
        </w:tc>
        <w:tc>
          <w:tcPr>
            <w:tcW w:w="24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380" w:type="dxa"/>
            <w:vAlign w:val="bottom"/>
          </w:tcPr>
          <w:p>
            <w:pPr>
              <w:spacing w:after="0"/>
              <w:rPr>
                <w:sz w:val="5"/>
                <w:szCs w:val="5"/>
                <w:color w:val="auto"/>
              </w:rPr>
            </w:pPr>
          </w:p>
        </w:tc>
        <w:tc>
          <w:tcPr>
            <w:tcW w:w="94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40" w:type="dxa"/>
            <w:vAlign w:val="bottom"/>
          </w:tcPr>
          <w:p>
            <w:pPr>
              <w:spacing w:after="0"/>
              <w:rPr>
                <w:sz w:val="5"/>
                <w:szCs w:val="5"/>
                <w:color w:val="auto"/>
              </w:rPr>
            </w:pPr>
          </w:p>
        </w:tc>
        <w:tc>
          <w:tcPr>
            <w:tcW w:w="8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4480" w:type="dxa"/>
            <w:vAlign w:val="bottom"/>
            <w:tcBorders>
              <w:bottom w:val="single" w:sz="8" w:color="CCEEFF"/>
            </w:tcBorders>
            <w:shd w:val="clear" w:color="auto" w:fill="CCEEFF"/>
          </w:tcPr>
          <w:p>
            <w:pPr>
              <w:ind w:left="300"/>
              <w:spacing w:after="0"/>
              <w:rPr>
                <w:sz w:val="20"/>
                <w:szCs w:val="20"/>
                <w:color w:val="auto"/>
              </w:rPr>
            </w:pPr>
            <w:r>
              <w:rPr>
                <w:rFonts w:ascii="Arial" w:cs="Arial" w:eastAsia="Arial" w:hAnsi="Arial"/>
                <w:sz w:val="13"/>
                <w:szCs w:val="13"/>
                <w:color w:val="auto"/>
              </w:rPr>
              <w:t>Basic</w:t>
            </w:r>
          </w:p>
        </w:tc>
        <w:tc>
          <w:tcPr>
            <w:tcW w:w="240" w:type="dxa"/>
            <w:vAlign w:val="bottom"/>
            <w:tcBorders>
              <w:bottom w:val="single" w:sz="8" w:color="CCEEFF"/>
            </w:tcBorders>
            <w:shd w:val="clear" w:color="auto" w:fill="CCEEFF"/>
          </w:tcPr>
          <w:p>
            <w:pPr>
              <w:jc w:val="right"/>
              <w:ind w:right="93"/>
              <w:spacing w:after="0"/>
              <w:rPr>
                <w:sz w:val="20"/>
                <w:szCs w:val="20"/>
                <w:color w:val="auto"/>
              </w:rPr>
            </w:pPr>
            <w:r>
              <w:rPr>
                <w:rFonts w:ascii="Arial" w:cs="Arial" w:eastAsia="Arial" w:hAnsi="Arial"/>
                <w:sz w:val="13"/>
                <w:szCs w:val="13"/>
                <w:color w:val="auto"/>
                <w:w w:val="82"/>
              </w:rPr>
              <w:t>$</w:t>
            </w: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0.05</w:t>
            </w:r>
          </w:p>
        </w:tc>
        <w:tc>
          <w:tcPr>
            <w:tcW w:w="200" w:type="dxa"/>
            <w:vAlign w:val="bottom"/>
            <w:tcBorders>
              <w:bottom w:val="single" w:sz="8" w:color="CCEEFF"/>
            </w:tcBorders>
            <w:shd w:val="clear" w:color="auto" w:fill="CCEEFF"/>
          </w:tcPr>
          <w:p>
            <w:pPr>
              <w:spacing w:after="0"/>
              <w:rPr>
                <w:sz w:val="18"/>
                <w:szCs w:val="18"/>
                <w:color w:val="auto"/>
              </w:rPr>
            </w:pPr>
          </w:p>
        </w:tc>
        <w:tc>
          <w:tcPr>
            <w:tcW w:w="380" w:type="dxa"/>
            <w:vAlign w:val="bottom"/>
            <w:tcBorders>
              <w:bottom w:val="single" w:sz="8" w:color="CCEEFF"/>
            </w:tcBorders>
            <w:shd w:val="clear" w:color="auto" w:fill="CCEEFF"/>
          </w:tcPr>
          <w:p>
            <w:pPr>
              <w:jc w:val="right"/>
              <w:ind w:right="213"/>
              <w:spacing w:after="0"/>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0.01</w:t>
            </w:r>
          </w:p>
        </w:tc>
        <w:tc>
          <w:tcPr>
            <w:tcW w:w="20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w w:val="82"/>
              </w:rPr>
              <w:t>$</w:t>
            </w: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0.05</w:t>
            </w:r>
          </w:p>
        </w:tc>
        <w:tc>
          <w:tcPr>
            <w:tcW w:w="100" w:type="dxa"/>
            <w:vAlign w:val="bottom"/>
            <w:tcBorders>
              <w:bottom w:val="single" w:sz="8" w:color="CCEEFF"/>
            </w:tcBorders>
            <w:shd w:val="clear" w:color="auto" w:fill="CCEEFF"/>
          </w:tcPr>
          <w:p>
            <w:pPr>
              <w:spacing w:after="0"/>
              <w:rPr>
                <w:sz w:val="18"/>
                <w:szCs w:val="18"/>
                <w:color w:val="auto"/>
              </w:rPr>
            </w:pPr>
          </w:p>
        </w:tc>
        <w:tc>
          <w:tcPr>
            <w:tcW w:w="440" w:type="dxa"/>
            <w:vAlign w:val="bottom"/>
            <w:tcBorders>
              <w:bottom w:val="single" w:sz="8" w:color="CCEEFF"/>
            </w:tcBorders>
            <w:shd w:val="clear" w:color="auto" w:fill="CCEEFF"/>
          </w:tcPr>
          <w:p>
            <w:pPr>
              <w:jc w:val="right"/>
              <w:ind w:right="293"/>
              <w:spacing w:after="0"/>
              <w:rPr>
                <w:sz w:val="20"/>
                <w:szCs w:val="20"/>
                <w:color w:val="auto"/>
              </w:rPr>
            </w:pPr>
            <w:r>
              <w:rPr>
                <w:rFonts w:ascii="Arial" w:cs="Arial" w:eastAsia="Arial" w:hAnsi="Arial"/>
                <w:sz w:val="13"/>
                <w:szCs w:val="13"/>
                <w:color w:val="auto"/>
                <w:w w:val="82"/>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(0.05)</w:t>
            </w:r>
          </w:p>
        </w:tc>
        <w:tc>
          <w:tcPr>
            <w:tcW w:w="0" w:type="dxa"/>
            <w:vAlign w:val="bottom"/>
          </w:tcPr>
          <w:p>
            <w:pPr>
              <w:spacing w:after="0"/>
              <w:rPr>
                <w:sz w:val="1"/>
                <w:szCs w:val="1"/>
                <w:color w:val="auto"/>
              </w:rPr>
            </w:pPr>
          </w:p>
        </w:tc>
      </w:tr>
      <w:tr>
        <w:trPr>
          <w:trHeight w:val="20"/>
        </w:trPr>
        <w:tc>
          <w:tcPr>
            <w:tcW w:w="4480" w:type="dxa"/>
            <w:vAlign w:val="bottom"/>
            <w:tcBorders>
              <w:top w:val="single" w:sz="8" w:color="CCEEFF"/>
              <w:bottom w:val="single" w:sz="8" w:color="CCEEFF"/>
            </w:tcBorders>
            <w:vMerge w:val="restart"/>
          </w:tcPr>
          <w:p>
            <w:pPr>
              <w:ind w:left="300"/>
              <w:spacing w:after="0"/>
              <w:rPr>
                <w:sz w:val="20"/>
                <w:szCs w:val="20"/>
                <w:color w:val="auto"/>
              </w:rPr>
            </w:pPr>
            <w:r>
              <w:rPr>
                <w:rFonts w:ascii="Arial" w:cs="Arial" w:eastAsia="Arial" w:hAnsi="Arial"/>
                <w:sz w:val="13"/>
                <w:szCs w:val="13"/>
                <w:color w:val="auto"/>
              </w:rPr>
              <w:t>Diluted</w:t>
            </w:r>
          </w:p>
        </w:tc>
        <w:tc>
          <w:tcPr>
            <w:tcW w:w="24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8"/>
        </w:trPr>
        <w:tc>
          <w:tcPr>
            <w:tcW w:w="4480" w:type="dxa"/>
            <w:vAlign w:val="bottom"/>
            <w:vMerge w:val="continue"/>
          </w:tcPr>
          <w:p>
            <w:pPr>
              <w:spacing w:after="0"/>
              <w:rPr>
                <w:sz w:val="13"/>
                <w:szCs w:val="13"/>
                <w:color w:val="auto"/>
              </w:rPr>
            </w:pPr>
          </w:p>
        </w:tc>
        <w:tc>
          <w:tcPr>
            <w:tcW w:w="240" w:type="dxa"/>
            <w:vAlign w:val="bottom"/>
          </w:tcPr>
          <w:p>
            <w:pPr>
              <w:jc w:val="right"/>
              <w:ind w:right="93"/>
              <w:spacing w:after="0"/>
              <w:rPr>
                <w:sz w:val="20"/>
                <w:szCs w:val="20"/>
                <w:color w:val="auto"/>
              </w:rPr>
            </w:pPr>
            <w:r>
              <w:rPr>
                <w:rFonts w:ascii="Arial" w:cs="Arial" w:eastAsia="Arial" w:hAnsi="Arial"/>
                <w:sz w:val="13"/>
                <w:szCs w:val="13"/>
                <w:color w:val="auto"/>
                <w:w w:val="82"/>
              </w:rPr>
              <w:t>$</w:t>
            </w:r>
          </w:p>
        </w:tc>
        <w:tc>
          <w:tcPr>
            <w:tcW w:w="1100" w:type="dxa"/>
            <w:vAlign w:val="bottom"/>
          </w:tcPr>
          <w:p>
            <w:pPr>
              <w:jc w:val="right"/>
              <w:ind w:right="53"/>
              <w:spacing w:after="0"/>
              <w:rPr>
                <w:sz w:val="20"/>
                <w:szCs w:val="20"/>
                <w:color w:val="auto"/>
              </w:rPr>
            </w:pPr>
            <w:r>
              <w:rPr>
                <w:rFonts w:ascii="Arial" w:cs="Arial" w:eastAsia="Arial" w:hAnsi="Arial"/>
                <w:sz w:val="13"/>
                <w:szCs w:val="13"/>
                <w:color w:val="auto"/>
              </w:rPr>
              <w:t>0.04</w:t>
            </w:r>
          </w:p>
        </w:tc>
        <w:tc>
          <w:tcPr>
            <w:tcW w:w="200" w:type="dxa"/>
            <w:vAlign w:val="bottom"/>
          </w:tcPr>
          <w:p>
            <w:pPr>
              <w:spacing w:after="0"/>
              <w:rPr>
                <w:sz w:val="13"/>
                <w:szCs w:val="13"/>
                <w:color w:val="auto"/>
              </w:rPr>
            </w:pPr>
          </w:p>
        </w:tc>
        <w:tc>
          <w:tcPr>
            <w:tcW w:w="380" w:type="dxa"/>
            <w:vAlign w:val="bottom"/>
          </w:tcPr>
          <w:p>
            <w:pPr>
              <w:jc w:val="right"/>
              <w:ind w:right="213"/>
              <w:spacing w:after="0"/>
              <w:rPr>
                <w:sz w:val="20"/>
                <w:szCs w:val="20"/>
                <w:color w:val="auto"/>
              </w:rPr>
            </w:pPr>
            <w:r>
              <w:rPr>
                <w:rFonts w:ascii="Arial" w:cs="Arial" w:eastAsia="Arial" w:hAnsi="Arial"/>
                <w:sz w:val="13"/>
                <w:szCs w:val="13"/>
                <w:color w:val="auto"/>
              </w:rPr>
              <w:t>$</w:t>
            </w:r>
          </w:p>
        </w:tc>
        <w:tc>
          <w:tcPr>
            <w:tcW w:w="940" w:type="dxa"/>
            <w:vAlign w:val="bottom"/>
          </w:tcPr>
          <w:p>
            <w:pPr>
              <w:jc w:val="right"/>
              <w:ind w:right="33"/>
              <w:spacing w:after="0"/>
              <w:rPr>
                <w:sz w:val="20"/>
                <w:szCs w:val="20"/>
                <w:color w:val="auto"/>
              </w:rPr>
            </w:pPr>
            <w:r>
              <w:rPr>
                <w:rFonts w:ascii="Arial" w:cs="Arial" w:eastAsia="Arial" w:hAnsi="Arial"/>
                <w:sz w:val="13"/>
                <w:szCs w:val="13"/>
                <w:color w:val="auto"/>
              </w:rPr>
              <w:t>0.01</w:t>
            </w:r>
          </w:p>
        </w:tc>
        <w:tc>
          <w:tcPr>
            <w:tcW w:w="200" w:type="dxa"/>
            <w:vAlign w:val="bottom"/>
          </w:tcPr>
          <w:p>
            <w:pPr>
              <w:spacing w:after="0"/>
              <w:rPr>
                <w:sz w:val="13"/>
                <w:szCs w:val="13"/>
                <w:color w:val="auto"/>
              </w:rPr>
            </w:pPr>
          </w:p>
        </w:tc>
        <w:tc>
          <w:tcPr>
            <w:tcW w:w="200" w:type="dxa"/>
            <w:vAlign w:val="bottom"/>
          </w:tcPr>
          <w:p>
            <w:pPr>
              <w:jc w:val="right"/>
              <w:ind w:right="53"/>
              <w:spacing w:after="0"/>
              <w:rPr>
                <w:sz w:val="20"/>
                <w:szCs w:val="20"/>
                <w:color w:val="auto"/>
              </w:rPr>
            </w:pPr>
            <w:r>
              <w:rPr>
                <w:rFonts w:ascii="Arial" w:cs="Arial" w:eastAsia="Arial" w:hAnsi="Arial"/>
                <w:sz w:val="13"/>
                <w:szCs w:val="13"/>
                <w:color w:val="auto"/>
                <w:w w:val="82"/>
              </w:rPr>
              <w:t>$</w:t>
            </w:r>
          </w:p>
        </w:tc>
        <w:tc>
          <w:tcPr>
            <w:tcW w:w="1000" w:type="dxa"/>
            <w:vAlign w:val="bottom"/>
          </w:tcPr>
          <w:p>
            <w:pPr>
              <w:jc w:val="right"/>
              <w:ind w:right="33"/>
              <w:spacing w:after="0"/>
              <w:rPr>
                <w:sz w:val="20"/>
                <w:szCs w:val="20"/>
                <w:color w:val="auto"/>
              </w:rPr>
            </w:pPr>
            <w:r>
              <w:rPr>
                <w:rFonts w:ascii="Arial" w:cs="Arial" w:eastAsia="Arial" w:hAnsi="Arial"/>
                <w:sz w:val="13"/>
                <w:szCs w:val="13"/>
                <w:color w:val="auto"/>
              </w:rPr>
              <w:t>0.04</w:t>
            </w:r>
          </w:p>
        </w:tc>
        <w:tc>
          <w:tcPr>
            <w:tcW w:w="100" w:type="dxa"/>
            <w:vAlign w:val="bottom"/>
          </w:tcPr>
          <w:p>
            <w:pPr>
              <w:spacing w:after="0"/>
              <w:rPr>
                <w:sz w:val="13"/>
                <w:szCs w:val="13"/>
                <w:color w:val="auto"/>
              </w:rPr>
            </w:pPr>
          </w:p>
        </w:tc>
        <w:tc>
          <w:tcPr>
            <w:tcW w:w="440" w:type="dxa"/>
            <w:vAlign w:val="bottom"/>
          </w:tcPr>
          <w:p>
            <w:pPr>
              <w:jc w:val="right"/>
              <w:ind w:right="293"/>
              <w:spacing w:after="0"/>
              <w:rPr>
                <w:sz w:val="20"/>
                <w:szCs w:val="20"/>
                <w:color w:val="auto"/>
              </w:rPr>
            </w:pPr>
            <w:r>
              <w:rPr>
                <w:rFonts w:ascii="Arial" w:cs="Arial" w:eastAsia="Arial" w:hAnsi="Arial"/>
                <w:sz w:val="13"/>
                <w:szCs w:val="13"/>
                <w:color w:val="auto"/>
                <w:w w:val="82"/>
              </w:rPr>
              <w:t>$</w:t>
            </w:r>
          </w:p>
        </w:tc>
        <w:tc>
          <w:tcPr>
            <w:tcW w:w="880" w:type="dxa"/>
            <w:vAlign w:val="bottom"/>
          </w:tcPr>
          <w:p>
            <w:pPr>
              <w:jc w:val="right"/>
              <w:spacing w:after="0"/>
              <w:rPr>
                <w:sz w:val="20"/>
                <w:szCs w:val="20"/>
                <w:color w:val="auto"/>
              </w:rPr>
            </w:pPr>
            <w:r>
              <w:rPr>
                <w:rFonts w:ascii="Arial" w:cs="Arial" w:eastAsia="Arial" w:hAnsi="Arial"/>
                <w:sz w:val="13"/>
                <w:szCs w:val="13"/>
                <w:color w:val="auto"/>
              </w:rPr>
              <w:t>(0.05)</w:t>
            </w:r>
          </w:p>
        </w:tc>
        <w:tc>
          <w:tcPr>
            <w:tcW w:w="0" w:type="dxa"/>
            <w:vAlign w:val="bottom"/>
          </w:tcPr>
          <w:p>
            <w:pPr>
              <w:spacing w:after="0"/>
              <w:rPr>
                <w:sz w:val="1"/>
                <w:szCs w:val="1"/>
                <w:color w:val="auto"/>
              </w:rPr>
            </w:pPr>
          </w:p>
        </w:tc>
      </w:tr>
      <w:tr>
        <w:trPr>
          <w:trHeight w:val="67"/>
        </w:trPr>
        <w:tc>
          <w:tcPr>
            <w:tcW w:w="4480" w:type="dxa"/>
            <w:vAlign w:val="bottom"/>
            <w:tcBorders>
              <w:bottom w:val="single" w:sz="8" w:color="CCEEFF"/>
            </w:tcBorders>
          </w:tcPr>
          <w:p>
            <w:pPr>
              <w:spacing w:after="0"/>
              <w:rPr>
                <w:sz w:val="5"/>
                <w:szCs w:val="5"/>
                <w:color w:val="auto"/>
              </w:rPr>
            </w:pPr>
          </w:p>
        </w:tc>
        <w:tc>
          <w:tcPr>
            <w:tcW w:w="240" w:type="dxa"/>
            <w:vAlign w:val="bottom"/>
            <w:tcBorders>
              <w:bottom w:val="single" w:sz="8" w:color="auto"/>
            </w:tcBorders>
          </w:tcPr>
          <w:p>
            <w:pPr>
              <w:spacing w:after="0"/>
              <w:rPr>
                <w:sz w:val="5"/>
                <w:szCs w:val="5"/>
                <w:color w:val="auto"/>
              </w:rPr>
            </w:pPr>
          </w:p>
        </w:tc>
        <w:tc>
          <w:tcPr>
            <w:tcW w:w="1100" w:type="dxa"/>
            <w:vAlign w:val="bottom"/>
            <w:tcBorders>
              <w:bottom w:val="single" w:sz="8" w:color="auto"/>
            </w:tcBorders>
          </w:tcPr>
          <w:p>
            <w:pPr>
              <w:spacing w:after="0"/>
              <w:rPr>
                <w:sz w:val="5"/>
                <w:szCs w:val="5"/>
                <w:color w:val="auto"/>
              </w:rPr>
            </w:pPr>
          </w:p>
        </w:tc>
        <w:tc>
          <w:tcPr>
            <w:tcW w:w="200" w:type="dxa"/>
            <w:vAlign w:val="bottom"/>
            <w:tcBorders>
              <w:bottom w:val="single" w:sz="8" w:color="CCEEFF"/>
            </w:tcBorders>
          </w:tcPr>
          <w:p>
            <w:pPr>
              <w:spacing w:after="0"/>
              <w:rPr>
                <w:sz w:val="5"/>
                <w:szCs w:val="5"/>
                <w:color w:val="auto"/>
              </w:rPr>
            </w:pPr>
          </w:p>
        </w:tc>
        <w:tc>
          <w:tcPr>
            <w:tcW w:w="380" w:type="dxa"/>
            <w:vAlign w:val="bottom"/>
            <w:tcBorders>
              <w:bottom w:val="single" w:sz="8" w:color="auto"/>
            </w:tcBorders>
          </w:tcPr>
          <w:p>
            <w:pPr>
              <w:spacing w:after="0"/>
              <w:rPr>
                <w:sz w:val="5"/>
                <w:szCs w:val="5"/>
                <w:color w:val="auto"/>
              </w:rPr>
            </w:pPr>
          </w:p>
        </w:tc>
        <w:tc>
          <w:tcPr>
            <w:tcW w:w="940" w:type="dxa"/>
            <w:vAlign w:val="bottom"/>
            <w:tcBorders>
              <w:bottom w:val="single" w:sz="8" w:color="auto"/>
            </w:tcBorders>
          </w:tcPr>
          <w:p>
            <w:pPr>
              <w:spacing w:after="0"/>
              <w:rPr>
                <w:sz w:val="5"/>
                <w:szCs w:val="5"/>
                <w:color w:val="auto"/>
              </w:rPr>
            </w:pPr>
          </w:p>
        </w:tc>
        <w:tc>
          <w:tcPr>
            <w:tcW w:w="200" w:type="dxa"/>
            <w:vAlign w:val="bottom"/>
            <w:tcBorders>
              <w:bottom w:val="single" w:sz="8" w:color="CCEEFF"/>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1000" w:type="dxa"/>
            <w:vAlign w:val="bottom"/>
            <w:tcBorders>
              <w:bottom w:val="single" w:sz="8" w:color="auto"/>
            </w:tcBorders>
          </w:tcPr>
          <w:p>
            <w:pPr>
              <w:spacing w:after="0"/>
              <w:rPr>
                <w:sz w:val="5"/>
                <w:szCs w:val="5"/>
                <w:color w:val="auto"/>
              </w:rPr>
            </w:pPr>
          </w:p>
        </w:tc>
        <w:tc>
          <w:tcPr>
            <w:tcW w:w="100" w:type="dxa"/>
            <w:vAlign w:val="bottom"/>
            <w:tcBorders>
              <w:bottom w:val="single" w:sz="8" w:color="CCEEFF"/>
            </w:tcBorders>
          </w:tcPr>
          <w:p>
            <w:pPr>
              <w:spacing w:after="0"/>
              <w:rPr>
                <w:sz w:val="5"/>
                <w:szCs w:val="5"/>
                <w:color w:val="auto"/>
              </w:rPr>
            </w:pPr>
          </w:p>
        </w:tc>
        <w:tc>
          <w:tcPr>
            <w:tcW w:w="440" w:type="dxa"/>
            <w:vAlign w:val="bottom"/>
            <w:tcBorders>
              <w:bottom w:val="single" w:sz="8" w:color="auto"/>
            </w:tcBorders>
          </w:tcPr>
          <w:p>
            <w:pPr>
              <w:spacing w:after="0"/>
              <w:rPr>
                <w:sz w:val="5"/>
                <w:szCs w:val="5"/>
                <w:color w:val="auto"/>
              </w:rPr>
            </w:pPr>
          </w:p>
        </w:tc>
        <w:tc>
          <w:tcPr>
            <w:tcW w:w="8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175"/>
        </w:trPr>
        <w:tc>
          <w:tcPr>
            <w:tcW w:w="4480" w:type="dxa"/>
            <w:vAlign w:val="bottom"/>
            <w:tcBorders>
              <w:bottom w:val="single" w:sz="8" w:color="CCEEFF"/>
            </w:tcBorders>
            <w:shd w:val="clear" w:color="auto" w:fill="CCEEFF"/>
          </w:tcPr>
          <w:p>
            <w:pPr>
              <w:ind w:left="20"/>
              <w:spacing w:after="0" w:line="136" w:lineRule="exact"/>
              <w:rPr>
                <w:sz w:val="20"/>
                <w:szCs w:val="20"/>
                <w:color w:val="auto"/>
              </w:rPr>
            </w:pPr>
            <w:r>
              <w:rPr>
                <w:rFonts w:ascii="Arial" w:cs="Arial" w:eastAsia="Arial" w:hAnsi="Arial"/>
                <w:sz w:val="13"/>
                <w:szCs w:val="13"/>
                <w:color w:val="auto"/>
              </w:rPr>
              <w:t>Net income per share from discontinued operations:</w:t>
            </w:r>
          </w:p>
        </w:tc>
        <w:tc>
          <w:tcPr>
            <w:tcW w:w="240" w:type="dxa"/>
            <w:vAlign w:val="bottom"/>
            <w:tcBorders>
              <w:bottom w:val="single" w:sz="8" w:color="CCEEFF"/>
            </w:tcBorders>
            <w:shd w:val="clear" w:color="auto" w:fill="CCEEFF"/>
          </w:tcPr>
          <w:p>
            <w:pPr>
              <w:spacing w:after="0"/>
              <w:rPr>
                <w:sz w:val="15"/>
                <w:szCs w:val="15"/>
                <w:color w:val="auto"/>
              </w:rPr>
            </w:pPr>
          </w:p>
        </w:tc>
        <w:tc>
          <w:tcPr>
            <w:tcW w:w="11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380" w:type="dxa"/>
            <w:vAlign w:val="bottom"/>
            <w:tcBorders>
              <w:bottom w:val="single" w:sz="8" w:color="CCEEFF"/>
            </w:tcBorders>
            <w:shd w:val="clear" w:color="auto" w:fill="CCEEFF"/>
          </w:tcPr>
          <w:p>
            <w:pPr>
              <w:spacing w:after="0"/>
              <w:rPr>
                <w:sz w:val="15"/>
                <w:szCs w:val="15"/>
                <w:color w:val="auto"/>
              </w:rPr>
            </w:pPr>
          </w:p>
        </w:tc>
        <w:tc>
          <w:tcPr>
            <w:tcW w:w="94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1000" w:type="dxa"/>
            <w:vAlign w:val="bottom"/>
            <w:tcBorders>
              <w:bottom w:val="single" w:sz="8" w:color="CCEEFF"/>
            </w:tcBorders>
            <w:shd w:val="clear" w:color="auto" w:fill="CCEEFF"/>
          </w:tcPr>
          <w:p>
            <w:pPr>
              <w:spacing w:after="0"/>
              <w:rPr>
                <w:sz w:val="15"/>
                <w:szCs w:val="15"/>
                <w:color w:val="auto"/>
              </w:rPr>
            </w:pPr>
          </w:p>
        </w:tc>
        <w:tc>
          <w:tcPr>
            <w:tcW w:w="100" w:type="dxa"/>
            <w:vAlign w:val="bottom"/>
            <w:tcBorders>
              <w:bottom w:val="single" w:sz="8" w:color="CCEEFF"/>
            </w:tcBorders>
            <w:shd w:val="clear" w:color="auto" w:fill="CCEEFF"/>
          </w:tcPr>
          <w:p>
            <w:pPr>
              <w:spacing w:after="0"/>
              <w:rPr>
                <w:sz w:val="15"/>
                <w:szCs w:val="15"/>
                <w:color w:val="auto"/>
              </w:rPr>
            </w:pPr>
          </w:p>
        </w:tc>
        <w:tc>
          <w:tcPr>
            <w:tcW w:w="440" w:type="dxa"/>
            <w:vAlign w:val="bottom"/>
            <w:tcBorders>
              <w:bottom w:val="single" w:sz="8" w:color="CCEEFF"/>
            </w:tcBorders>
            <w:shd w:val="clear" w:color="auto" w:fill="CCEEFF"/>
          </w:tcPr>
          <w:p>
            <w:pPr>
              <w:spacing w:after="0"/>
              <w:rPr>
                <w:sz w:val="15"/>
                <w:szCs w:val="15"/>
                <w:color w:val="auto"/>
              </w:rPr>
            </w:pPr>
          </w:p>
        </w:tc>
        <w:tc>
          <w:tcPr>
            <w:tcW w:w="880" w:type="dxa"/>
            <w:vAlign w:val="bottom"/>
            <w:tcBorders>
              <w:bottom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4"/>
        </w:trPr>
        <w:tc>
          <w:tcPr>
            <w:tcW w:w="4480" w:type="dxa"/>
            <w:vAlign w:val="bottom"/>
          </w:tcPr>
          <w:p>
            <w:pPr>
              <w:ind w:left="300"/>
              <w:spacing w:after="0"/>
              <w:rPr>
                <w:sz w:val="20"/>
                <w:szCs w:val="20"/>
                <w:color w:val="auto"/>
              </w:rPr>
            </w:pPr>
            <w:r>
              <w:rPr>
                <w:rFonts w:ascii="Arial" w:cs="Arial" w:eastAsia="Arial" w:hAnsi="Arial"/>
                <w:sz w:val="13"/>
                <w:szCs w:val="13"/>
                <w:color w:val="auto"/>
              </w:rPr>
              <w:t>Basic</w:t>
            </w:r>
          </w:p>
        </w:tc>
        <w:tc>
          <w:tcPr>
            <w:tcW w:w="240" w:type="dxa"/>
            <w:vAlign w:val="bottom"/>
          </w:tcPr>
          <w:p>
            <w:pPr>
              <w:jc w:val="right"/>
              <w:ind w:right="93"/>
              <w:spacing w:after="0"/>
              <w:rPr>
                <w:sz w:val="20"/>
                <w:szCs w:val="20"/>
                <w:color w:val="auto"/>
              </w:rPr>
            </w:pPr>
            <w:r>
              <w:rPr>
                <w:rFonts w:ascii="Arial" w:cs="Arial" w:eastAsia="Arial" w:hAnsi="Arial"/>
                <w:sz w:val="13"/>
                <w:szCs w:val="13"/>
                <w:color w:val="auto"/>
                <w:w w:val="82"/>
              </w:rPr>
              <w:t>$</w:t>
            </w:r>
          </w:p>
        </w:tc>
        <w:tc>
          <w:tcPr>
            <w:tcW w:w="1100" w:type="dxa"/>
            <w:vAlign w:val="bottom"/>
          </w:tcPr>
          <w:p>
            <w:pPr>
              <w:jc w:val="right"/>
              <w:ind w:right="53"/>
              <w:spacing w:after="0"/>
              <w:rPr>
                <w:sz w:val="20"/>
                <w:szCs w:val="20"/>
                <w:color w:val="auto"/>
              </w:rPr>
            </w:pPr>
            <w:r>
              <w:rPr>
                <w:rFonts w:ascii="Arial" w:cs="Arial" w:eastAsia="Arial" w:hAnsi="Arial"/>
                <w:sz w:val="13"/>
                <w:szCs w:val="13"/>
                <w:color w:val="auto"/>
              </w:rPr>
              <w:t>0.27</w:t>
            </w:r>
          </w:p>
        </w:tc>
        <w:tc>
          <w:tcPr>
            <w:tcW w:w="200" w:type="dxa"/>
            <w:vAlign w:val="bottom"/>
          </w:tcPr>
          <w:p>
            <w:pPr>
              <w:spacing w:after="0"/>
              <w:rPr>
                <w:sz w:val="16"/>
                <w:szCs w:val="16"/>
                <w:color w:val="auto"/>
              </w:rPr>
            </w:pPr>
          </w:p>
        </w:tc>
        <w:tc>
          <w:tcPr>
            <w:tcW w:w="380" w:type="dxa"/>
            <w:vAlign w:val="bottom"/>
          </w:tcPr>
          <w:p>
            <w:pPr>
              <w:jc w:val="right"/>
              <w:ind w:right="213"/>
              <w:spacing w:after="0"/>
              <w:rPr>
                <w:sz w:val="20"/>
                <w:szCs w:val="20"/>
                <w:color w:val="auto"/>
              </w:rPr>
            </w:pPr>
            <w:r>
              <w:rPr>
                <w:rFonts w:ascii="Arial" w:cs="Arial" w:eastAsia="Arial" w:hAnsi="Arial"/>
                <w:sz w:val="13"/>
                <w:szCs w:val="13"/>
                <w:color w:val="auto"/>
              </w:rPr>
              <w:t>$</w:t>
            </w:r>
          </w:p>
        </w:tc>
        <w:tc>
          <w:tcPr>
            <w:tcW w:w="940" w:type="dxa"/>
            <w:vAlign w:val="bottom"/>
          </w:tcPr>
          <w:p>
            <w:pPr>
              <w:jc w:val="right"/>
              <w:ind w:right="33"/>
              <w:spacing w:after="0"/>
              <w:rPr>
                <w:sz w:val="20"/>
                <w:szCs w:val="20"/>
                <w:color w:val="auto"/>
              </w:rPr>
            </w:pPr>
            <w:r>
              <w:rPr>
                <w:rFonts w:ascii="Arial" w:cs="Arial" w:eastAsia="Arial" w:hAnsi="Arial"/>
                <w:sz w:val="13"/>
                <w:szCs w:val="13"/>
                <w:color w:val="auto"/>
              </w:rPr>
              <w:t>0.56</w:t>
            </w:r>
          </w:p>
        </w:tc>
        <w:tc>
          <w:tcPr>
            <w:tcW w:w="200" w:type="dxa"/>
            <w:vAlign w:val="bottom"/>
          </w:tcPr>
          <w:p>
            <w:pPr>
              <w:spacing w:after="0"/>
              <w:rPr>
                <w:sz w:val="16"/>
                <w:szCs w:val="16"/>
                <w:color w:val="auto"/>
              </w:rPr>
            </w:pPr>
          </w:p>
        </w:tc>
        <w:tc>
          <w:tcPr>
            <w:tcW w:w="200" w:type="dxa"/>
            <w:vAlign w:val="bottom"/>
          </w:tcPr>
          <w:p>
            <w:pPr>
              <w:jc w:val="right"/>
              <w:ind w:right="53"/>
              <w:spacing w:after="0"/>
              <w:rPr>
                <w:sz w:val="20"/>
                <w:szCs w:val="20"/>
                <w:color w:val="auto"/>
              </w:rPr>
            </w:pPr>
            <w:r>
              <w:rPr>
                <w:rFonts w:ascii="Arial" w:cs="Arial" w:eastAsia="Arial" w:hAnsi="Arial"/>
                <w:sz w:val="13"/>
                <w:szCs w:val="13"/>
                <w:color w:val="auto"/>
                <w:w w:val="82"/>
              </w:rPr>
              <w:t>$</w:t>
            </w:r>
          </w:p>
        </w:tc>
        <w:tc>
          <w:tcPr>
            <w:tcW w:w="1000" w:type="dxa"/>
            <w:vAlign w:val="bottom"/>
          </w:tcPr>
          <w:p>
            <w:pPr>
              <w:jc w:val="right"/>
              <w:ind w:right="33"/>
              <w:spacing w:after="0"/>
              <w:rPr>
                <w:sz w:val="20"/>
                <w:szCs w:val="20"/>
                <w:color w:val="auto"/>
              </w:rPr>
            </w:pPr>
            <w:r>
              <w:rPr>
                <w:rFonts w:ascii="Arial" w:cs="Arial" w:eastAsia="Arial" w:hAnsi="Arial"/>
                <w:sz w:val="13"/>
                <w:szCs w:val="13"/>
                <w:color w:val="auto"/>
              </w:rPr>
              <w:t>0.32</w:t>
            </w:r>
          </w:p>
        </w:tc>
        <w:tc>
          <w:tcPr>
            <w:tcW w:w="100" w:type="dxa"/>
            <w:vAlign w:val="bottom"/>
          </w:tcPr>
          <w:p>
            <w:pPr>
              <w:spacing w:after="0"/>
              <w:rPr>
                <w:sz w:val="16"/>
                <w:szCs w:val="16"/>
                <w:color w:val="auto"/>
              </w:rPr>
            </w:pPr>
          </w:p>
        </w:tc>
        <w:tc>
          <w:tcPr>
            <w:tcW w:w="440" w:type="dxa"/>
            <w:vAlign w:val="bottom"/>
          </w:tcPr>
          <w:p>
            <w:pPr>
              <w:jc w:val="right"/>
              <w:ind w:right="293"/>
              <w:spacing w:after="0"/>
              <w:rPr>
                <w:sz w:val="20"/>
                <w:szCs w:val="20"/>
                <w:color w:val="auto"/>
              </w:rPr>
            </w:pPr>
            <w:r>
              <w:rPr>
                <w:rFonts w:ascii="Arial" w:cs="Arial" w:eastAsia="Arial" w:hAnsi="Arial"/>
                <w:sz w:val="13"/>
                <w:szCs w:val="13"/>
                <w:color w:val="auto"/>
                <w:w w:val="82"/>
              </w:rPr>
              <w:t>$</w:t>
            </w:r>
          </w:p>
        </w:tc>
        <w:tc>
          <w:tcPr>
            <w:tcW w:w="880" w:type="dxa"/>
            <w:vAlign w:val="bottom"/>
          </w:tcPr>
          <w:p>
            <w:pPr>
              <w:jc w:val="right"/>
              <w:ind w:right="33"/>
              <w:spacing w:after="0"/>
              <w:rPr>
                <w:sz w:val="20"/>
                <w:szCs w:val="20"/>
                <w:color w:val="auto"/>
              </w:rPr>
            </w:pPr>
            <w:r>
              <w:rPr>
                <w:rFonts w:ascii="Arial" w:cs="Arial" w:eastAsia="Arial" w:hAnsi="Arial"/>
                <w:sz w:val="13"/>
                <w:szCs w:val="13"/>
                <w:color w:val="auto"/>
              </w:rPr>
              <w:t>0.56</w:t>
            </w:r>
          </w:p>
        </w:tc>
        <w:tc>
          <w:tcPr>
            <w:tcW w:w="0" w:type="dxa"/>
            <w:vAlign w:val="bottom"/>
          </w:tcPr>
          <w:p>
            <w:pPr>
              <w:spacing w:after="0"/>
              <w:rPr>
                <w:sz w:val="1"/>
                <w:szCs w:val="1"/>
                <w:color w:val="auto"/>
              </w:rPr>
            </w:pPr>
          </w:p>
        </w:tc>
      </w:tr>
      <w:tr>
        <w:trPr>
          <w:trHeight w:val="67"/>
        </w:trPr>
        <w:tc>
          <w:tcPr>
            <w:tcW w:w="4480" w:type="dxa"/>
            <w:vAlign w:val="bottom"/>
            <w:tcBorders>
              <w:bottom w:val="single" w:sz="8" w:color="CCEEFF"/>
            </w:tcBorders>
          </w:tcPr>
          <w:p>
            <w:pPr>
              <w:spacing w:after="0"/>
              <w:rPr>
                <w:sz w:val="5"/>
                <w:szCs w:val="5"/>
                <w:color w:val="auto"/>
              </w:rPr>
            </w:pPr>
          </w:p>
        </w:tc>
        <w:tc>
          <w:tcPr>
            <w:tcW w:w="240" w:type="dxa"/>
            <w:vAlign w:val="bottom"/>
            <w:tcBorders>
              <w:bottom w:val="single" w:sz="8" w:color="auto"/>
            </w:tcBorders>
          </w:tcPr>
          <w:p>
            <w:pPr>
              <w:spacing w:after="0"/>
              <w:rPr>
                <w:sz w:val="5"/>
                <w:szCs w:val="5"/>
                <w:color w:val="auto"/>
              </w:rPr>
            </w:pPr>
          </w:p>
        </w:tc>
        <w:tc>
          <w:tcPr>
            <w:tcW w:w="1100" w:type="dxa"/>
            <w:vAlign w:val="bottom"/>
            <w:tcBorders>
              <w:bottom w:val="single" w:sz="8" w:color="auto"/>
            </w:tcBorders>
          </w:tcPr>
          <w:p>
            <w:pPr>
              <w:spacing w:after="0"/>
              <w:rPr>
                <w:sz w:val="5"/>
                <w:szCs w:val="5"/>
                <w:color w:val="auto"/>
              </w:rPr>
            </w:pPr>
          </w:p>
        </w:tc>
        <w:tc>
          <w:tcPr>
            <w:tcW w:w="200" w:type="dxa"/>
            <w:vAlign w:val="bottom"/>
            <w:tcBorders>
              <w:bottom w:val="single" w:sz="8" w:color="CCEEFF"/>
            </w:tcBorders>
          </w:tcPr>
          <w:p>
            <w:pPr>
              <w:spacing w:after="0"/>
              <w:rPr>
                <w:sz w:val="5"/>
                <w:szCs w:val="5"/>
                <w:color w:val="auto"/>
              </w:rPr>
            </w:pPr>
          </w:p>
        </w:tc>
        <w:tc>
          <w:tcPr>
            <w:tcW w:w="380" w:type="dxa"/>
            <w:vAlign w:val="bottom"/>
            <w:tcBorders>
              <w:bottom w:val="single" w:sz="8" w:color="auto"/>
            </w:tcBorders>
          </w:tcPr>
          <w:p>
            <w:pPr>
              <w:spacing w:after="0"/>
              <w:rPr>
                <w:sz w:val="5"/>
                <w:szCs w:val="5"/>
                <w:color w:val="auto"/>
              </w:rPr>
            </w:pPr>
          </w:p>
        </w:tc>
        <w:tc>
          <w:tcPr>
            <w:tcW w:w="940" w:type="dxa"/>
            <w:vAlign w:val="bottom"/>
            <w:tcBorders>
              <w:bottom w:val="single" w:sz="8" w:color="auto"/>
            </w:tcBorders>
          </w:tcPr>
          <w:p>
            <w:pPr>
              <w:spacing w:after="0"/>
              <w:rPr>
                <w:sz w:val="5"/>
                <w:szCs w:val="5"/>
                <w:color w:val="auto"/>
              </w:rPr>
            </w:pPr>
          </w:p>
        </w:tc>
        <w:tc>
          <w:tcPr>
            <w:tcW w:w="200" w:type="dxa"/>
            <w:vAlign w:val="bottom"/>
            <w:tcBorders>
              <w:bottom w:val="single" w:sz="8" w:color="CCEEFF"/>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1000" w:type="dxa"/>
            <w:vAlign w:val="bottom"/>
            <w:tcBorders>
              <w:bottom w:val="single" w:sz="8" w:color="auto"/>
            </w:tcBorders>
          </w:tcPr>
          <w:p>
            <w:pPr>
              <w:spacing w:after="0"/>
              <w:rPr>
                <w:sz w:val="5"/>
                <w:szCs w:val="5"/>
                <w:color w:val="auto"/>
              </w:rPr>
            </w:pPr>
          </w:p>
        </w:tc>
        <w:tc>
          <w:tcPr>
            <w:tcW w:w="100" w:type="dxa"/>
            <w:vAlign w:val="bottom"/>
            <w:tcBorders>
              <w:bottom w:val="single" w:sz="8" w:color="CCEEFF"/>
            </w:tcBorders>
          </w:tcPr>
          <w:p>
            <w:pPr>
              <w:spacing w:after="0"/>
              <w:rPr>
                <w:sz w:val="5"/>
                <w:szCs w:val="5"/>
                <w:color w:val="auto"/>
              </w:rPr>
            </w:pPr>
          </w:p>
        </w:tc>
        <w:tc>
          <w:tcPr>
            <w:tcW w:w="440" w:type="dxa"/>
            <w:vAlign w:val="bottom"/>
            <w:tcBorders>
              <w:bottom w:val="single" w:sz="8" w:color="auto"/>
            </w:tcBorders>
          </w:tcPr>
          <w:p>
            <w:pPr>
              <w:spacing w:after="0"/>
              <w:rPr>
                <w:sz w:val="5"/>
                <w:szCs w:val="5"/>
                <w:color w:val="auto"/>
              </w:rPr>
            </w:pPr>
          </w:p>
        </w:tc>
        <w:tc>
          <w:tcPr>
            <w:tcW w:w="8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189"/>
        </w:trPr>
        <w:tc>
          <w:tcPr>
            <w:tcW w:w="4480" w:type="dxa"/>
            <w:vAlign w:val="bottom"/>
            <w:tcBorders>
              <w:bottom w:val="single" w:sz="8" w:color="CCEEFF"/>
            </w:tcBorders>
            <w:shd w:val="clear" w:color="auto" w:fill="CCEEFF"/>
          </w:tcPr>
          <w:p>
            <w:pPr>
              <w:ind w:left="300"/>
              <w:spacing w:after="0" w:line="136" w:lineRule="exact"/>
              <w:rPr>
                <w:sz w:val="20"/>
                <w:szCs w:val="20"/>
                <w:color w:val="auto"/>
              </w:rPr>
            </w:pPr>
            <w:r>
              <w:rPr>
                <w:rFonts w:ascii="Arial" w:cs="Arial" w:eastAsia="Arial" w:hAnsi="Arial"/>
                <w:sz w:val="13"/>
                <w:szCs w:val="13"/>
                <w:color w:val="auto"/>
              </w:rPr>
              <w:t>Diluted</w:t>
            </w:r>
          </w:p>
        </w:tc>
        <w:tc>
          <w:tcPr>
            <w:tcW w:w="240" w:type="dxa"/>
            <w:vAlign w:val="bottom"/>
            <w:tcBorders>
              <w:bottom w:val="single" w:sz="8" w:color="CCEEFF"/>
            </w:tcBorders>
            <w:shd w:val="clear" w:color="auto" w:fill="CCEEFF"/>
          </w:tcPr>
          <w:p>
            <w:pPr>
              <w:jc w:val="right"/>
              <w:ind w:right="93"/>
              <w:spacing w:after="0"/>
              <w:rPr>
                <w:sz w:val="20"/>
                <w:szCs w:val="20"/>
                <w:color w:val="auto"/>
              </w:rPr>
            </w:pPr>
            <w:r>
              <w:rPr>
                <w:rFonts w:ascii="Arial" w:cs="Arial" w:eastAsia="Arial" w:hAnsi="Arial"/>
                <w:sz w:val="13"/>
                <w:szCs w:val="13"/>
                <w:color w:val="auto"/>
                <w:w w:val="82"/>
              </w:rPr>
              <w:t>$</w:t>
            </w: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0.23</w:t>
            </w:r>
          </w:p>
        </w:tc>
        <w:tc>
          <w:tcPr>
            <w:tcW w:w="200" w:type="dxa"/>
            <w:vAlign w:val="bottom"/>
            <w:tcBorders>
              <w:bottom w:val="single" w:sz="8" w:color="CCEEFF"/>
            </w:tcBorders>
            <w:shd w:val="clear" w:color="auto" w:fill="CCEEFF"/>
          </w:tcPr>
          <w:p>
            <w:pPr>
              <w:spacing w:after="0"/>
              <w:rPr>
                <w:sz w:val="16"/>
                <w:szCs w:val="16"/>
                <w:color w:val="auto"/>
              </w:rPr>
            </w:pPr>
          </w:p>
        </w:tc>
        <w:tc>
          <w:tcPr>
            <w:tcW w:w="380" w:type="dxa"/>
            <w:vAlign w:val="bottom"/>
            <w:tcBorders>
              <w:bottom w:val="single" w:sz="8" w:color="CCEEFF"/>
            </w:tcBorders>
            <w:shd w:val="clear" w:color="auto" w:fill="CCEEFF"/>
          </w:tcPr>
          <w:p>
            <w:pPr>
              <w:jc w:val="right"/>
              <w:ind w:right="213"/>
              <w:spacing w:after="0"/>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0.48</w:t>
            </w:r>
          </w:p>
        </w:tc>
        <w:tc>
          <w:tcPr>
            <w:tcW w:w="20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w w:val="82"/>
              </w:rPr>
              <w:t>$</w:t>
            </w: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0.27</w:t>
            </w:r>
          </w:p>
        </w:tc>
        <w:tc>
          <w:tcPr>
            <w:tcW w:w="100" w:type="dxa"/>
            <w:vAlign w:val="bottom"/>
            <w:tcBorders>
              <w:bottom w:val="single" w:sz="8" w:color="CCEEFF"/>
            </w:tcBorders>
            <w:shd w:val="clear" w:color="auto" w:fill="CCEEFF"/>
          </w:tcPr>
          <w:p>
            <w:pPr>
              <w:spacing w:after="0"/>
              <w:rPr>
                <w:sz w:val="16"/>
                <w:szCs w:val="16"/>
                <w:color w:val="auto"/>
              </w:rPr>
            </w:pPr>
          </w:p>
        </w:tc>
        <w:tc>
          <w:tcPr>
            <w:tcW w:w="440" w:type="dxa"/>
            <w:vAlign w:val="bottom"/>
            <w:tcBorders>
              <w:bottom w:val="single" w:sz="8" w:color="CCEEFF"/>
            </w:tcBorders>
            <w:shd w:val="clear" w:color="auto" w:fill="CCEEFF"/>
          </w:tcPr>
          <w:p>
            <w:pPr>
              <w:jc w:val="right"/>
              <w:ind w:right="293"/>
              <w:spacing w:after="0"/>
              <w:rPr>
                <w:sz w:val="20"/>
                <w:szCs w:val="20"/>
                <w:color w:val="auto"/>
              </w:rPr>
            </w:pPr>
            <w:r>
              <w:rPr>
                <w:rFonts w:ascii="Arial" w:cs="Arial" w:eastAsia="Arial" w:hAnsi="Arial"/>
                <w:sz w:val="13"/>
                <w:szCs w:val="13"/>
                <w:color w:val="auto"/>
                <w:w w:val="82"/>
              </w:rPr>
              <w:t>$</w:t>
            </w:r>
          </w:p>
        </w:tc>
        <w:tc>
          <w:tcPr>
            <w:tcW w:w="8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0.56</w:t>
            </w:r>
          </w:p>
        </w:tc>
        <w:tc>
          <w:tcPr>
            <w:tcW w:w="0" w:type="dxa"/>
            <w:vAlign w:val="bottom"/>
          </w:tcPr>
          <w:p>
            <w:pPr>
              <w:spacing w:after="0"/>
              <w:rPr>
                <w:sz w:val="1"/>
                <w:szCs w:val="1"/>
                <w:color w:val="auto"/>
              </w:rPr>
            </w:pPr>
          </w:p>
        </w:tc>
      </w:tr>
      <w:tr>
        <w:trPr>
          <w:trHeight w:val="20"/>
        </w:trPr>
        <w:tc>
          <w:tcPr>
            <w:tcW w:w="4480" w:type="dxa"/>
            <w:vAlign w:val="bottom"/>
            <w:tcBorders>
              <w:top w:val="single" w:sz="8" w:color="CCEEFF"/>
              <w:bottom w:val="single" w:sz="8" w:color="CCEEFF"/>
            </w:tcBorders>
            <w:vMerge w:val="restart"/>
          </w:tcPr>
          <w:p>
            <w:pPr>
              <w:ind w:left="20"/>
              <w:spacing w:after="0"/>
              <w:rPr>
                <w:sz w:val="20"/>
                <w:szCs w:val="20"/>
                <w:color w:val="auto"/>
              </w:rPr>
            </w:pPr>
            <w:r>
              <w:rPr>
                <w:rFonts w:ascii="Arial" w:cs="Arial" w:eastAsia="Arial" w:hAnsi="Arial"/>
                <w:sz w:val="13"/>
                <w:szCs w:val="13"/>
                <w:color w:val="auto"/>
              </w:rPr>
              <w:t>Net income per share attributable to common stockholders:</w:t>
            </w:r>
          </w:p>
        </w:tc>
        <w:tc>
          <w:tcPr>
            <w:tcW w:w="24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4480" w:type="dxa"/>
            <w:vAlign w:val="bottom"/>
            <w:vMerge w:val="continue"/>
          </w:tcPr>
          <w:p>
            <w:pPr>
              <w:spacing w:after="0"/>
              <w:rPr>
                <w:sz w:val="14"/>
                <w:szCs w:val="14"/>
                <w:color w:val="auto"/>
              </w:rPr>
            </w:pPr>
          </w:p>
        </w:tc>
        <w:tc>
          <w:tcPr>
            <w:tcW w:w="24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7"/>
        </w:trPr>
        <w:tc>
          <w:tcPr>
            <w:tcW w:w="44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100" w:type="dxa"/>
            <w:vAlign w:val="bottom"/>
          </w:tcPr>
          <w:p>
            <w:pPr>
              <w:spacing w:after="0"/>
              <w:rPr>
                <w:sz w:val="2"/>
                <w:szCs w:val="2"/>
                <w:color w:val="auto"/>
              </w:rPr>
            </w:pPr>
          </w:p>
        </w:tc>
        <w:tc>
          <w:tcPr>
            <w:tcW w:w="200" w:type="dxa"/>
            <w:vAlign w:val="bottom"/>
          </w:tcPr>
          <w:p>
            <w:pPr>
              <w:spacing w:after="0"/>
              <w:rPr>
                <w:sz w:val="2"/>
                <w:szCs w:val="2"/>
                <w:color w:val="auto"/>
              </w:rPr>
            </w:pPr>
          </w:p>
        </w:tc>
        <w:tc>
          <w:tcPr>
            <w:tcW w:w="380" w:type="dxa"/>
            <w:vAlign w:val="bottom"/>
          </w:tcPr>
          <w:p>
            <w:pPr>
              <w:spacing w:after="0"/>
              <w:rPr>
                <w:sz w:val="2"/>
                <w:szCs w:val="2"/>
                <w:color w:val="auto"/>
              </w:rPr>
            </w:pPr>
          </w:p>
        </w:tc>
        <w:tc>
          <w:tcPr>
            <w:tcW w:w="94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0" w:type="dxa"/>
            <w:vAlign w:val="bottom"/>
          </w:tcPr>
          <w:p>
            <w:pPr>
              <w:spacing w:after="0"/>
              <w:rPr>
                <w:sz w:val="2"/>
                <w:szCs w:val="2"/>
                <w:color w:val="auto"/>
              </w:rPr>
            </w:pPr>
          </w:p>
        </w:tc>
        <w:tc>
          <w:tcPr>
            <w:tcW w:w="100" w:type="dxa"/>
            <w:vAlign w:val="bottom"/>
          </w:tcPr>
          <w:p>
            <w:pPr>
              <w:spacing w:after="0"/>
              <w:rPr>
                <w:sz w:val="2"/>
                <w:szCs w:val="2"/>
                <w:color w:val="auto"/>
              </w:rPr>
            </w:pPr>
          </w:p>
        </w:tc>
        <w:tc>
          <w:tcPr>
            <w:tcW w:w="440" w:type="dxa"/>
            <w:vAlign w:val="bottom"/>
          </w:tcPr>
          <w:p>
            <w:pPr>
              <w:spacing w:after="0"/>
              <w:rPr>
                <w:sz w:val="2"/>
                <w:szCs w:val="2"/>
                <w:color w:val="auto"/>
              </w:rPr>
            </w:pPr>
          </w:p>
        </w:tc>
        <w:tc>
          <w:tcPr>
            <w:tcW w:w="8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4480" w:type="dxa"/>
            <w:vAlign w:val="bottom"/>
            <w:tcBorders>
              <w:bottom w:val="single" w:sz="8" w:color="CCEEFF"/>
            </w:tcBorders>
            <w:shd w:val="clear" w:color="auto" w:fill="CCEEFF"/>
          </w:tcPr>
          <w:p>
            <w:pPr>
              <w:ind w:left="300"/>
              <w:spacing w:after="0"/>
              <w:rPr>
                <w:sz w:val="20"/>
                <w:szCs w:val="20"/>
                <w:color w:val="auto"/>
              </w:rPr>
            </w:pPr>
            <w:r>
              <w:rPr>
                <w:rFonts w:ascii="Arial" w:cs="Arial" w:eastAsia="Arial" w:hAnsi="Arial"/>
                <w:sz w:val="13"/>
                <w:szCs w:val="13"/>
                <w:color w:val="auto"/>
              </w:rPr>
              <w:t>Basic</w:t>
            </w:r>
          </w:p>
        </w:tc>
        <w:tc>
          <w:tcPr>
            <w:tcW w:w="240" w:type="dxa"/>
            <w:vAlign w:val="bottom"/>
            <w:tcBorders>
              <w:bottom w:val="single" w:sz="8" w:color="CCEEFF"/>
            </w:tcBorders>
            <w:shd w:val="clear" w:color="auto" w:fill="CCEEFF"/>
          </w:tcPr>
          <w:p>
            <w:pPr>
              <w:jc w:val="right"/>
              <w:ind w:right="93"/>
              <w:spacing w:after="0"/>
              <w:rPr>
                <w:sz w:val="20"/>
                <w:szCs w:val="20"/>
                <w:color w:val="auto"/>
              </w:rPr>
            </w:pPr>
            <w:r>
              <w:rPr>
                <w:rFonts w:ascii="Arial" w:cs="Arial" w:eastAsia="Arial" w:hAnsi="Arial"/>
                <w:sz w:val="13"/>
                <w:szCs w:val="13"/>
                <w:color w:val="auto"/>
                <w:w w:val="82"/>
              </w:rPr>
              <w:t>$</w:t>
            </w:r>
          </w:p>
        </w:tc>
        <w:tc>
          <w:tcPr>
            <w:tcW w:w="11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0.31</w:t>
            </w:r>
          </w:p>
        </w:tc>
        <w:tc>
          <w:tcPr>
            <w:tcW w:w="200" w:type="dxa"/>
            <w:vAlign w:val="bottom"/>
            <w:tcBorders>
              <w:bottom w:val="single" w:sz="8" w:color="CCEEFF"/>
            </w:tcBorders>
            <w:shd w:val="clear" w:color="auto" w:fill="CCEEFF"/>
          </w:tcPr>
          <w:p>
            <w:pPr>
              <w:spacing w:after="0"/>
              <w:rPr>
                <w:sz w:val="18"/>
                <w:szCs w:val="18"/>
                <w:color w:val="auto"/>
              </w:rPr>
            </w:pPr>
          </w:p>
        </w:tc>
        <w:tc>
          <w:tcPr>
            <w:tcW w:w="380" w:type="dxa"/>
            <w:vAlign w:val="bottom"/>
            <w:tcBorders>
              <w:bottom w:val="single" w:sz="8" w:color="CCEEFF"/>
            </w:tcBorders>
            <w:shd w:val="clear" w:color="auto" w:fill="CCEEFF"/>
          </w:tcPr>
          <w:p>
            <w:pPr>
              <w:jc w:val="right"/>
              <w:ind w:right="213"/>
              <w:spacing w:after="0"/>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0.57</w:t>
            </w:r>
          </w:p>
        </w:tc>
        <w:tc>
          <w:tcPr>
            <w:tcW w:w="20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w w:val="82"/>
              </w:rPr>
              <w:t>$</w:t>
            </w:r>
          </w:p>
        </w:tc>
        <w:tc>
          <w:tcPr>
            <w:tcW w:w="100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0.36</w:t>
            </w:r>
          </w:p>
        </w:tc>
        <w:tc>
          <w:tcPr>
            <w:tcW w:w="100" w:type="dxa"/>
            <w:vAlign w:val="bottom"/>
            <w:tcBorders>
              <w:bottom w:val="single" w:sz="8" w:color="CCEEFF"/>
            </w:tcBorders>
            <w:shd w:val="clear" w:color="auto" w:fill="CCEEFF"/>
          </w:tcPr>
          <w:p>
            <w:pPr>
              <w:spacing w:after="0"/>
              <w:rPr>
                <w:sz w:val="18"/>
                <w:szCs w:val="18"/>
                <w:color w:val="auto"/>
              </w:rPr>
            </w:pPr>
          </w:p>
        </w:tc>
        <w:tc>
          <w:tcPr>
            <w:tcW w:w="440" w:type="dxa"/>
            <w:vAlign w:val="bottom"/>
            <w:tcBorders>
              <w:bottom w:val="single" w:sz="8" w:color="CCEEFF"/>
            </w:tcBorders>
            <w:shd w:val="clear" w:color="auto" w:fill="CCEEFF"/>
          </w:tcPr>
          <w:p>
            <w:pPr>
              <w:jc w:val="right"/>
              <w:ind w:right="293"/>
              <w:spacing w:after="0"/>
              <w:rPr>
                <w:sz w:val="20"/>
                <w:szCs w:val="20"/>
                <w:color w:val="auto"/>
              </w:rPr>
            </w:pPr>
            <w:r>
              <w:rPr>
                <w:rFonts w:ascii="Arial" w:cs="Arial" w:eastAsia="Arial" w:hAnsi="Arial"/>
                <w:sz w:val="13"/>
                <w:szCs w:val="13"/>
                <w:color w:val="auto"/>
                <w:w w:val="82"/>
              </w:rPr>
              <w:t>$</w:t>
            </w:r>
          </w:p>
        </w:tc>
        <w:tc>
          <w:tcPr>
            <w:tcW w:w="88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0.51</w:t>
            </w:r>
          </w:p>
        </w:tc>
        <w:tc>
          <w:tcPr>
            <w:tcW w:w="0" w:type="dxa"/>
            <w:vAlign w:val="bottom"/>
          </w:tcPr>
          <w:p>
            <w:pPr>
              <w:spacing w:after="0"/>
              <w:rPr>
                <w:sz w:val="1"/>
                <w:szCs w:val="1"/>
                <w:color w:val="auto"/>
              </w:rPr>
            </w:pPr>
          </w:p>
        </w:tc>
      </w:tr>
      <w:tr>
        <w:trPr>
          <w:trHeight w:val="20"/>
        </w:trPr>
        <w:tc>
          <w:tcPr>
            <w:tcW w:w="4480" w:type="dxa"/>
            <w:vAlign w:val="bottom"/>
            <w:tcBorders>
              <w:top w:val="single" w:sz="8" w:color="CCEEFF"/>
              <w:bottom w:val="single" w:sz="8" w:color="CCEEFF"/>
            </w:tcBorders>
            <w:vMerge w:val="restart"/>
          </w:tcPr>
          <w:p>
            <w:pPr>
              <w:ind w:left="300"/>
              <w:spacing w:after="0"/>
              <w:rPr>
                <w:sz w:val="20"/>
                <w:szCs w:val="20"/>
                <w:color w:val="auto"/>
              </w:rPr>
            </w:pPr>
            <w:r>
              <w:rPr>
                <w:rFonts w:ascii="Arial" w:cs="Arial" w:eastAsia="Arial" w:hAnsi="Arial"/>
                <w:sz w:val="13"/>
                <w:szCs w:val="13"/>
                <w:color w:val="auto"/>
              </w:rPr>
              <w:t>Diluted</w:t>
            </w:r>
          </w:p>
        </w:tc>
        <w:tc>
          <w:tcPr>
            <w:tcW w:w="24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8"/>
        </w:trPr>
        <w:tc>
          <w:tcPr>
            <w:tcW w:w="4480" w:type="dxa"/>
            <w:vAlign w:val="bottom"/>
            <w:vMerge w:val="continue"/>
          </w:tcPr>
          <w:p>
            <w:pPr>
              <w:spacing w:after="0"/>
              <w:rPr>
                <w:sz w:val="13"/>
                <w:szCs w:val="13"/>
                <w:color w:val="auto"/>
              </w:rPr>
            </w:pPr>
          </w:p>
        </w:tc>
        <w:tc>
          <w:tcPr>
            <w:tcW w:w="240" w:type="dxa"/>
            <w:vAlign w:val="bottom"/>
          </w:tcPr>
          <w:p>
            <w:pPr>
              <w:jc w:val="right"/>
              <w:ind w:right="93"/>
              <w:spacing w:after="0"/>
              <w:rPr>
                <w:sz w:val="20"/>
                <w:szCs w:val="20"/>
                <w:color w:val="auto"/>
              </w:rPr>
            </w:pPr>
            <w:r>
              <w:rPr>
                <w:rFonts w:ascii="Arial" w:cs="Arial" w:eastAsia="Arial" w:hAnsi="Arial"/>
                <w:sz w:val="13"/>
                <w:szCs w:val="13"/>
                <w:color w:val="auto"/>
                <w:w w:val="82"/>
              </w:rPr>
              <w:t>$</w:t>
            </w:r>
          </w:p>
        </w:tc>
        <w:tc>
          <w:tcPr>
            <w:tcW w:w="1100" w:type="dxa"/>
            <w:vAlign w:val="bottom"/>
          </w:tcPr>
          <w:p>
            <w:pPr>
              <w:jc w:val="right"/>
              <w:ind w:right="53"/>
              <w:spacing w:after="0"/>
              <w:rPr>
                <w:sz w:val="20"/>
                <w:szCs w:val="20"/>
                <w:color w:val="auto"/>
              </w:rPr>
            </w:pPr>
            <w:r>
              <w:rPr>
                <w:rFonts w:ascii="Arial" w:cs="Arial" w:eastAsia="Arial" w:hAnsi="Arial"/>
                <w:sz w:val="13"/>
                <w:szCs w:val="13"/>
                <w:color w:val="auto"/>
              </w:rPr>
              <w:t>0.27</w:t>
            </w:r>
          </w:p>
        </w:tc>
        <w:tc>
          <w:tcPr>
            <w:tcW w:w="200" w:type="dxa"/>
            <w:vAlign w:val="bottom"/>
          </w:tcPr>
          <w:p>
            <w:pPr>
              <w:spacing w:after="0"/>
              <w:rPr>
                <w:sz w:val="13"/>
                <w:szCs w:val="13"/>
                <w:color w:val="auto"/>
              </w:rPr>
            </w:pPr>
          </w:p>
        </w:tc>
        <w:tc>
          <w:tcPr>
            <w:tcW w:w="380" w:type="dxa"/>
            <w:vAlign w:val="bottom"/>
          </w:tcPr>
          <w:p>
            <w:pPr>
              <w:jc w:val="right"/>
              <w:ind w:right="213"/>
              <w:spacing w:after="0"/>
              <w:rPr>
                <w:sz w:val="20"/>
                <w:szCs w:val="20"/>
                <w:color w:val="auto"/>
              </w:rPr>
            </w:pPr>
            <w:r>
              <w:rPr>
                <w:rFonts w:ascii="Arial" w:cs="Arial" w:eastAsia="Arial" w:hAnsi="Arial"/>
                <w:sz w:val="13"/>
                <w:szCs w:val="13"/>
                <w:color w:val="auto"/>
              </w:rPr>
              <w:t>$</w:t>
            </w:r>
          </w:p>
        </w:tc>
        <w:tc>
          <w:tcPr>
            <w:tcW w:w="940" w:type="dxa"/>
            <w:vAlign w:val="bottom"/>
          </w:tcPr>
          <w:p>
            <w:pPr>
              <w:jc w:val="right"/>
              <w:ind w:right="33"/>
              <w:spacing w:after="0"/>
              <w:rPr>
                <w:sz w:val="20"/>
                <w:szCs w:val="20"/>
                <w:color w:val="auto"/>
              </w:rPr>
            </w:pPr>
            <w:r>
              <w:rPr>
                <w:rFonts w:ascii="Arial" w:cs="Arial" w:eastAsia="Arial" w:hAnsi="Arial"/>
                <w:sz w:val="13"/>
                <w:szCs w:val="13"/>
                <w:color w:val="auto"/>
              </w:rPr>
              <w:t>0.48</w:t>
            </w:r>
          </w:p>
        </w:tc>
        <w:tc>
          <w:tcPr>
            <w:tcW w:w="200" w:type="dxa"/>
            <w:vAlign w:val="bottom"/>
          </w:tcPr>
          <w:p>
            <w:pPr>
              <w:spacing w:after="0"/>
              <w:rPr>
                <w:sz w:val="13"/>
                <w:szCs w:val="13"/>
                <w:color w:val="auto"/>
              </w:rPr>
            </w:pPr>
          </w:p>
        </w:tc>
        <w:tc>
          <w:tcPr>
            <w:tcW w:w="200" w:type="dxa"/>
            <w:vAlign w:val="bottom"/>
          </w:tcPr>
          <w:p>
            <w:pPr>
              <w:jc w:val="right"/>
              <w:ind w:right="53"/>
              <w:spacing w:after="0"/>
              <w:rPr>
                <w:sz w:val="20"/>
                <w:szCs w:val="20"/>
                <w:color w:val="auto"/>
              </w:rPr>
            </w:pPr>
            <w:r>
              <w:rPr>
                <w:rFonts w:ascii="Arial" w:cs="Arial" w:eastAsia="Arial" w:hAnsi="Arial"/>
                <w:sz w:val="13"/>
                <w:szCs w:val="13"/>
                <w:color w:val="auto"/>
                <w:w w:val="82"/>
              </w:rPr>
              <w:t>$</w:t>
            </w:r>
          </w:p>
        </w:tc>
        <w:tc>
          <w:tcPr>
            <w:tcW w:w="1000" w:type="dxa"/>
            <w:vAlign w:val="bottom"/>
          </w:tcPr>
          <w:p>
            <w:pPr>
              <w:jc w:val="right"/>
              <w:ind w:right="33"/>
              <w:spacing w:after="0"/>
              <w:rPr>
                <w:sz w:val="20"/>
                <w:szCs w:val="20"/>
                <w:color w:val="auto"/>
              </w:rPr>
            </w:pPr>
            <w:r>
              <w:rPr>
                <w:rFonts w:ascii="Arial" w:cs="Arial" w:eastAsia="Arial" w:hAnsi="Arial"/>
                <w:sz w:val="13"/>
                <w:szCs w:val="13"/>
                <w:color w:val="auto"/>
              </w:rPr>
              <w:t>0.30</w:t>
            </w:r>
          </w:p>
        </w:tc>
        <w:tc>
          <w:tcPr>
            <w:tcW w:w="100" w:type="dxa"/>
            <w:vAlign w:val="bottom"/>
          </w:tcPr>
          <w:p>
            <w:pPr>
              <w:spacing w:after="0"/>
              <w:rPr>
                <w:sz w:val="13"/>
                <w:szCs w:val="13"/>
                <w:color w:val="auto"/>
              </w:rPr>
            </w:pPr>
          </w:p>
        </w:tc>
        <w:tc>
          <w:tcPr>
            <w:tcW w:w="440" w:type="dxa"/>
            <w:vAlign w:val="bottom"/>
          </w:tcPr>
          <w:p>
            <w:pPr>
              <w:jc w:val="right"/>
              <w:ind w:right="293"/>
              <w:spacing w:after="0"/>
              <w:rPr>
                <w:sz w:val="20"/>
                <w:szCs w:val="20"/>
                <w:color w:val="auto"/>
              </w:rPr>
            </w:pPr>
            <w:r>
              <w:rPr>
                <w:rFonts w:ascii="Arial" w:cs="Arial" w:eastAsia="Arial" w:hAnsi="Arial"/>
                <w:sz w:val="13"/>
                <w:szCs w:val="13"/>
                <w:color w:val="auto"/>
                <w:w w:val="82"/>
              </w:rPr>
              <w:t>$</w:t>
            </w:r>
          </w:p>
        </w:tc>
        <w:tc>
          <w:tcPr>
            <w:tcW w:w="880" w:type="dxa"/>
            <w:vAlign w:val="bottom"/>
          </w:tcPr>
          <w:p>
            <w:pPr>
              <w:jc w:val="right"/>
              <w:ind w:right="33"/>
              <w:spacing w:after="0"/>
              <w:rPr>
                <w:sz w:val="20"/>
                <w:szCs w:val="20"/>
                <w:color w:val="auto"/>
              </w:rPr>
            </w:pPr>
            <w:r>
              <w:rPr>
                <w:rFonts w:ascii="Arial" w:cs="Arial" w:eastAsia="Arial" w:hAnsi="Arial"/>
                <w:sz w:val="13"/>
                <w:szCs w:val="13"/>
                <w:color w:val="auto"/>
              </w:rPr>
              <w:t>0.51</w:t>
            </w:r>
          </w:p>
        </w:tc>
        <w:tc>
          <w:tcPr>
            <w:tcW w:w="0" w:type="dxa"/>
            <w:vAlign w:val="bottom"/>
          </w:tcPr>
          <w:p>
            <w:pPr>
              <w:spacing w:after="0"/>
              <w:rPr>
                <w:sz w:val="1"/>
                <w:szCs w:val="1"/>
                <w:color w:val="auto"/>
              </w:rPr>
            </w:pPr>
          </w:p>
        </w:tc>
      </w:tr>
      <w:tr>
        <w:trPr>
          <w:trHeight w:val="67"/>
        </w:trPr>
        <w:tc>
          <w:tcPr>
            <w:tcW w:w="4480" w:type="dxa"/>
            <w:vAlign w:val="bottom"/>
            <w:tcBorders>
              <w:bottom w:val="single" w:sz="8" w:color="CCEEFF"/>
            </w:tcBorders>
          </w:tcPr>
          <w:p>
            <w:pPr>
              <w:spacing w:after="0"/>
              <w:rPr>
                <w:sz w:val="5"/>
                <w:szCs w:val="5"/>
                <w:color w:val="auto"/>
              </w:rPr>
            </w:pPr>
          </w:p>
        </w:tc>
        <w:tc>
          <w:tcPr>
            <w:tcW w:w="240" w:type="dxa"/>
            <w:vAlign w:val="bottom"/>
            <w:tcBorders>
              <w:bottom w:val="single" w:sz="8" w:color="auto"/>
            </w:tcBorders>
          </w:tcPr>
          <w:p>
            <w:pPr>
              <w:spacing w:after="0"/>
              <w:rPr>
                <w:sz w:val="5"/>
                <w:szCs w:val="5"/>
                <w:color w:val="auto"/>
              </w:rPr>
            </w:pPr>
          </w:p>
        </w:tc>
        <w:tc>
          <w:tcPr>
            <w:tcW w:w="1100" w:type="dxa"/>
            <w:vAlign w:val="bottom"/>
            <w:tcBorders>
              <w:bottom w:val="single" w:sz="8" w:color="auto"/>
            </w:tcBorders>
          </w:tcPr>
          <w:p>
            <w:pPr>
              <w:spacing w:after="0"/>
              <w:rPr>
                <w:sz w:val="5"/>
                <w:szCs w:val="5"/>
                <w:color w:val="auto"/>
              </w:rPr>
            </w:pPr>
          </w:p>
        </w:tc>
        <w:tc>
          <w:tcPr>
            <w:tcW w:w="200" w:type="dxa"/>
            <w:vAlign w:val="bottom"/>
            <w:tcBorders>
              <w:bottom w:val="single" w:sz="8" w:color="CCEEFF"/>
            </w:tcBorders>
          </w:tcPr>
          <w:p>
            <w:pPr>
              <w:spacing w:after="0"/>
              <w:rPr>
                <w:sz w:val="5"/>
                <w:szCs w:val="5"/>
                <w:color w:val="auto"/>
              </w:rPr>
            </w:pPr>
          </w:p>
        </w:tc>
        <w:tc>
          <w:tcPr>
            <w:tcW w:w="380" w:type="dxa"/>
            <w:vAlign w:val="bottom"/>
            <w:tcBorders>
              <w:bottom w:val="single" w:sz="8" w:color="auto"/>
            </w:tcBorders>
          </w:tcPr>
          <w:p>
            <w:pPr>
              <w:spacing w:after="0"/>
              <w:rPr>
                <w:sz w:val="5"/>
                <w:szCs w:val="5"/>
                <w:color w:val="auto"/>
              </w:rPr>
            </w:pPr>
          </w:p>
        </w:tc>
        <w:tc>
          <w:tcPr>
            <w:tcW w:w="940" w:type="dxa"/>
            <w:vAlign w:val="bottom"/>
            <w:tcBorders>
              <w:bottom w:val="single" w:sz="8" w:color="auto"/>
            </w:tcBorders>
          </w:tcPr>
          <w:p>
            <w:pPr>
              <w:spacing w:after="0"/>
              <w:rPr>
                <w:sz w:val="5"/>
                <w:szCs w:val="5"/>
                <w:color w:val="auto"/>
              </w:rPr>
            </w:pPr>
          </w:p>
        </w:tc>
        <w:tc>
          <w:tcPr>
            <w:tcW w:w="200" w:type="dxa"/>
            <w:vAlign w:val="bottom"/>
            <w:tcBorders>
              <w:bottom w:val="single" w:sz="8" w:color="CCEEFF"/>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1000" w:type="dxa"/>
            <w:vAlign w:val="bottom"/>
            <w:tcBorders>
              <w:bottom w:val="single" w:sz="8" w:color="auto"/>
            </w:tcBorders>
          </w:tcPr>
          <w:p>
            <w:pPr>
              <w:spacing w:after="0"/>
              <w:rPr>
                <w:sz w:val="5"/>
                <w:szCs w:val="5"/>
                <w:color w:val="auto"/>
              </w:rPr>
            </w:pPr>
          </w:p>
        </w:tc>
        <w:tc>
          <w:tcPr>
            <w:tcW w:w="100" w:type="dxa"/>
            <w:vAlign w:val="bottom"/>
            <w:tcBorders>
              <w:bottom w:val="single" w:sz="8" w:color="CCEEFF"/>
            </w:tcBorders>
          </w:tcPr>
          <w:p>
            <w:pPr>
              <w:spacing w:after="0"/>
              <w:rPr>
                <w:sz w:val="5"/>
                <w:szCs w:val="5"/>
                <w:color w:val="auto"/>
              </w:rPr>
            </w:pPr>
          </w:p>
        </w:tc>
        <w:tc>
          <w:tcPr>
            <w:tcW w:w="440" w:type="dxa"/>
            <w:vAlign w:val="bottom"/>
            <w:tcBorders>
              <w:bottom w:val="single" w:sz="8" w:color="auto"/>
            </w:tcBorders>
          </w:tcPr>
          <w:p>
            <w:pPr>
              <w:spacing w:after="0"/>
              <w:rPr>
                <w:sz w:val="5"/>
                <w:szCs w:val="5"/>
                <w:color w:val="auto"/>
              </w:rPr>
            </w:pPr>
          </w:p>
        </w:tc>
        <w:tc>
          <w:tcPr>
            <w:tcW w:w="8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140"/>
        </w:trPr>
        <w:tc>
          <w:tcPr>
            <w:tcW w:w="4480" w:type="dxa"/>
            <w:vAlign w:val="bottom"/>
            <w:shd w:val="clear" w:color="auto" w:fill="CCEEFF"/>
          </w:tcPr>
          <w:p>
            <w:pPr>
              <w:ind w:left="20"/>
              <w:spacing w:after="0" w:line="141" w:lineRule="exact"/>
              <w:rPr>
                <w:sz w:val="20"/>
                <w:szCs w:val="20"/>
                <w:color w:val="auto"/>
              </w:rPr>
            </w:pPr>
            <w:r>
              <w:rPr>
                <w:rFonts w:ascii="Arial" w:cs="Arial" w:eastAsia="Arial" w:hAnsi="Arial"/>
                <w:sz w:val="15"/>
                <w:szCs w:val="15"/>
                <w:color w:val="auto"/>
                <w:w w:val="99"/>
              </w:rPr>
              <w:t>Weighted average common shares and common equivalent shares</w:t>
            </w:r>
          </w:p>
        </w:tc>
        <w:tc>
          <w:tcPr>
            <w:tcW w:w="24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9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0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90"/>
        </w:trPr>
        <w:tc>
          <w:tcPr>
            <w:tcW w:w="44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5"/>
                <w:szCs w:val="15"/>
                <w:color w:val="auto"/>
              </w:rPr>
              <w:t>outstanding:</w:t>
            </w:r>
          </w:p>
        </w:tc>
        <w:tc>
          <w:tcPr>
            <w:tcW w:w="240" w:type="dxa"/>
            <w:vAlign w:val="bottom"/>
            <w:tcBorders>
              <w:bottom w:val="single" w:sz="8" w:color="CCEEFF"/>
            </w:tcBorders>
            <w:shd w:val="clear" w:color="auto" w:fill="CCEEFF"/>
          </w:tcPr>
          <w:p>
            <w:pPr>
              <w:spacing w:after="0"/>
              <w:rPr>
                <w:sz w:val="16"/>
                <w:szCs w:val="16"/>
                <w:color w:val="auto"/>
              </w:rPr>
            </w:pPr>
          </w:p>
        </w:tc>
        <w:tc>
          <w:tcPr>
            <w:tcW w:w="110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spacing w:after="0"/>
              <w:rPr>
                <w:sz w:val="16"/>
                <w:szCs w:val="16"/>
                <w:color w:val="auto"/>
              </w:rPr>
            </w:pPr>
          </w:p>
        </w:tc>
        <w:tc>
          <w:tcPr>
            <w:tcW w:w="380" w:type="dxa"/>
            <w:vAlign w:val="bottom"/>
            <w:tcBorders>
              <w:bottom w:val="single" w:sz="8" w:color="CCEEFF"/>
            </w:tcBorders>
            <w:shd w:val="clear" w:color="auto" w:fill="CCEEFF"/>
          </w:tcPr>
          <w:p>
            <w:pPr>
              <w:spacing w:after="0"/>
              <w:rPr>
                <w:sz w:val="16"/>
                <w:szCs w:val="16"/>
                <w:color w:val="auto"/>
              </w:rPr>
            </w:pPr>
          </w:p>
        </w:tc>
        <w:tc>
          <w:tcPr>
            <w:tcW w:w="94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spacing w:after="0"/>
              <w:rPr>
                <w:sz w:val="16"/>
                <w:szCs w:val="16"/>
                <w:color w:val="auto"/>
              </w:rPr>
            </w:pPr>
          </w:p>
        </w:tc>
        <w:tc>
          <w:tcPr>
            <w:tcW w:w="100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440" w:type="dxa"/>
            <w:vAlign w:val="bottom"/>
            <w:tcBorders>
              <w:bottom w:val="single" w:sz="8" w:color="CCEEFF"/>
            </w:tcBorders>
            <w:shd w:val="clear" w:color="auto" w:fill="CCEEFF"/>
          </w:tcPr>
          <w:p>
            <w:pPr>
              <w:spacing w:after="0"/>
              <w:rPr>
                <w:sz w:val="16"/>
                <w:szCs w:val="16"/>
                <w:color w:val="auto"/>
              </w:rPr>
            </w:pPr>
          </w:p>
        </w:tc>
        <w:tc>
          <w:tcPr>
            <w:tcW w:w="88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9"/>
        </w:trPr>
        <w:tc>
          <w:tcPr>
            <w:tcW w:w="4480" w:type="dxa"/>
            <w:vAlign w:val="bottom"/>
          </w:tcPr>
          <w:p>
            <w:pPr>
              <w:ind w:left="300"/>
              <w:spacing w:after="0"/>
              <w:rPr>
                <w:sz w:val="20"/>
                <w:szCs w:val="20"/>
                <w:color w:val="auto"/>
              </w:rPr>
            </w:pPr>
            <w:r>
              <w:rPr>
                <w:rFonts w:ascii="Arial" w:cs="Arial" w:eastAsia="Arial" w:hAnsi="Arial"/>
                <w:sz w:val="15"/>
                <w:szCs w:val="15"/>
                <w:color w:val="auto"/>
              </w:rPr>
              <w:t>Basic</w:t>
            </w:r>
          </w:p>
        </w:tc>
        <w:tc>
          <w:tcPr>
            <w:tcW w:w="240" w:type="dxa"/>
            <w:vAlign w:val="bottom"/>
          </w:tcPr>
          <w:p>
            <w:pPr>
              <w:spacing w:after="0"/>
              <w:rPr>
                <w:sz w:val="17"/>
                <w:szCs w:val="17"/>
                <w:color w:val="auto"/>
              </w:rPr>
            </w:pPr>
          </w:p>
        </w:tc>
        <w:tc>
          <w:tcPr>
            <w:tcW w:w="1100" w:type="dxa"/>
            <w:vAlign w:val="bottom"/>
          </w:tcPr>
          <w:p>
            <w:pPr>
              <w:jc w:val="right"/>
              <w:ind w:right="53"/>
              <w:spacing w:after="0"/>
              <w:rPr>
                <w:sz w:val="20"/>
                <w:szCs w:val="20"/>
                <w:color w:val="auto"/>
              </w:rPr>
            </w:pPr>
            <w:r>
              <w:rPr>
                <w:rFonts w:ascii="Arial" w:cs="Arial" w:eastAsia="Arial" w:hAnsi="Arial"/>
                <w:sz w:val="15"/>
                <w:szCs w:val="15"/>
                <w:color w:val="auto"/>
              </w:rPr>
              <w:t>27,901,631</w:t>
            </w:r>
          </w:p>
        </w:tc>
        <w:tc>
          <w:tcPr>
            <w:tcW w:w="2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940" w:type="dxa"/>
            <w:vAlign w:val="bottom"/>
          </w:tcPr>
          <w:p>
            <w:pPr>
              <w:jc w:val="right"/>
              <w:ind w:right="33"/>
              <w:spacing w:after="0"/>
              <w:rPr>
                <w:sz w:val="20"/>
                <w:szCs w:val="20"/>
                <w:color w:val="auto"/>
              </w:rPr>
            </w:pPr>
            <w:r>
              <w:rPr>
                <w:rFonts w:ascii="Arial" w:cs="Arial" w:eastAsia="Arial" w:hAnsi="Arial"/>
                <w:sz w:val="15"/>
                <w:szCs w:val="15"/>
                <w:color w:val="auto"/>
              </w:rPr>
              <w:t>27,692,539</w:t>
            </w:r>
          </w:p>
        </w:tc>
        <w:tc>
          <w:tcPr>
            <w:tcW w:w="2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jc w:val="right"/>
              <w:ind w:right="33"/>
              <w:spacing w:after="0"/>
              <w:rPr>
                <w:sz w:val="20"/>
                <w:szCs w:val="20"/>
                <w:color w:val="auto"/>
              </w:rPr>
            </w:pPr>
            <w:r>
              <w:rPr>
                <w:rFonts w:ascii="Arial" w:cs="Arial" w:eastAsia="Arial" w:hAnsi="Arial"/>
                <w:sz w:val="15"/>
                <w:szCs w:val="15"/>
                <w:color w:val="auto"/>
              </w:rPr>
              <w:t>27,547,955</w:t>
            </w:r>
          </w:p>
        </w:tc>
        <w:tc>
          <w:tcPr>
            <w:tcW w:w="1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880" w:type="dxa"/>
            <w:vAlign w:val="bottom"/>
          </w:tcPr>
          <w:p>
            <w:pPr>
              <w:jc w:val="right"/>
              <w:ind w:right="33"/>
              <w:spacing w:after="0"/>
              <w:rPr>
                <w:sz w:val="20"/>
                <w:szCs w:val="20"/>
                <w:color w:val="auto"/>
              </w:rPr>
            </w:pPr>
            <w:r>
              <w:rPr>
                <w:rFonts w:ascii="Arial" w:cs="Arial" w:eastAsia="Arial" w:hAnsi="Arial"/>
                <w:sz w:val="15"/>
                <w:szCs w:val="15"/>
                <w:color w:val="auto"/>
              </w:rPr>
              <w:t>27,611,905</w:t>
            </w:r>
          </w:p>
        </w:tc>
        <w:tc>
          <w:tcPr>
            <w:tcW w:w="0" w:type="dxa"/>
            <w:vAlign w:val="bottom"/>
          </w:tcPr>
          <w:p>
            <w:pPr>
              <w:spacing w:after="0"/>
              <w:rPr>
                <w:sz w:val="1"/>
                <w:szCs w:val="1"/>
                <w:color w:val="auto"/>
              </w:rPr>
            </w:pPr>
          </w:p>
        </w:tc>
      </w:tr>
      <w:tr>
        <w:trPr>
          <w:trHeight w:val="23"/>
        </w:trPr>
        <w:tc>
          <w:tcPr>
            <w:tcW w:w="44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9"/>
        </w:trPr>
        <w:tc>
          <w:tcPr>
            <w:tcW w:w="4480" w:type="dxa"/>
            <w:vAlign w:val="bottom"/>
            <w:shd w:val="clear" w:color="auto" w:fill="CCEEFF"/>
          </w:tcPr>
          <w:p>
            <w:pPr>
              <w:ind w:left="300"/>
              <w:spacing w:after="0"/>
              <w:rPr>
                <w:sz w:val="20"/>
                <w:szCs w:val="20"/>
                <w:color w:val="auto"/>
              </w:rPr>
            </w:pPr>
            <w:r>
              <w:rPr>
                <w:rFonts w:ascii="Arial" w:cs="Arial" w:eastAsia="Arial" w:hAnsi="Arial"/>
                <w:sz w:val="15"/>
                <w:szCs w:val="15"/>
                <w:color w:val="auto"/>
              </w:rPr>
              <w:t>Diluted</w:t>
            </w:r>
          </w:p>
        </w:tc>
        <w:tc>
          <w:tcPr>
            <w:tcW w:w="240" w:type="dxa"/>
            <w:vAlign w:val="bottom"/>
            <w:shd w:val="clear" w:color="auto" w:fill="CCEEFF"/>
          </w:tcPr>
          <w:p>
            <w:pPr>
              <w:spacing w:after="0"/>
              <w:rPr>
                <w:sz w:val="17"/>
                <w:szCs w:val="17"/>
                <w:color w:val="auto"/>
              </w:rPr>
            </w:pPr>
          </w:p>
        </w:tc>
        <w:tc>
          <w:tcPr>
            <w:tcW w:w="1100" w:type="dxa"/>
            <w:vAlign w:val="bottom"/>
            <w:shd w:val="clear" w:color="auto" w:fill="CCEEFF"/>
          </w:tcPr>
          <w:p>
            <w:pPr>
              <w:jc w:val="right"/>
              <w:ind w:right="53"/>
              <w:spacing w:after="0"/>
              <w:rPr>
                <w:sz w:val="20"/>
                <w:szCs w:val="20"/>
                <w:color w:val="auto"/>
              </w:rPr>
            </w:pPr>
            <w:r>
              <w:rPr>
                <w:rFonts w:ascii="Arial" w:cs="Arial" w:eastAsia="Arial" w:hAnsi="Arial"/>
                <w:sz w:val="15"/>
                <w:szCs w:val="15"/>
                <w:color w:val="auto"/>
              </w:rPr>
              <w:t>33,055,881</w:t>
            </w:r>
          </w:p>
        </w:tc>
        <w:tc>
          <w:tcPr>
            <w:tcW w:w="2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940" w:type="dxa"/>
            <w:vAlign w:val="bottom"/>
            <w:shd w:val="clear" w:color="auto" w:fill="CCEEFF"/>
          </w:tcPr>
          <w:p>
            <w:pPr>
              <w:jc w:val="right"/>
              <w:ind w:right="33"/>
              <w:spacing w:after="0"/>
              <w:rPr>
                <w:sz w:val="20"/>
                <w:szCs w:val="20"/>
                <w:color w:val="auto"/>
              </w:rPr>
            </w:pPr>
            <w:r>
              <w:rPr>
                <w:rFonts w:ascii="Arial" w:cs="Arial" w:eastAsia="Arial" w:hAnsi="Arial"/>
                <w:sz w:val="15"/>
                <w:szCs w:val="15"/>
                <w:color w:val="auto"/>
              </w:rPr>
              <w:t>32,714,389</w:t>
            </w:r>
          </w:p>
        </w:tc>
        <w:tc>
          <w:tcPr>
            <w:tcW w:w="2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jc w:val="right"/>
              <w:ind w:right="33"/>
              <w:spacing w:after="0"/>
              <w:rPr>
                <w:sz w:val="20"/>
                <w:szCs w:val="20"/>
                <w:color w:val="auto"/>
              </w:rPr>
            </w:pPr>
            <w:r>
              <w:rPr>
                <w:rFonts w:ascii="Arial" w:cs="Arial" w:eastAsia="Arial" w:hAnsi="Arial"/>
                <w:sz w:val="15"/>
                <w:szCs w:val="15"/>
                <w:color w:val="auto"/>
              </w:rPr>
              <w:t>32,721,860</w:t>
            </w: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880" w:type="dxa"/>
            <w:vAlign w:val="bottom"/>
            <w:shd w:val="clear" w:color="auto" w:fill="CCEEFF"/>
          </w:tcPr>
          <w:p>
            <w:pPr>
              <w:jc w:val="right"/>
              <w:ind w:right="33"/>
              <w:spacing w:after="0"/>
              <w:rPr>
                <w:sz w:val="20"/>
                <w:szCs w:val="20"/>
                <w:color w:val="auto"/>
              </w:rPr>
            </w:pPr>
            <w:r>
              <w:rPr>
                <w:rFonts w:ascii="Arial" w:cs="Arial" w:eastAsia="Arial" w:hAnsi="Arial"/>
                <w:sz w:val="15"/>
                <w:szCs w:val="15"/>
                <w:color w:val="auto"/>
              </w:rPr>
              <w:t>27,611,905</w:t>
            </w:r>
          </w:p>
        </w:tc>
        <w:tc>
          <w:tcPr>
            <w:tcW w:w="0" w:type="dxa"/>
            <w:vAlign w:val="bottom"/>
          </w:tcPr>
          <w:p>
            <w:pPr>
              <w:spacing w:after="0"/>
              <w:rPr>
                <w:sz w:val="1"/>
                <w:szCs w:val="1"/>
                <w:color w:val="auto"/>
              </w:rPr>
            </w:pPr>
          </w:p>
        </w:tc>
      </w:tr>
      <w:tr>
        <w:trPr>
          <w:trHeight w:val="23"/>
        </w:trPr>
        <w:tc>
          <w:tcPr>
            <w:tcW w:w="448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9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0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8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ectPr>
          <w:pgSz w:w="11900" w:h="16838" w:orient="portrait"/>
          <w:cols w:equalWidth="0" w:num="1">
            <w:col w:w="10160"/>
          </w:cols>
          <w:pgMar w:left="880" w:top="502" w:right="859" w:bottom="1440" w:gutter="0" w:footer="0" w:header="0"/>
        </w:sectPr>
      </w:pPr>
    </w:p>
    <w:bookmarkStart w:id="9" w:name="page10"/>
    <w:bookmarkEnd w:id="9"/>
    <w:p>
      <w:pPr>
        <w:jc w:val="center"/>
        <w:ind w:right="-39"/>
        <w:spacing w:after="0"/>
        <w:rPr>
          <w:sz w:val="20"/>
          <w:szCs w:val="20"/>
          <w:color w:val="auto"/>
        </w:rPr>
      </w:pPr>
      <w:r>
        <w:rPr>
          <w:rFonts w:ascii="Arial" w:cs="Arial" w:eastAsia="Arial" w:hAnsi="Arial"/>
          <w:sz w:val="15"/>
          <w:szCs w:val="15"/>
          <w:b w:val="1"/>
          <w:bCs w:val="1"/>
          <w:color w:val="auto"/>
        </w:rPr>
        <w:t>Luna Innovations Incorporated</w:t>
      </w:r>
    </w:p>
    <w:p>
      <w:pPr>
        <w:spacing w:after="0" w:line="19" w:lineRule="exact"/>
        <w:rPr>
          <w:sz w:val="20"/>
          <w:szCs w:val="20"/>
          <w:color w:val="auto"/>
        </w:rPr>
      </w:pPr>
    </w:p>
    <w:p>
      <w:pPr>
        <w:jc w:val="center"/>
        <w:ind w:right="-39"/>
        <w:spacing w:after="0"/>
        <w:rPr>
          <w:sz w:val="20"/>
          <w:szCs w:val="20"/>
          <w:color w:val="auto"/>
        </w:rPr>
      </w:pPr>
      <w:r>
        <w:rPr>
          <w:rFonts w:ascii="Arial" w:cs="Arial" w:eastAsia="Arial" w:hAnsi="Arial"/>
          <w:sz w:val="15"/>
          <w:szCs w:val="15"/>
          <w:b w:val="1"/>
          <w:bCs w:val="1"/>
          <w:color w:val="auto"/>
        </w:rPr>
        <w:t>Consolidated Balance Sheets</w:t>
      </w:r>
    </w:p>
    <w:p>
      <w:pPr>
        <w:spacing w:after="0" w:line="294" w:lineRule="exact"/>
        <w:rPr>
          <w:sz w:val="20"/>
          <w:szCs w:val="20"/>
          <w:color w:val="auto"/>
        </w:rPr>
      </w:pPr>
    </w:p>
    <w:tbl>
      <w:tblPr>
        <w:tblLayout w:type="fixed"/>
        <w:tblInd w:w="0" w:type="dxa"/>
        <w:tblCellMar>
          <w:top w:w="0" w:type="dxa"/>
          <w:left w:w="0" w:type="dxa"/>
          <w:bottom w:w="0" w:type="dxa"/>
          <w:right w:w="0" w:type="dxa"/>
        </w:tblCellMar>
      </w:tblPr>
      <w:tr>
        <w:trPr>
          <w:trHeight w:val="173"/>
        </w:trPr>
        <w:tc>
          <w:tcPr>
            <w:tcW w:w="83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500" w:type="dxa"/>
            <w:vAlign w:val="bottom"/>
            <w:gridSpan w:val="2"/>
          </w:tcPr>
          <w:p>
            <w:pPr>
              <w:jc w:val="center"/>
              <w:ind w:right="320"/>
              <w:spacing w:after="0"/>
              <w:rPr>
                <w:sz w:val="20"/>
                <w:szCs w:val="20"/>
                <w:color w:val="auto"/>
              </w:rPr>
            </w:pPr>
            <w:r>
              <w:rPr>
                <w:rFonts w:ascii="Arial" w:cs="Arial" w:eastAsia="Arial" w:hAnsi="Arial"/>
                <w:sz w:val="13"/>
                <w:szCs w:val="13"/>
                <w:b w:val="1"/>
                <w:bCs w:val="1"/>
                <w:color w:val="auto"/>
                <w:w w:val="90"/>
              </w:rPr>
              <w:t>September 30, 2018</w:t>
            </w:r>
          </w:p>
        </w:tc>
        <w:tc>
          <w:tcPr>
            <w:tcW w:w="120" w:type="dxa"/>
            <w:vAlign w:val="bottom"/>
          </w:tcPr>
          <w:p>
            <w:pPr>
              <w:spacing w:after="0"/>
              <w:rPr>
                <w:sz w:val="15"/>
                <w:szCs w:val="15"/>
                <w:color w:val="auto"/>
              </w:rPr>
            </w:pPr>
          </w:p>
        </w:tc>
        <w:tc>
          <w:tcPr>
            <w:tcW w:w="1340" w:type="dxa"/>
            <w:vAlign w:val="bottom"/>
            <w:gridSpan w:val="2"/>
          </w:tcPr>
          <w:p>
            <w:pPr>
              <w:ind w:left="20"/>
              <w:spacing w:after="0"/>
              <w:rPr>
                <w:sz w:val="20"/>
                <w:szCs w:val="20"/>
                <w:color w:val="auto"/>
              </w:rPr>
            </w:pPr>
            <w:r>
              <w:rPr>
                <w:rFonts w:ascii="Arial" w:cs="Arial" w:eastAsia="Arial" w:hAnsi="Arial"/>
                <w:sz w:val="13"/>
                <w:szCs w:val="13"/>
                <w:b w:val="1"/>
                <w:bCs w:val="1"/>
                <w:color w:val="auto"/>
              </w:rPr>
              <w:t>December 31, 2017</w:t>
            </w: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86"/>
        </w:trPr>
        <w:tc>
          <w:tcPr>
            <w:tcW w:w="83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00" w:type="dxa"/>
            <w:vAlign w:val="bottom"/>
            <w:gridSpan w:val="2"/>
          </w:tcPr>
          <w:p>
            <w:pPr>
              <w:jc w:val="center"/>
              <w:ind w:right="320"/>
              <w:spacing w:after="0"/>
              <w:rPr>
                <w:sz w:val="20"/>
                <w:szCs w:val="20"/>
                <w:color w:val="auto"/>
              </w:rPr>
            </w:pPr>
            <w:r>
              <w:rPr>
                <w:rFonts w:ascii="Arial" w:cs="Arial" w:eastAsia="Arial" w:hAnsi="Arial"/>
                <w:sz w:val="13"/>
                <w:szCs w:val="13"/>
                <w:b w:val="1"/>
                <w:bCs w:val="1"/>
                <w:color w:val="auto"/>
                <w:w w:val="93"/>
              </w:rPr>
              <w:t>(unaudited)</w:t>
            </w:r>
          </w:p>
        </w:tc>
        <w:tc>
          <w:tcPr>
            <w:tcW w:w="12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1"/>
        </w:trPr>
        <w:tc>
          <w:tcPr>
            <w:tcW w:w="8360" w:type="dxa"/>
            <w:vAlign w:val="bottom"/>
          </w:tcPr>
          <w:p>
            <w:pPr>
              <w:ind w:left="4000"/>
              <w:spacing w:after="0"/>
              <w:rPr>
                <w:sz w:val="20"/>
                <w:szCs w:val="20"/>
                <w:color w:val="auto"/>
              </w:rPr>
            </w:pPr>
            <w:r>
              <w:rPr>
                <w:rFonts w:ascii="Arial" w:cs="Arial" w:eastAsia="Arial" w:hAnsi="Arial"/>
                <w:sz w:val="13"/>
                <w:szCs w:val="13"/>
                <w:b w:val="1"/>
                <w:bCs w:val="1"/>
                <w:color w:val="auto"/>
              </w:rPr>
              <w:t>Assets</w:t>
            </w:r>
          </w:p>
        </w:tc>
        <w:tc>
          <w:tcPr>
            <w:tcW w:w="100" w:type="dxa"/>
            <w:vAlign w:val="bottom"/>
          </w:tcPr>
          <w:p>
            <w:pPr>
              <w:spacing w:after="0"/>
              <w:rPr>
                <w:sz w:val="18"/>
                <w:szCs w:val="18"/>
                <w:color w:val="auto"/>
              </w:rPr>
            </w:pPr>
          </w:p>
        </w:tc>
        <w:tc>
          <w:tcPr>
            <w:tcW w:w="12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8"/>
        </w:trPr>
        <w:tc>
          <w:tcPr>
            <w:tcW w:w="83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80" w:type="dxa"/>
            <w:vAlign w:val="bottom"/>
          </w:tcPr>
          <w:p>
            <w:pPr>
              <w:spacing w:after="0"/>
              <w:rPr>
                <w:sz w:val="3"/>
                <w:szCs w:val="3"/>
                <w:color w:val="auto"/>
              </w:rPr>
            </w:pPr>
          </w:p>
        </w:tc>
        <w:tc>
          <w:tcPr>
            <w:tcW w:w="2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02"/>
        </w:trPr>
        <w:tc>
          <w:tcPr>
            <w:tcW w:w="8360" w:type="dxa"/>
            <w:vAlign w:val="bottom"/>
            <w:tcBorders>
              <w:bottom w:val="single" w:sz="8" w:color="CCEEFF"/>
            </w:tcBorders>
            <w:shd w:val="clear" w:color="auto" w:fill="CCEEFF"/>
          </w:tcPr>
          <w:p>
            <w:pPr>
              <w:ind w:left="320"/>
              <w:spacing w:after="0"/>
              <w:rPr>
                <w:sz w:val="20"/>
                <w:szCs w:val="20"/>
                <w:color w:val="auto"/>
              </w:rPr>
            </w:pPr>
            <w:r>
              <w:rPr>
                <w:rFonts w:ascii="Arial" w:cs="Arial" w:eastAsia="Arial" w:hAnsi="Arial"/>
                <w:sz w:val="13"/>
                <w:szCs w:val="13"/>
                <w:color w:val="auto"/>
              </w:rPr>
              <w:t>Current assets:</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rPr>
              <w:t>Cash and cash equivalents</w:t>
            </w:r>
          </w:p>
        </w:tc>
        <w:tc>
          <w:tcPr>
            <w:tcW w:w="10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280" w:type="dxa"/>
            <w:vAlign w:val="bottom"/>
          </w:tcPr>
          <w:p>
            <w:pPr>
              <w:jc w:val="right"/>
              <w:ind w:right="53"/>
              <w:spacing w:after="0"/>
              <w:rPr>
                <w:sz w:val="20"/>
                <w:szCs w:val="20"/>
                <w:color w:val="auto"/>
              </w:rPr>
            </w:pPr>
            <w:r>
              <w:rPr>
                <w:rFonts w:ascii="Arial" w:cs="Arial" w:eastAsia="Arial" w:hAnsi="Arial"/>
                <w:sz w:val="13"/>
                <w:szCs w:val="13"/>
                <w:color w:val="auto"/>
              </w:rPr>
              <w:t>47,144,719</w:t>
            </w:r>
          </w:p>
        </w:tc>
        <w:tc>
          <w:tcPr>
            <w:tcW w:w="220" w:type="dxa"/>
            <w:vAlign w:val="bottom"/>
          </w:tcPr>
          <w:p>
            <w:pPr>
              <w:spacing w:after="0"/>
              <w:rPr>
                <w:sz w:val="16"/>
                <w:szCs w:val="16"/>
                <w:color w:val="auto"/>
              </w:rPr>
            </w:pPr>
          </w:p>
        </w:tc>
        <w:tc>
          <w:tcPr>
            <w:tcW w:w="120" w:type="dxa"/>
            <w:vAlign w:val="bottom"/>
          </w:tcPr>
          <w:p>
            <w:pPr>
              <w:jc w:val="right"/>
              <w:spacing w:after="0"/>
              <w:rPr>
                <w:sz w:val="20"/>
                <w:szCs w:val="20"/>
                <w:color w:val="auto"/>
              </w:rPr>
            </w:pPr>
            <w:r>
              <w:rPr>
                <w:rFonts w:ascii="Arial" w:cs="Arial" w:eastAsia="Arial" w:hAnsi="Arial"/>
                <w:sz w:val="13"/>
                <w:szCs w:val="13"/>
                <w:color w:val="auto"/>
              </w:rPr>
              <w:t>$</w:t>
            </w: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36,981,533</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2"/>
        </w:trPr>
        <w:tc>
          <w:tcPr>
            <w:tcW w:w="8360" w:type="dxa"/>
            <w:vAlign w:val="bottom"/>
            <w:tcBorders>
              <w:bottom w:val="single" w:sz="8" w:color="CCEEFF"/>
            </w:tcBorders>
            <w:shd w:val="clear" w:color="auto" w:fill="CCEEFF"/>
          </w:tcPr>
          <w:p>
            <w:pPr>
              <w:ind w:left="580"/>
              <w:spacing w:after="0"/>
              <w:rPr>
                <w:sz w:val="20"/>
                <w:szCs w:val="20"/>
                <w:color w:val="auto"/>
              </w:rPr>
            </w:pPr>
            <w:r>
              <w:rPr>
                <w:rFonts w:ascii="Arial" w:cs="Arial" w:eastAsia="Arial" w:hAnsi="Arial"/>
                <w:sz w:val="13"/>
                <w:szCs w:val="13"/>
                <w:color w:val="auto"/>
              </w:rPr>
              <w:t>Accounts receivable, net</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9,110,713</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5,929,042</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rPr>
              <w:t>Receivable from sale of HSOR business</w:t>
            </w:r>
          </w:p>
        </w:tc>
        <w:tc>
          <w:tcPr>
            <w:tcW w:w="100" w:type="dxa"/>
            <w:vAlign w:val="bottom"/>
          </w:tcPr>
          <w:p>
            <w:pPr>
              <w:spacing w:after="0"/>
              <w:rPr>
                <w:sz w:val="16"/>
                <w:szCs w:val="16"/>
                <w:color w:val="auto"/>
              </w:rPr>
            </w:pPr>
          </w:p>
        </w:tc>
        <w:tc>
          <w:tcPr>
            <w:tcW w:w="1280" w:type="dxa"/>
            <w:vAlign w:val="bottom"/>
          </w:tcPr>
          <w:p>
            <w:pPr>
              <w:jc w:val="right"/>
              <w:ind w:right="53"/>
              <w:spacing w:after="0"/>
              <w:rPr>
                <w:sz w:val="20"/>
                <w:szCs w:val="20"/>
                <w:color w:val="auto"/>
              </w:rPr>
            </w:pPr>
            <w:r>
              <w:rPr>
                <w:rFonts w:ascii="Arial" w:cs="Arial" w:eastAsia="Arial" w:hAnsi="Arial"/>
                <w:sz w:val="13"/>
                <w:szCs w:val="13"/>
                <w:color w:val="auto"/>
              </w:rPr>
              <w:t>4,002,342</w:t>
            </w: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4,000,976</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2"/>
        </w:trPr>
        <w:tc>
          <w:tcPr>
            <w:tcW w:w="8360" w:type="dxa"/>
            <w:vAlign w:val="bottom"/>
            <w:tcBorders>
              <w:bottom w:val="single" w:sz="8" w:color="CCEEFF"/>
            </w:tcBorders>
            <w:shd w:val="clear" w:color="auto" w:fill="CCEEFF"/>
          </w:tcPr>
          <w:p>
            <w:pPr>
              <w:ind w:left="580"/>
              <w:spacing w:after="0"/>
              <w:rPr>
                <w:sz w:val="20"/>
                <w:szCs w:val="20"/>
                <w:color w:val="auto"/>
              </w:rPr>
            </w:pPr>
            <w:r>
              <w:rPr>
                <w:rFonts w:ascii="Arial" w:cs="Arial" w:eastAsia="Arial" w:hAnsi="Arial"/>
                <w:sz w:val="13"/>
                <w:szCs w:val="13"/>
                <w:color w:val="auto"/>
              </w:rPr>
              <w:t>Contract assets</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2,611,122</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1,778,142</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rPr>
              <w:t>Inventory</w:t>
            </w:r>
          </w:p>
        </w:tc>
        <w:tc>
          <w:tcPr>
            <w:tcW w:w="100" w:type="dxa"/>
            <w:vAlign w:val="bottom"/>
          </w:tcPr>
          <w:p>
            <w:pPr>
              <w:spacing w:after="0"/>
              <w:rPr>
                <w:sz w:val="16"/>
                <w:szCs w:val="16"/>
                <w:color w:val="auto"/>
              </w:rPr>
            </w:pPr>
          </w:p>
        </w:tc>
        <w:tc>
          <w:tcPr>
            <w:tcW w:w="1280" w:type="dxa"/>
            <w:vAlign w:val="bottom"/>
          </w:tcPr>
          <w:p>
            <w:pPr>
              <w:jc w:val="right"/>
              <w:ind w:right="53"/>
              <w:spacing w:after="0"/>
              <w:rPr>
                <w:sz w:val="20"/>
                <w:szCs w:val="20"/>
                <w:color w:val="auto"/>
              </w:rPr>
            </w:pPr>
            <w:r>
              <w:rPr>
                <w:rFonts w:ascii="Arial" w:cs="Arial" w:eastAsia="Arial" w:hAnsi="Arial"/>
                <w:sz w:val="13"/>
                <w:szCs w:val="13"/>
                <w:color w:val="auto"/>
              </w:rPr>
              <w:t>5,462,414</w:t>
            </w: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4,634,781</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2"/>
        </w:trPr>
        <w:tc>
          <w:tcPr>
            <w:tcW w:w="8360" w:type="dxa"/>
            <w:vAlign w:val="bottom"/>
            <w:tcBorders>
              <w:bottom w:val="single" w:sz="8" w:color="CCEEFF"/>
            </w:tcBorders>
            <w:shd w:val="clear" w:color="auto" w:fill="CCEEFF"/>
          </w:tcPr>
          <w:p>
            <w:pPr>
              <w:ind w:left="580"/>
              <w:spacing w:after="0"/>
              <w:rPr>
                <w:sz w:val="20"/>
                <w:szCs w:val="20"/>
                <w:color w:val="auto"/>
              </w:rPr>
            </w:pPr>
            <w:r>
              <w:rPr>
                <w:rFonts w:ascii="Arial" w:cs="Arial" w:eastAsia="Arial" w:hAnsi="Arial"/>
                <w:sz w:val="13"/>
                <w:szCs w:val="13"/>
                <w:color w:val="auto"/>
              </w:rPr>
              <w:t>Prepaid expenses and other current assets</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730,368</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1,140,999</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rPr>
              <w:t>Current assets held for sale</w:t>
            </w:r>
          </w:p>
        </w:tc>
        <w:tc>
          <w:tcPr>
            <w:tcW w:w="100" w:type="dxa"/>
            <w:vAlign w:val="bottom"/>
          </w:tcPr>
          <w:p>
            <w:pPr>
              <w:spacing w:after="0"/>
              <w:rPr>
                <w:sz w:val="16"/>
                <w:szCs w:val="16"/>
                <w:color w:val="auto"/>
              </w:rPr>
            </w:pPr>
          </w:p>
        </w:tc>
        <w:tc>
          <w:tcPr>
            <w:tcW w:w="1500" w:type="dxa"/>
            <w:vAlign w:val="bottom"/>
            <w:gridSpan w:val="2"/>
          </w:tcPr>
          <w:p>
            <w:pPr>
              <w:jc w:val="right"/>
              <w:ind w:right="34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4,336,105</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82"/>
        </w:trPr>
        <w:tc>
          <w:tcPr>
            <w:tcW w:w="8360" w:type="dxa"/>
            <w:vAlign w:val="bottom"/>
            <w:tcBorders>
              <w:bottom w:val="single" w:sz="8" w:color="CCEEFF"/>
            </w:tcBorders>
            <w:shd w:val="clear" w:color="auto" w:fill="CCEEFF"/>
          </w:tcPr>
          <w:p>
            <w:pPr>
              <w:ind w:left="940"/>
              <w:spacing w:after="0"/>
              <w:rPr>
                <w:sz w:val="20"/>
                <w:szCs w:val="20"/>
                <w:color w:val="auto"/>
              </w:rPr>
            </w:pPr>
            <w:r>
              <w:rPr>
                <w:rFonts w:ascii="Arial" w:cs="Arial" w:eastAsia="Arial" w:hAnsi="Arial"/>
                <w:sz w:val="13"/>
                <w:szCs w:val="13"/>
                <w:color w:val="auto"/>
              </w:rPr>
              <w:t>Total current assets</w:t>
            </w:r>
          </w:p>
        </w:tc>
        <w:tc>
          <w:tcPr>
            <w:tcW w:w="100" w:type="dxa"/>
            <w:vAlign w:val="bottom"/>
            <w:tcBorders>
              <w:bottom w:val="single" w:sz="8" w:color="CCEEFF"/>
            </w:tcBorders>
            <w:shd w:val="clear" w:color="auto" w:fill="CCEEFF"/>
          </w:tcPr>
          <w:p>
            <w:pPr>
              <w:spacing w:after="0"/>
              <w:rPr>
                <w:sz w:val="15"/>
                <w:szCs w:val="15"/>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69,061,678</w:t>
            </w:r>
          </w:p>
        </w:tc>
        <w:tc>
          <w:tcPr>
            <w:tcW w:w="22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58,801,578</w:t>
            </w:r>
          </w:p>
        </w:tc>
        <w:tc>
          <w:tcPr>
            <w:tcW w:w="100" w:type="dxa"/>
            <w:vAlign w:val="bottom"/>
            <w:tcBorders>
              <w:bottom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320"/>
              <w:spacing w:after="0"/>
              <w:rPr>
                <w:sz w:val="20"/>
                <w:szCs w:val="20"/>
                <w:color w:val="auto"/>
              </w:rPr>
            </w:pPr>
            <w:r>
              <w:rPr>
                <w:rFonts w:ascii="Arial" w:cs="Arial" w:eastAsia="Arial" w:hAnsi="Arial"/>
                <w:sz w:val="13"/>
                <w:szCs w:val="13"/>
                <w:color w:val="auto"/>
              </w:rPr>
              <w:t>Long-term contract assets</w:t>
            </w:r>
          </w:p>
        </w:tc>
        <w:tc>
          <w:tcPr>
            <w:tcW w:w="100" w:type="dxa"/>
            <w:vAlign w:val="bottom"/>
          </w:tcPr>
          <w:p>
            <w:pPr>
              <w:spacing w:after="0"/>
              <w:rPr>
                <w:sz w:val="16"/>
                <w:szCs w:val="16"/>
                <w:color w:val="auto"/>
              </w:rPr>
            </w:pPr>
          </w:p>
        </w:tc>
        <w:tc>
          <w:tcPr>
            <w:tcW w:w="1280" w:type="dxa"/>
            <w:vAlign w:val="bottom"/>
          </w:tcPr>
          <w:p>
            <w:pPr>
              <w:jc w:val="right"/>
              <w:ind w:right="53"/>
              <w:spacing w:after="0"/>
              <w:rPr>
                <w:sz w:val="20"/>
                <w:szCs w:val="20"/>
                <w:color w:val="auto"/>
              </w:rPr>
            </w:pPr>
            <w:r>
              <w:rPr>
                <w:rFonts w:ascii="Arial" w:cs="Arial" w:eastAsia="Arial" w:hAnsi="Arial"/>
                <w:sz w:val="13"/>
                <w:szCs w:val="13"/>
                <w:color w:val="auto"/>
              </w:rPr>
              <w:t>343,492</w:t>
            </w: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209,699</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2"/>
        </w:trPr>
        <w:tc>
          <w:tcPr>
            <w:tcW w:w="8360" w:type="dxa"/>
            <w:vAlign w:val="bottom"/>
            <w:tcBorders>
              <w:bottom w:val="single" w:sz="8" w:color="CCEEFF"/>
            </w:tcBorders>
            <w:shd w:val="clear" w:color="auto" w:fill="CCEEFF"/>
          </w:tcPr>
          <w:p>
            <w:pPr>
              <w:ind w:left="320"/>
              <w:spacing w:after="0"/>
              <w:rPr>
                <w:sz w:val="20"/>
                <w:szCs w:val="20"/>
                <w:color w:val="auto"/>
              </w:rPr>
            </w:pPr>
            <w:r>
              <w:rPr>
                <w:rFonts w:ascii="Arial" w:cs="Arial" w:eastAsia="Arial" w:hAnsi="Arial"/>
                <w:sz w:val="13"/>
                <w:szCs w:val="13"/>
                <w:color w:val="auto"/>
              </w:rPr>
              <w:t>Property and equipment, net</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2,678,411</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2,854,641</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320"/>
              <w:spacing w:after="0"/>
              <w:rPr>
                <w:sz w:val="20"/>
                <w:szCs w:val="20"/>
                <w:color w:val="auto"/>
              </w:rPr>
            </w:pPr>
            <w:r>
              <w:rPr>
                <w:rFonts w:ascii="Arial" w:cs="Arial" w:eastAsia="Arial" w:hAnsi="Arial"/>
                <w:sz w:val="13"/>
                <w:szCs w:val="13"/>
                <w:color w:val="auto"/>
              </w:rPr>
              <w:t>Intangible assets, net</w:t>
            </w:r>
          </w:p>
        </w:tc>
        <w:tc>
          <w:tcPr>
            <w:tcW w:w="100" w:type="dxa"/>
            <w:vAlign w:val="bottom"/>
          </w:tcPr>
          <w:p>
            <w:pPr>
              <w:spacing w:after="0"/>
              <w:rPr>
                <w:sz w:val="16"/>
                <w:szCs w:val="16"/>
                <w:color w:val="auto"/>
              </w:rPr>
            </w:pPr>
          </w:p>
        </w:tc>
        <w:tc>
          <w:tcPr>
            <w:tcW w:w="1280" w:type="dxa"/>
            <w:vAlign w:val="bottom"/>
          </w:tcPr>
          <w:p>
            <w:pPr>
              <w:jc w:val="right"/>
              <w:ind w:right="53"/>
              <w:spacing w:after="0"/>
              <w:rPr>
                <w:sz w:val="20"/>
                <w:szCs w:val="20"/>
                <w:color w:val="auto"/>
              </w:rPr>
            </w:pPr>
            <w:r>
              <w:rPr>
                <w:rFonts w:ascii="Arial" w:cs="Arial" w:eastAsia="Arial" w:hAnsi="Arial"/>
                <w:sz w:val="13"/>
                <w:szCs w:val="13"/>
                <w:color w:val="auto"/>
              </w:rPr>
              <w:t>1,709,003</w:t>
            </w: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1,727,390</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2"/>
        </w:trPr>
        <w:tc>
          <w:tcPr>
            <w:tcW w:w="8360" w:type="dxa"/>
            <w:vAlign w:val="bottom"/>
            <w:tcBorders>
              <w:bottom w:val="single" w:sz="8" w:color="CCEEFF"/>
            </w:tcBorders>
            <w:shd w:val="clear" w:color="auto" w:fill="CCEEFF"/>
          </w:tcPr>
          <w:p>
            <w:pPr>
              <w:ind w:left="320"/>
              <w:spacing w:after="0"/>
              <w:rPr>
                <w:sz w:val="20"/>
                <w:szCs w:val="20"/>
                <w:color w:val="auto"/>
              </w:rPr>
            </w:pPr>
            <w:r>
              <w:rPr>
                <w:rFonts w:ascii="Arial" w:cs="Arial" w:eastAsia="Arial" w:hAnsi="Arial"/>
                <w:sz w:val="13"/>
                <w:szCs w:val="13"/>
                <w:color w:val="auto"/>
              </w:rPr>
              <w:t>Other assets</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1,995</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1,995</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320"/>
              <w:spacing w:after="0"/>
              <w:rPr>
                <w:sz w:val="20"/>
                <w:szCs w:val="20"/>
                <w:color w:val="auto"/>
              </w:rPr>
            </w:pPr>
            <w:r>
              <w:rPr>
                <w:rFonts w:ascii="Arial" w:cs="Arial" w:eastAsia="Arial" w:hAnsi="Arial"/>
                <w:sz w:val="13"/>
                <w:szCs w:val="13"/>
                <w:color w:val="auto"/>
              </w:rPr>
              <w:t>Non-current assets held for sale</w:t>
            </w:r>
          </w:p>
        </w:tc>
        <w:tc>
          <w:tcPr>
            <w:tcW w:w="100" w:type="dxa"/>
            <w:vAlign w:val="bottom"/>
          </w:tcPr>
          <w:p>
            <w:pPr>
              <w:spacing w:after="0"/>
              <w:rPr>
                <w:sz w:val="16"/>
                <w:szCs w:val="16"/>
                <w:color w:val="auto"/>
              </w:rPr>
            </w:pPr>
          </w:p>
        </w:tc>
        <w:tc>
          <w:tcPr>
            <w:tcW w:w="1500" w:type="dxa"/>
            <w:vAlign w:val="bottom"/>
            <w:gridSpan w:val="2"/>
          </w:tcPr>
          <w:p>
            <w:pPr>
              <w:jc w:val="right"/>
              <w:ind w:right="34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2,627,333</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07"/>
        </w:trPr>
        <w:tc>
          <w:tcPr>
            <w:tcW w:w="8360" w:type="dxa"/>
            <w:vAlign w:val="bottom"/>
            <w:tcBorders>
              <w:bottom w:val="single" w:sz="8" w:color="CCEEFF"/>
            </w:tcBorders>
            <w:shd w:val="clear" w:color="auto" w:fill="CCEEFF"/>
          </w:tcPr>
          <w:p>
            <w:pPr>
              <w:ind w:left="1200"/>
              <w:spacing w:after="0"/>
              <w:rPr>
                <w:sz w:val="20"/>
                <w:szCs w:val="20"/>
                <w:color w:val="auto"/>
              </w:rPr>
            </w:pPr>
            <w:r>
              <w:rPr>
                <w:rFonts w:ascii="Arial" w:cs="Arial" w:eastAsia="Arial" w:hAnsi="Arial"/>
                <w:sz w:val="13"/>
                <w:szCs w:val="13"/>
                <w:b w:val="1"/>
                <w:bCs w:val="1"/>
                <w:color w:val="auto"/>
              </w:rPr>
              <w:t>Total assets</w:t>
            </w:r>
          </w:p>
        </w:tc>
        <w:tc>
          <w:tcPr>
            <w:tcW w:w="1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73,794,579</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66,222,636</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8360" w:type="dxa"/>
            <w:vAlign w:val="bottom"/>
            <w:tcBorders>
              <w:top w:val="single" w:sz="8" w:color="CCEEFF"/>
              <w:bottom w:val="single" w:sz="8" w:color="CCEEFF"/>
            </w:tcBorders>
            <w:vMerge w:val="restart"/>
          </w:tcPr>
          <w:p>
            <w:pPr>
              <w:ind w:left="3180"/>
              <w:spacing w:after="0"/>
              <w:rPr>
                <w:sz w:val="20"/>
                <w:szCs w:val="20"/>
                <w:color w:val="auto"/>
              </w:rPr>
            </w:pPr>
            <w:r>
              <w:rPr>
                <w:rFonts w:ascii="Arial" w:cs="Arial" w:eastAsia="Arial" w:hAnsi="Arial"/>
                <w:sz w:val="13"/>
                <w:szCs w:val="13"/>
                <w:b w:val="1"/>
                <w:bCs w:val="1"/>
                <w:color w:val="auto"/>
              </w:rPr>
              <w:t>Liabilities and stockholders’ equity</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12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2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5"/>
        </w:trPr>
        <w:tc>
          <w:tcPr>
            <w:tcW w:w="8360" w:type="dxa"/>
            <w:vAlign w:val="bottom"/>
            <w:vMerge w:val="continue"/>
          </w:tcPr>
          <w:p>
            <w:pPr>
              <w:spacing w:after="0"/>
              <w:rPr>
                <w:sz w:val="11"/>
                <w:szCs w:val="11"/>
                <w:color w:val="auto"/>
              </w:rPr>
            </w:pPr>
          </w:p>
        </w:tc>
        <w:tc>
          <w:tcPr>
            <w:tcW w:w="100" w:type="dxa"/>
            <w:vAlign w:val="bottom"/>
          </w:tcPr>
          <w:p>
            <w:pPr>
              <w:spacing w:after="0"/>
              <w:rPr>
                <w:sz w:val="11"/>
                <w:szCs w:val="11"/>
                <w:color w:val="auto"/>
              </w:rPr>
            </w:pPr>
          </w:p>
        </w:tc>
        <w:tc>
          <w:tcPr>
            <w:tcW w:w="12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60"/>
        </w:trPr>
        <w:tc>
          <w:tcPr>
            <w:tcW w:w="83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2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2"/>
        </w:trPr>
        <w:tc>
          <w:tcPr>
            <w:tcW w:w="8360" w:type="dxa"/>
            <w:vAlign w:val="bottom"/>
            <w:tcBorders>
              <w:bottom w:val="single" w:sz="8" w:color="CCEEFF"/>
            </w:tcBorders>
            <w:shd w:val="clear" w:color="auto" w:fill="CCEEFF"/>
          </w:tcPr>
          <w:p>
            <w:pPr>
              <w:ind w:left="320"/>
              <w:spacing w:after="0"/>
              <w:rPr>
                <w:sz w:val="20"/>
                <w:szCs w:val="20"/>
                <w:color w:val="auto"/>
              </w:rPr>
            </w:pPr>
            <w:r>
              <w:rPr>
                <w:rFonts w:ascii="Arial" w:cs="Arial" w:eastAsia="Arial" w:hAnsi="Arial"/>
                <w:sz w:val="13"/>
                <w:szCs w:val="13"/>
                <w:color w:val="auto"/>
              </w:rPr>
              <w:t>Liabilities:</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84"/>
        </w:trPr>
        <w:tc>
          <w:tcPr>
            <w:tcW w:w="8360" w:type="dxa"/>
            <w:vAlign w:val="bottom"/>
          </w:tcPr>
          <w:p>
            <w:pPr>
              <w:ind w:left="320"/>
              <w:spacing w:after="0"/>
              <w:rPr>
                <w:sz w:val="20"/>
                <w:szCs w:val="20"/>
                <w:color w:val="auto"/>
              </w:rPr>
            </w:pPr>
            <w:r>
              <w:rPr>
                <w:rFonts w:ascii="Arial" w:cs="Arial" w:eastAsia="Arial" w:hAnsi="Arial"/>
                <w:sz w:val="13"/>
                <w:szCs w:val="13"/>
                <w:color w:val="auto"/>
              </w:rPr>
              <w:t>Current liabilities:</w:t>
            </w:r>
          </w:p>
        </w:tc>
        <w:tc>
          <w:tcPr>
            <w:tcW w:w="1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8"/>
        </w:trPr>
        <w:tc>
          <w:tcPr>
            <w:tcW w:w="83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80" w:type="dxa"/>
            <w:vAlign w:val="bottom"/>
          </w:tcPr>
          <w:p>
            <w:pPr>
              <w:spacing w:after="0"/>
              <w:rPr>
                <w:sz w:val="3"/>
                <w:szCs w:val="3"/>
                <w:color w:val="auto"/>
              </w:rPr>
            </w:pPr>
          </w:p>
        </w:tc>
        <w:tc>
          <w:tcPr>
            <w:tcW w:w="2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02"/>
        </w:trPr>
        <w:tc>
          <w:tcPr>
            <w:tcW w:w="8360" w:type="dxa"/>
            <w:vAlign w:val="bottom"/>
            <w:tcBorders>
              <w:bottom w:val="single" w:sz="8" w:color="CCEEFF"/>
            </w:tcBorders>
            <w:shd w:val="clear" w:color="auto" w:fill="CCEEFF"/>
          </w:tcPr>
          <w:p>
            <w:pPr>
              <w:ind w:left="580"/>
              <w:spacing w:after="0"/>
              <w:rPr>
                <w:sz w:val="20"/>
                <w:szCs w:val="20"/>
                <w:color w:val="auto"/>
              </w:rPr>
            </w:pPr>
            <w:r>
              <w:rPr>
                <w:rFonts w:ascii="Arial" w:cs="Arial" w:eastAsia="Arial" w:hAnsi="Arial"/>
                <w:sz w:val="13"/>
                <w:szCs w:val="13"/>
                <w:color w:val="auto"/>
              </w:rPr>
              <w:t>Current portion of long-term debt obligations</w:t>
            </w:r>
          </w:p>
        </w:tc>
        <w:tc>
          <w:tcPr>
            <w:tcW w:w="1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1,073,571</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1,833,333</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rPr>
              <w:t>Current portion of capital lease obligations</w:t>
            </w:r>
          </w:p>
        </w:tc>
        <w:tc>
          <w:tcPr>
            <w:tcW w:w="100" w:type="dxa"/>
            <w:vAlign w:val="bottom"/>
          </w:tcPr>
          <w:p>
            <w:pPr>
              <w:spacing w:after="0"/>
              <w:rPr>
                <w:sz w:val="16"/>
                <w:szCs w:val="16"/>
                <w:color w:val="auto"/>
              </w:rPr>
            </w:pPr>
          </w:p>
        </w:tc>
        <w:tc>
          <w:tcPr>
            <w:tcW w:w="1280" w:type="dxa"/>
            <w:vAlign w:val="bottom"/>
          </w:tcPr>
          <w:p>
            <w:pPr>
              <w:jc w:val="right"/>
              <w:ind w:right="53"/>
              <w:spacing w:after="0"/>
              <w:rPr>
                <w:sz w:val="20"/>
                <w:szCs w:val="20"/>
                <w:color w:val="auto"/>
              </w:rPr>
            </w:pPr>
            <w:r>
              <w:rPr>
                <w:rFonts w:ascii="Arial" w:cs="Arial" w:eastAsia="Arial" w:hAnsi="Arial"/>
                <w:sz w:val="13"/>
                <w:szCs w:val="13"/>
                <w:color w:val="auto"/>
              </w:rPr>
              <w:t>39,748</w:t>
            </w: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43,665</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2"/>
        </w:trPr>
        <w:tc>
          <w:tcPr>
            <w:tcW w:w="8360" w:type="dxa"/>
            <w:vAlign w:val="bottom"/>
            <w:tcBorders>
              <w:bottom w:val="single" w:sz="8" w:color="CCEEFF"/>
            </w:tcBorders>
            <w:shd w:val="clear" w:color="auto" w:fill="CCEEFF"/>
          </w:tcPr>
          <w:p>
            <w:pPr>
              <w:ind w:left="580"/>
              <w:spacing w:after="0"/>
              <w:rPr>
                <w:sz w:val="20"/>
                <w:szCs w:val="20"/>
                <w:color w:val="auto"/>
              </w:rPr>
            </w:pPr>
            <w:r>
              <w:rPr>
                <w:rFonts w:ascii="Arial" w:cs="Arial" w:eastAsia="Arial" w:hAnsi="Arial"/>
                <w:sz w:val="13"/>
                <w:szCs w:val="13"/>
                <w:color w:val="auto"/>
              </w:rPr>
              <w:t>Accounts payable</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2,297,457</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2,111,077</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rPr>
              <w:t>Accrued liabilities</w:t>
            </w:r>
          </w:p>
        </w:tc>
        <w:tc>
          <w:tcPr>
            <w:tcW w:w="100" w:type="dxa"/>
            <w:vAlign w:val="bottom"/>
          </w:tcPr>
          <w:p>
            <w:pPr>
              <w:spacing w:after="0"/>
              <w:rPr>
                <w:sz w:val="16"/>
                <w:szCs w:val="16"/>
                <w:color w:val="auto"/>
              </w:rPr>
            </w:pPr>
          </w:p>
        </w:tc>
        <w:tc>
          <w:tcPr>
            <w:tcW w:w="1280" w:type="dxa"/>
            <w:vAlign w:val="bottom"/>
          </w:tcPr>
          <w:p>
            <w:pPr>
              <w:jc w:val="right"/>
              <w:ind w:right="53"/>
              <w:spacing w:after="0"/>
              <w:rPr>
                <w:sz w:val="20"/>
                <w:szCs w:val="20"/>
                <w:color w:val="auto"/>
              </w:rPr>
            </w:pPr>
            <w:r>
              <w:rPr>
                <w:rFonts w:ascii="Arial" w:cs="Arial" w:eastAsia="Arial" w:hAnsi="Arial"/>
                <w:sz w:val="13"/>
                <w:szCs w:val="13"/>
                <w:color w:val="auto"/>
              </w:rPr>
              <w:t>6,589,310</w:t>
            </w: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6,547,230</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2"/>
        </w:trPr>
        <w:tc>
          <w:tcPr>
            <w:tcW w:w="8360" w:type="dxa"/>
            <w:vAlign w:val="bottom"/>
            <w:tcBorders>
              <w:bottom w:val="single" w:sz="8" w:color="CCEEFF"/>
            </w:tcBorders>
            <w:shd w:val="clear" w:color="auto" w:fill="CCEEFF"/>
          </w:tcPr>
          <w:p>
            <w:pPr>
              <w:ind w:left="580"/>
              <w:spacing w:after="0"/>
              <w:rPr>
                <w:sz w:val="20"/>
                <w:szCs w:val="20"/>
                <w:color w:val="auto"/>
              </w:rPr>
            </w:pPr>
            <w:r>
              <w:rPr>
                <w:rFonts w:ascii="Arial" w:cs="Arial" w:eastAsia="Arial" w:hAnsi="Arial"/>
                <w:sz w:val="13"/>
                <w:szCs w:val="13"/>
                <w:color w:val="auto"/>
              </w:rPr>
              <w:t>Contract liabilities</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1,548,371</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3,318,379</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rPr>
              <w:t>Current liabilities held for sale</w:t>
            </w:r>
          </w:p>
        </w:tc>
        <w:tc>
          <w:tcPr>
            <w:tcW w:w="100" w:type="dxa"/>
            <w:vAlign w:val="bottom"/>
          </w:tcPr>
          <w:p>
            <w:pPr>
              <w:spacing w:after="0"/>
              <w:rPr>
                <w:sz w:val="16"/>
                <w:szCs w:val="16"/>
                <w:color w:val="auto"/>
              </w:rPr>
            </w:pPr>
          </w:p>
        </w:tc>
        <w:tc>
          <w:tcPr>
            <w:tcW w:w="1500" w:type="dxa"/>
            <w:vAlign w:val="bottom"/>
            <w:gridSpan w:val="2"/>
          </w:tcPr>
          <w:p>
            <w:pPr>
              <w:jc w:val="right"/>
              <w:ind w:right="34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972,451</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82"/>
        </w:trPr>
        <w:tc>
          <w:tcPr>
            <w:tcW w:w="8360" w:type="dxa"/>
            <w:vAlign w:val="bottom"/>
            <w:tcBorders>
              <w:bottom w:val="single" w:sz="8" w:color="CCEEFF"/>
            </w:tcBorders>
            <w:shd w:val="clear" w:color="auto" w:fill="CCEEFF"/>
          </w:tcPr>
          <w:p>
            <w:pPr>
              <w:ind w:left="940"/>
              <w:spacing w:after="0"/>
              <w:rPr>
                <w:sz w:val="20"/>
                <w:szCs w:val="20"/>
                <w:color w:val="auto"/>
              </w:rPr>
            </w:pPr>
            <w:r>
              <w:rPr>
                <w:rFonts w:ascii="Arial" w:cs="Arial" w:eastAsia="Arial" w:hAnsi="Arial"/>
                <w:sz w:val="13"/>
                <w:szCs w:val="13"/>
                <w:color w:val="auto"/>
              </w:rPr>
              <w:t>Total current liabilities</w:t>
            </w:r>
          </w:p>
        </w:tc>
        <w:tc>
          <w:tcPr>
            <w:tcW w:w="100" w:type="dxa"/>
            <w:vAlign w:val="bottom"/>
            <w:tcBorders>
              <w:bottom w:val="single" w:sz="8" w:color="CCEEFF"/>
            </w:tcBorders>
            <w:shd w:val="clear" w:color="auto" w:fill="CCEEFF"/>
          </w:tcPr>
          <w:p>
            <w:pPr>
              <w:spacing w:after="0"/>
              <w:rPr>
                <w:sz w:val="15"/>
                <w:szCs w:val="15"/>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11,548,457</w:t>
            </w:r>
          </w:p>
        </w:tc>
        <w:tc>
          <w:tcPr>
            <w:tcW w:w="22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14,826,135</w:t>
            </w:r>
          </w:p>
        </w:tc>
        <w:tc>
          <w:tcPr>
            <w:tcW w:w="100" w:type="dxa"/>
            <w:vAlign w:val="bottom"/>
            <w:tcBorders>
              <w:bottom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rPr>
              <w:t>Long-term deferred rent</w:t>
            </w:r>
          </w:p>
        </w:tc>
        <w:tc>
          <w:tcPr>
            <w:tcW w:w="100" w:type="dxa"/>
            <w:vAlign w:val="bottom"/>
          </w:tcPr>
          <w:p>
            <w:pPr>
              <w:spacing w:after="0"/>
              <w:rPr>
                <w:sz w:val="16"/>
                <w:szCs w:val="16"/>
                <w:color w:val="auto"/>
              </w:rPr>
            </w:pPr>
          </w:p>
        </w:tc>
        <w:tc>
          <w:tcPr>
            <w:tcW w:w="1280" w:type="dxa"/>
            <w:vAlign w:val="bottom"/>
          </w:tcPr>
          <w:p>
            <w:pPr>
              <w:jc w:val="right"/>
              <w:ind w:right="53"/>
              <w:spacing w:after="0"/>
              <w:rPr>
                <w:sz w:val="20"/>
                <w:szCs w:val="20"/>
                <w:color w:val="auto"/>
              </w:rPr>
            </w:pPr>
            <w:r>
              <w:rPr>
                <w:rFonts w:ascii="Arial" w:cs="Arial" w:eastAsia="Arial" w:hAnsi="Arial"/>
                <w:sz w:val="13"/>
                <w:szCs w:val="13"/>
                <w:color w:val="auto"/>
              </w:rPr>
              <w:t>1,072,696</w:t>
            </w: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1,184,438</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2"/>
        </w:trPr>
        <w:tc>
          <w:tcPr>
            <w:tcW w:w="8360" w:type="dxa"/>
            <w:vAlign w:val="bottom"/>
            <w:tcBorders>
              <w:bottom w:val="single" w:sz="8" w:color="CCEEFF"/>
            </w:tcBorders>
            <w:shd w:val="clear" w:color="auto" w:fill="CCEEFF"/>
          </w:tcPr>
          <w:p>
            <w:pPr>
              <w:ind w:left="580"/>
              <w:spacing w:after="0"/>
              <w:rPr>
                <w:sz w:val="20"/>
                <w:szCs w:val="20"/>
                <w:color w:val="auto"/>
              </w:rPr>
            </w:pPr>
            <w:r>
              <w:rPr>
                <w:rFonts w:ascii="Arial" w:cs="Arial" w:eastAsia="Arial" w:hAnsi="Arial"/>
                <w:sz w:val="13"/>
                <w:szCs w:val="13"/>
                <w:color w:val="auto"/>
              </w:rPr>
              <w:t>Long-term debt obligations</w:t>
            </w:r>
          </w:p>
        </w:tc>
        <w:tc>
          <w:tcPr>
            <w:tcW w:w="100" w:type="dxa"/>
            <w:vAlign w:val="bottom"/>
            <w:tcBorders>
              <w:bottom w:val="single" w:sz="8" w:color="CCEEFF"/>
            </w:tcBorders>
            <w:shd w:val="clear" w:color="auto" w:fill="CCEEFF"/>
          </w:tcPr>
          <w:p>
            <w:pPr>
              <w:spacing w:after="0"/>
              <w:rPr>
                <w:sz w:val="17"/>
                <w:szCs w:val="17"/>
                <w:color w:val="auto"/>
              </w:rPr>
            </w:pPr>
          </w:p>
        </w:tc>
        <w:tc>
          <w:tcPr>
            <w:tcW w:w="1500" w:type="dxa"/>
            <w:vAlign w:val="bottom"/>
            <w:tcBorders>
              <w:bottom w:val="single" w:sz="8" w:color="CCEEFF"/>
            </w:tcBorders>
            <w:gridSpan w:val="2"/>
            <w:shd w:val="clear" w:color="auto" w:fill="CCEEFF"/>
          </w:tcPr>
          <w:p>
            <w:pPr>
              <w:jc w:val="right"/>
              <w:ind w:right="340"/>
              <w:spacing w:after="0"/>
              <w:rPr>
                <w:sz w:val="20"/>
                <w:szCs w:val="20"/>
                <w:color w:val="auto"/>
              </w:rPr>
            </w:pPr>
            <w:r>
              <w:rPr>
                <w:rFonts w:ascii="Arial" w:cs="Arial" w:eastAsia="Arial" w:hAnsi="Arial"/>
                <w:sz w:val="13"/>
                <w:szCs w:val="13"/>
                <w:color w:val="auto"/>
              </w:rPr>
              <w:t>—</w:t>
            </w: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603,007</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rPr>
              <w:t>Long-term capital lease obligations</w:t>
            </w:r>
          </w:p>
        </w:tc>
        <w:tc>
          <w:tcPr>
            <w:tcW w:w="100" w:type="dxa"/>
            <w:vAlign w:val="bottom"/>
          </w:tcPr>
          <w:p>
            <w:pPr>
              <w:spacing w:after="0"/>
              <w:rPr>
                <w:sz w:val="16"/>
                <w:szCs w:val="16"/>
                <w:color w:val="auto"/>
              </w:rPr>
            </w:pPr>
          </w:p>
        </w:tc>
        <w:tc>
          <w:tcPr>
            <w:tcW w:w="1280" w:type="dxa"/>
            <w:vAlign w:val="bottom"/>
          </w:tcPr>
          <w:p>
            <w:pPr>
              <w:jc w:val="right"/>
              <w:ind w:right="53"/>
              <w:spacing w:after="0"/>
              <w:rPr>
                <w:sz w:val="20"/>
                <w:szCs w:val="20"/>
                <w:color w:val="auto"/>
              </w:rPr>
            </w:pPr>
            <w:r>
              <w:rPr>
                <w:rFonts w:ascii="Arial" w:cs="Arial" w:eastAsia="Arial" w:hAnsi="Arial"/>
                <w:sz w:val="13"/>
                <w:szCs w:val="13"/>
                <w:color w:val="auto"/>
              </w:rPr>
              <w:t>83,405</w:t>
            </w: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71,275</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02"/>
        </w:trPr>
        <w:tc>
          <w:tcPr>
            <w:tcW w:w="8360" w:type="dxa"/>
            <w:vAlign w:val="bottom"/>
            <w:tcBorders>
              <w:bottom w:val="single" w:sz="8" w:color="CCEEFF"/>
            </w:tcBorders>
            <w:shd w:val="clear" w:color="auto" w:fill="CCEEFF"/>
          </w:tcPr>
          <w:p>
            <w:pPr>
              <w:ind w:left="1200"/>
              <w:spacing w:after="0"/>
              <w:rPr>
                <w:sz w:val="20"/>
                <w:szCs w:val="20"/>
                <w:color w:val="auto"/>
              </w:rPr>
            </w:pPr>
            <w:r>
              <w:rPr>
                <w:rFonts w:ascii="Arial" w:cs="Arial" w:eastAsia="Arial" w:hAnsi="Arial"/>
                <w:sz w:val="13"/>
                <w:szCs w:val="13"/>
                <w:b w:val="1"/>
                <w:bCs w:val="1"/>
                <w:color w:val="auto"/>
              </w:rPr>
              <w:t>Total liabilities</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12,704,558</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16,684,855</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64"/>
        </w:trPr>
        <w:tc>
          <w:tcPr>
            <w:tcW w:w="8360" w:type="dxa"/>
            <w:vAlign w:val="bottom"/>
          </w:tcPr>
          <w:p>
            <w:pPr>
              <w:ind w:left="320"/>
              <w:spacing w:after="0"/>
              <w:rPr>
                <w:sz w:val="20"/>
                <w:szCs w:val="20"/>
                <w:color w:val="auto"/>
              </w:rPr>
            </w:pPr>
            <w:r>
              <w:rPr>
                <w:rFonts w:ascii="Arial" w:cs="Arial" w:eastAsia="Arial" w:hAnsi="Arial"/>
                <w:sz w:val="13"/>
                <w:szCs w:val="13"/>
                <w:color w:val="auto"/>
              </w:rPr>
              <w:t>Commitments and contingencies</w:t>
            </w:r>
          </w:p>
        </w:tc>
        <w:tc>
          <w:tcPr>
            <w:tcW w:w="100" w:type="dxa"/>
            <w:vAlign w:val="bottom"/>
            <w:tcBorders>
              <w:top w:val="single" w:sz="8" w:color="auto"/>
            </w:tcBorders>
          </w:tcPr>
          <w:p>
            <w:pPr>
              <w:spacing w:after="0"/>
              <w:rPr>
                <w:sz w:val="14"/>
                <w:szCs w:val="14"/>
                <w:color w:val="auto"/>
              </w:rPr>
            </w:pPr>
          </w:p>
        </w:tc>
        <w:tc>
          <w:tcPr>
            <w:tcW w:w="1280" w:type="dxa"/>
            <w:vAlign w:val="bottom"/>
            <w:tcBorders>
              <w:top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124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9"/>
        </w:trPr>
        <w:tc>
          <w:tcPr>
            <w:tcW w:w="83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80" w:type="dxa"/>
            <w:vAlign w:val="bottom"/>
          </w:tcPr>
          <w:p>
            <w:pPr>
              <w:spacing w:after="0"/>
              <w:rPr>
                <w:sz w:val="4"/>
                <w:szCs w:val="4"/>
                <w:color w:val="auto"/>
              </w:rPr>
            </w:pPr>
          </w:p>
        </w:tc>
        <w:tc>
          <w:tcPr>
            <w:tcW w:w="220" w:type="dxa"/>
            <w:vAlign w:val="bottom"/>
          </w:tcPr>
          <w:p>
            <w:pPr>
              <w:spacing w:after="0"/>
              <w:rPr>
                <w:sz w:val="4"/>
                <w:szCs w:val="4"/>
                <w:color w:val="auto"/>
              </w:rPr>
            </w:pPr>
          </w:p>
        </w:tc>
        <w:tc>
          <w:tcPr>
            <w:tcW w:w="120" w:type="dxa"/>
            <w:vAlign w:val="bottom"/>
          </w:tcPr>
          <w:p>
            <w:pPr>
              <w:spacing w:after="0"/>
              <w:rPr>
                <w:sz w:val="4"/>
                <w:szCs w:val="4"/>
                <w:color w:val="auto"/>
              </w:rPr>
            </w:pPr>
          </w:p>
        </w:tc>
        <w:tc>
          <w:tcPr>
            <w:tcW w:w="12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2"/>
        </w:trPr>
        <w:tc>
          <w:tcPr>
            <w:tcW w:w="8360" w:type="dxa"/>
            <w:vAlign w:val="bottom"/>
            <w:tcBorders>
              <w:bottom w:val="single" w:sz="8" w:color="CCEEFF"/>
            </w:tcBorders>
            <w:shd w:val="clear" w:color="auto" w:fill="CCEEFF"/>
          </w:tcPr>
          <w:p>
            <w:pPr>
              <w:ind w:left="320"/>
              <w:spacing w:after="0"/>
              <w:rPr>
                <w:sz w:val="20"/>
                <w:szCs w:val="20"/>
                <w:color w:val="auto"/>
              </w:rPr>
            </w:pPr>
            <w:r>
              <w:rPr>
                <w:rFonts w:ascii="Arial" w:cs="Arial" w:eastAsia="Arial" w:hAnsi="Arial"/>
                <w:sz w:val="13"/>
                <w:szCs w:val="13"/>
                <w:color w:val="auto"/>
              </w:rPr>
              <w:t>Stockholders’ equity:</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w w:val="98"/>
              </w:rPr>
              <w:t>Preferred stock, par value $0.001, 1,321,514 shares authorized, issued and outstanding at September 30, 2018 and December 31, 2017</w:t>
            </w:r>
          </w:p>
        </w:tc>
        <w:tc>
          <w:tcPr>
            <w:tcW w:w="100" w:type="dxa"/>
            <w:vAlign w:val="bottom"/>
          </w:tcPr>
          <w:p>
            <w:pPr>
              <w:spacing w:after="0"/>
              <w:rPr>
                <w:sz w:val="16"/>
                <w:szCs w:val="16"/>
                <w:color w:val="auto"/>
              </w:rPr>
            </w:pPr>
          </w:p>
        </w:tc>
        <w:tc>
          <w:tcPr>
            <w:tcW w:w="1280" w:type="dxa"/>
            <w:vAlign w:val="bottom"/>
          </w:tcPr>
          <w:p>
            <w:pPr>
              <w:jc w:val="right"/>
              <w:ind w:right="53"/>
              <w:spacing w:after="0"/>
              <w:rPr>
                <w:sz w:val="20"/>
                <w:szCs w:val="20"/>
                <w:color w:val="auto"/>
              </w:rPr>
            </w:pPr>
            <w:r>
              <w:rPr>
                <w:rFonts w:ascii="Arial" w:cs="Arial" w:eastAsia="Arial" w:hAnsi="Arial"/>
                <w:sz w:val="13"/>
                <w:szCs w:val="13"/>
                <w:color w:val="auto"/>
              </w:rPr>
              <w:t>1,322</w:t>
            </w: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jc w:val="right"/>
              <w:ind w:right="53"/>
              <w:spacing w:after="0"/>
              <w:rPr>
                <w:sz w:val="20"/>
                <w:szCs w:val="20"/>
                <w:color w:val="auto"/>
              </w:rPr>
            </w:pPr>
            <w:r>
              <w:rPr>
                <w:rFonts w:ascii="Arial" w:cs="Arial" w:eastAsia="Arial" w:hAnsi="Arial"/>
                <w:sz w:val="13"/>
                <w:szCs w:val="13"/>
                <w:color w:val="auto"/>
              </w:rPr>
              <w:t>1,322</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2"/>
        </w:trPr>
        <w:tc>
          <w:tcPr>
            <w:tcW w:w="8360" w:type="dxa"/>
            <w:vAlign w:val="bottom"/>
            <w:shd w:val="clear" w:color="auto" w:fill="CCEEFF"/>
          </w:tcPr>
          <w:p>
            <w:pPr>
              <w:ind w:left="580"/>
              <w:spacing w:after="0"/>
              <w:rPr>
                <w:sz w:val="20"/>
                <w:szCs w:val="20"/>
                <w:color w:val="auto"/>
              </w:rPr>
            </w:pPr>
            <w:r>
              <w:rPr>
                <w:rFonts w:ascii="Arial" w:cs="Arial" w:eastAsia="Arial" w:hAnsi="Arial"/>
                <w:sz w:val="13"/>
                <w:szCs w:val="13"/>
                <w:color w:val="auto"/>
                <w:w w:val="92"/>
              </w:rPr>
              <w:t>Common stock, par value $0.001, 100,000,000 shares authorized, 29,189,506 and 28,354,822 shares issued, 27,936,401 and 27,283,918 shares</w:t>
            </w:r>
          </w:p>
        </w:tc>
        <w:tc>
          <w:tcPr>
            <w:tcW w:w="100" w:type="dxa"/>
            <w:vAlign w:val="bottom"/>
            <w:shd w:val="clear" w:color="auto" w:fill="CCEEFF"/>
          </w:tcPr>
          <w:p>
            <w:pPr>
              <w:spacing w:after="0"/>
              <w:rPr>
                <w:sz w:val="15"/>
                <w:szCs w:val="15"/>
                <w:color w:val="auto"/>
              </w:rPr>
            </w:pPr>
          </w:p>
        </w:tc>
        <w:tc>
          <w:tcPr>
            <w:tcW w:w="128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2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5"/>
        </w:trPr>
        <w:tc>
          <w:tcPr>
            <w:tcW w:w="8360" w:type="dxa"/>
            <w:vAlign w:val="bottom"/>
            <w:tcBorders>
              <w:bottom w:val="single" w:sz="8" w:color="CCEEFF"/>
            </w:tcBorders>
            <w:shd w:val="clear" w:color="auto" w:fill="CCEEFF"/>
          </w:tcPr>
          <w:p>
            <w:pPr>
              <w:ind w:left="580"/>
              <w:spacing w:after="0"/>
              <w:rPr>
                <w:sz w:val="20"/>
                <w:szCs w:val="20"/>
                <w:color w:val="auto"/>
              </w:rPr>
            </w:pPr>
            <w:r>
              <w:rPr>
                <w:rFonts w:ascii="Arial" w:cs="Arial" w:eastAsia="Arial" w:hAnsi="Arial"/>
                <w:sz w:val="13"/>
                <w:szCs w:val="13"/>
                <w:color w:val="auto"/>
              </w:rPr>
              <w:t>outstanding at September 30, 2018 and December 31, 2017</w:t>
            </w:r>
          </w:p>
        </w:tc>
        <w:tc>
          <w:tcPr>
            <w:tcW w:w="100" w:type="dxa"/>
            <w:vAlign w:val="bottom"/>
            <w:tcBorders>
              <w:bottom w:val="single" w:sz="8" w:color="CCEEFF"/>
            </w:tcBorders>
            <w:shd w:val="clear" w:color="auto" w:fill="CCEEFF"/>
          </w:tcPr>
          <w:p>
            <w:pPr>
              <w:spacing w:after="0"/>
              <w:rPr>
                <w:sz w:val="15"/>
                <w:szCs w:val="15"/>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30,081</w:t>
            </w:r>
          </w:p>
        </w:tc>
        <w:tc>
          <w:tcPr>
            <w:tcW w:w="22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29,186</w:t>
            </w:r>
          </w:p>
        </w:tc>
        <w:tc>
          <w:tcPr>
            <w:tcW w:w="100" w:type="dxa"/>
            <w:vAlign w:val="bottom"/>
            <w:tcBorders>
              <w:bottom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rPr>
              <w:t>Treasury stock at cost, 1,253,105 and 1,070,904 shares at September 30, 2018 and December 31, 2017</w:t>
            </w:r>
          </w:p>
        </w:tc>
        <w:tc>
          <w:tcPr>
            <w:tcW w:w="100" w:type="dxa"/>
            <w:vAlign w:val="bottom"/>
          </w:tcPr>
          <w:p>
            <w:pPr>
              <w:spacing w:after="0"/>
              <w:rPr>
                <w:sz w:val="16"/>
                <w:szCs w:val="16"/>
                <w:color w:val="auto"/>
              </w:rPr>
            </w:pPr>
          </w:p>
        </w:tc>
        <w:tc>
          <w:tcPr>
            <w:tcW w:w="1280" w:type="dxa"/>
            <w:vAlign w:val="bottom"/>
          </w:tcPr>
          <w:p>
            <w:pPr>
              <w:jc w:val="right"/>
              <w:ind w:right="13"/>
              <w:spacing w:after="0"/>
              <w:rPr>
                <w:sz w:val="20"/>
                <w:szCs w:val="20"/>
                <w:color w:val="auto"/>
              </w:rPr>
            </w:pPr>
            <w:r>
              <w:rPr>
                <w:rFonts w:ascii="Arial" w:cs="Arial" w:eastAsia="Arial" w:hAnsi="Arial"/>
                <w:sz w:val="13"/>
                <w:szCs w:val="13"/>
                <w:color w:val="auto"/>
              </w:rPr>
              <w:t>(2,116,640)</w:t>
            </w: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jc w:val="right"/>
              <w:ind w:right="13"/>
              <w:spacing w:after="0"/>
              <w:rPr>
                <w:sz w:val="20"/>
                <w:szCs w:val="20"/>
                <w:color w:val="auto"/>
              </w:rPr>
            </w:pPr>
            <w:r>
              <w:rPr>
                <w:rFonts w:ascii="Arial" w:cs="Arial" w:eastAsia="Arial" w:hAnsi="Arial"/>
                <w:sz w:val="13"/>
                <w:szCs w:val="13"/>
                <w:color w:val="auto"/>
              </w:rPr>
              <w:t>(1,649,746)</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2"/>
        </w:trPr>
        <w:tc>
          <w:tcPr>
            <w:tcW w:w="8360" w:type="dxa"/>
            <w:vAlign w:val="bottom"/>
            <w:tcBorders>
              <w:bottom w:val="single" w:sz="8" w:color="CCEEFF"/>
            </w:tcBorders>
            <w:shd w:val="clear" w:color="auto" w:fill="CCEEFF"/>
          </w:tcPr>
          <w:p>
            <w:pPr>
              <w:ind w:left="580"/>
              <w:spacing w:after="0"/>
              <w:rPr>
                <w:sz w:val="20"/>
                <w:szCs w:val="20"/>
                <w:color w:val="auto"/>
              </w:rPr>
            </w:pPr>
            <w:r>
              <w:rPr>
                <w:rFonts w:ascii="Arial" w:cs="Arial" w:eastAsia="Arial" w:hAnsi="Arial"/>
                <w:sz w:val="13"/>
                <w:szCs w:val="13"/>
                <w:color w:val="auto"/>
              </w:rPr>
              <w:t>Additional paid-in capital</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85,353,909</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83,563,208</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5"/>
        </w:trPr>
        <w:tc>
          <w:tcPr>
            <w:tcW w:w="8360" w:type="dxa"/>
            <w:vAlign w:val="bottom"/>
          </w:tcPr>
          <w:p>
            <w:pPr>
              <w:ind w:left="580"/>
              <w:spacing w:after="0"/>
              <w:rPr>
                <w:sz w:val="20"/>
                <w:szCs w:val="20"/>
                <w:color w:val="auto"/>
              </w:rPr>
            </w:pPr>
            <w:r>
              <w:rPr>
                <w:rFonts w:ascii="Arial" w:cs="Arial" w:eastAsia="Arial" w:hAnsi="Arial"/>
                <w:sz w:val="13"/>
                <w:szCs w:val="13"/>
                <w:color w:val="auto"/>
              </w:rPr>
              <w:t>Accumulated deficit</w:t>
            </w:r>
          </w:p>
        </w:tc>
        <w:tc>
          <w:tcPr>
            <w:tcW w:w="100" w:type="dxa"/>
            <w:vAlign w:val="bottom"/>
          </w:tcPr>
          <w:p>
            <w:pPr>
              <w:spacing w:after="0"/>
              <w:rPr>
                <w:sz w:val="16"/>
                <w:szCs w:val="16"/>
                <w:color w:val="auto"/>
              </w:rPr>
            </w:pPr>
          </w:p>
        </w:tc>
        <w:tc>
          <w:tcPr>
            <w:tcW w:w="1280" w:type="dxa"/>
            <w:vAlign w:val="bottom"/>
          </w:tcPr>
          <w:p>
            <w:pPr>
              <w:jc w:val="right"/>
              <w:ind w:right="13"/>
              <w:spacing w:after="0"/>
              <w:rPr>
                <w:sz w:val="20"/>
                <w:szCs w:val="20"/>
                <w:color w:val="auto"/>
              </w:rPr>
            </w:pPr>
            <w:r>
              <w:rPr>
                <w:rFonts w:ascii="Arial" w:cs="Arial" w:eastAsia="Arial" w:hAnsi="Arial"/>
                <w:sz w:val="13"/>
                <w:szCs w:val="13"/>
                <w:color w:val="auto"/>
              </w:rPr>
              <w:t>(22,178,651)</w:t>
            </w: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jc w:val="right"/>
              <w:ind w:right="13"/>
              <w:spacing w:after="0"/>
              <w:rPr>
                <w:sz w:val="20"/>
                <w:szCs w:val="20"/>
                <w:color w:val="auto"/>
              </w:rPr>
            </w:pPr>
            <w:r>
              <w:rPr>
                <w:rFonts w:ascii="Arial" w:cs="Arial" w:eastAsia="Arial" w:hAnsi="Arial"/>
                <w:sz w:val="13"/>
                <w:szCs w:val="13"/>
                <w:color w:val="auto"/>
              </w:rPr>
              <w:t>(32,406,189)</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
        </w:trPr>
        <w:tc>
          <w:tcPr>
            <w:tcW w:w="83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02"/>
        </w:trPr>
        <w:tc>
          <w:tcPr>
            <w:tcW w:w="8360" w:type="dxa"/>
            <w:vAlign w:val="bottom"/>
            <w:tcBorders>
              <w:bottom w:val="single" w:sz="8" w:color="CCEEFF"/>
            </w:tcBorders>
            <w:shd w:val="clear" w:color="auto" w:fill="CCEEFF"/>
          </w:tcPr>
          <w:p>
            <w:pPr>
              <w:ind w:left="1200"/>
              <w:spacing w:after="0"/>
              <w:rPr>
                <w:sz w:val="20"/>
                <w:szCs w:val="20"/>
                <w:color w:val="auto"/>
              </w:rPr>
            </w:pPr>
            <w:r>
              <w:rPr>
                <w:rFonts w:ascii="Arial" w:cs="Arial" w:eastAsia="Arial" w:hAnsi="Arial"/>
                <w:sz w:val="13"/>
                <w:szCs w:val="13"/>
                <w:b w:val="1"/>
                <w:bCs w:val="1"/>
                <w:color w:val="auto"/>
              </w:rPr>
              <w:t>Total stockholders’ equity</w:t>
            </w:r>
          </w:p>
        </w:tc>
        <w:tc>
          <w:tcPr>
            <w:tcW w:w="100" w:type="dxa"/>
            <w:vAlign w:val="bottom"/>
            <w:tcBorders>
              <w:bottom w:val="single" w:sz="8" w:color="CCEEFF"/>
            </w:tcBorders>
            <w:shd w:val="clear" w:color="auto" w:fill="CCEEFF"/>
          </w:tcPr>
          <w:p>
            <w:pPr>
              <w:spacing w:after="0"/>
              <w:rPr>
                <w:sz w:val="17"/>
                <w:szCs w:val="17"/>
                <w:color w:val="auto"/>
              </w:rPr>
            </w:pPr>
          </w:p>
        </w:tc>
        <w:tc>
          <w:tcPr>
            <w:tcW w:w="12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61,090,021</w:t>
            </w:r>
          </w:p>
        </w:tc>
        <w:tc>
          <w:tcPr>
            <w:tcW w:w="220" w:type="dxa"/>
            <w:vAlign w:val="bottom"/>
            <w:tcBorders>
              <w:bottom w:val="single" w:sz="8" w:color="CCEEFF"/>
            </w:tcBorders>
            <w:shd w:val="clear" w:color="auto" w:fill="CCEEFF"/>
          </w:tcPr>
          <w:p>
            <w:pPr>
              <w:spacing w:after="0"/>
              <w:rPr>
                <w:sz w:val="17"/>
                <w:szCs w:val="17"/>
                <w:color w:val="auto"/>
              </w:rPr>
            </w:pPr>
          </w:p>
        </w:tc>
        <w:tc>
          <w:tcPr>
            <w:tcW w:w="120" w:type="dxa"/>
            <w:vAlign w:val="bottom"/>
            <w:tcBorders>
              <w:bottom w:val="single" w:sz="8" w:color="CCEEFF"/>
            </w:tcBorders>
            <w:shd w:val="clear" w:color="auto" w:fill="CCEEFF"/>
          </w:tcPr>
          <w:p>
            <w:pPr>
              <w:spacing w:after="0"/>
              <w:rPr>
                <w:sz w:val="17"/>
                <w:szCs w:val="17"/>
                <w:color w:val="auto"/>
              </w:rPr>
            </w:pPr>
          </w:p>
        </w:tc>
        <w:tc>
          <w:tcPr>
            <w:tcW w:w="12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49,537,781</w:t>
            </w: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75"/>
        </w:trPr>
        <w:tc>
          <w:tcPr>
            <w:tcW w:w="8360" w:type="dxa"/>
            <w:vAlign w:val="bottom"/>
          </w:tcPr>
          <w:p>
            <w:pPr>
              <w:ind w:left="1820"/>
              <w:spacing w:after="0"/>
              <w:rPr>
                <w:sz w:val="20"/>
                <w:szCs w:val="20"/>
                <w:color w:val="auto"/>
              </w:rPr>
            </w:pPr>
            <w:r>
              <w:rPr>
                <w:rFonts w:ascii="Arial" w:cs="Arial" w:eastAsia="Arial" w:hAnsi="Arial"/>
                <w:sz w:val="13"/>
                <w:szCs w:val="13"/>
                <w:b w:val="1"/>
                <w:bCs w:val="1"/>
                <w:color w:val="auto"/>
              </w:rPr>
              <w:t>Total liabilities and stockholders’ equity</w:t>
            </w:r>
          </w:p>
        </w:tc>
        <w:tc>
          <w:tcPr>
            <w:tcW w:w="100" w:type="dxa"/>
            <w:vAlign w:val="bottom"/>
            <w:tcBorders>
              <w:top w:val="single" w:sz="8" w:color="auto"/>
            </w:tcBorders>
          </w:tcPr>
          <w:p>
            <w:pPr>
              <w:jc w:val="right"/>
              <w:spacing w:after="0"/>
              <w:rPr>
                <w:sz w:val="20"/>
                <w:szCs w:val="20"/>
                <w:color w:val="auto"/>
              </w:rPr>
            </w:pPr>
            <w:r>
              <w:rPr>
                <w:rFonts w:ascii="Arial" w:cs="Arial" w:eastAsia="Arial" w:hAnsi="Arial"/>
                <w:sz w:val="13"/>
                <w:szCs w:val="13"/>
                <w:color w:val="auto"/>
                <w:w w:val="82"/>
              </w:rPr>
              <w:t>$</w:t>
            </w:r>
          </w:p>
        </w:tc>
        <w:tc>
          <w:tcPr>
            <w:tcW w:w="128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73,794,579</w:t>
            </w:r>
          </w:p>
        </w:tc>
        <w:tc>
          <w:tcPr>
            <w:tcW w:w="220" w:type="dxa"/>
            <w:vAlign w:val="bottom"/>
          </w:tcPr>
          <w:p>
            <w:pPr>
              <w:spacing w:after="0"/>
              <w:rPr>
                <w:sz w:val="15"/>
                <w:szCs w:val="15"/>
                <w:color w:val="auto"/>
              </w:rPr>
            </w:pPr>
          </w:p>
        </w:tc>
        <w:tc>
          <w:tcPr>
            <w:tcW w:w="120" w:type="dxa"/>
            <w:vAlign w:val="bottom"/>
            <w:tcBorders>
              <w:top w:val="single" w:sz="8" w:color="auto"/>
            </w:tcBorders>
          </w:tcPr>
          <w:p>
            <w:pPr>
              <w:jc w:val="right"/>
              <w:spacing w:after="0"/>
              <w:rPr>
                <w:sz w:val="20"/>
                <w:szCs w:val="20"/>
                <w:color w:val="auto"/>
              </w:rPr>
            </w:pPr>
            <w:r>
              <w:rPr>
                <w:rFonts w:ascii="Arial" w:cs="Arial" w:eastAsia="Arial" w:hAnsi="Arial"/>
                <w:sz w:val="13"/>
                <w:szCs w:val="13"/>
                <w:color w:val="auto"/>
              </w:rPr>
              <w:t>$</w:t>
            </w:r>
          </w:p>
        </w:tc>
        <w:tc>
          <w:tcPr>
            <w:tcW w:w="124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66,222,636</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7"/>
        </w:trPr>
        <w:tc>
          <w:tcPr>
            <w:tcW w:w="83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83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ectPr>
          <w:pgSz w:w="11900" w:h="16838" w:orient="portrait"/>
          <w:cols w:equalWidth="0" w:num="1">
            <w:col w:w="11420"/>
          </w:cols>
          <w:pgMar w:left="220" w:top="502" w:right="259" w:bottom="1440" w:gutter="0" w:footer="0" w:header="0"/>
        </w:sectPr>
      </w:pPr>
    </w:p>
    <w:bookmarkStart w:id="10" w:name="page11"/>
    <w:bookmarkEnd w:id="10"/>
    <w:p>
      <w:pPr>
        <w:jc w:val="center"/>
        <w:spacing w:after="0"/>
        <w:rPr>
          <w:sz w:val="20"/>
          <w:szCs w:val="20"/>
          <w:color w:val="auto"/>
        </w:rPr>
      </w:pPr>
      <w:r>
        <w:rPr>
          <w:rFonts w:ascii="Arial" w:cs="Arial" w:eastAsia="Arial" w:hAnsi="Arial"/>
          <w:sz w:val="15"/>
          <w:szCs w:val="15"/>
          <w:b w:val="1"/>
          <w:bCs w:val="1"/>
          <w:color w:val="auto"/>
        </w:rPr>
        <w:t>Luna Innovations Incorporated</w:t>
      </w:r>
    </w:p>
    <w:p>
      <w:pPr>
        <w:spacing w:after="0" w:line="19" w:lineRule="exact"/>
        <w:rPr>
          <w:sz w:val="20"/>
          <w:szCs w:val="20"/>
          <w:color w:val="auto"/>
        </w:rPr>
      </w:pPr>
    </w:p>
    <w:p>
      <w:pPr>
        <w:jc w:val="center"/>
        <w:spacing w:after="0"/>
        <w:rPr>
          <w:sz w:val="20"/>
          <w:szCs w:val="20"/>
          <w:color w:val="auto"/>
        </w:rPr>
      </w:pPr>
      <w:r>
        <w:rPr>
          <w:rFonts w:ascii="Arial" w:cs="Arial" w:eastAsia="Arial" w:hAnsi="Arial"/>
          <w:sz w:val="13"/>
          <w:szCs w:val="13"/>
          <w:b w:val="1"/>
          <w:bCs w:val="1"/>
          <w:color w:val="auto"/>
        </w:rPr>
        <w:t>Consolidated Statements of Cash Flows</w:t>
      </w:r>
    </w:p>
    <w:p>
      <w:pPr>
        <w:spacing w:after="0" w:line="306" w:lineRule="exact"/>
        <w:rPr>
          <w:sz w:val="20"/>
          <w:szCs w:val="20"/>
          <w:color w:val="auto"/>
        </w:rPr>
      </w:pPr>
    </w:p>
    <w:p>
      <w:pPr>
        <w:jc w:val="right"/>
        <w:ind w:right="600"/>
        <w:spacing w:after="0"/>
        <w:rPr>
          <w:sz w:val="20"/>
          <w:szCs w:val="20"/>
          <w:color w:val="auto"/>
        </w:rPr>
      </w:pPr>
      <w:r>
        <w:rPr>
          <w:rFonts w:ascii="Arial" w:cs="Arial" w:eastAsia="Arial" w:hAnsi="Arial"/>
          <w:sz w:val="13"/>
          <w:szCs w:val="13"/>
          <w:b w:val="1"/>
          <w:bCs w:val="1"/>
          <w:color w:val="auto"/>
        </w:rPr>
        <w:t>Nine Months Ended September 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5247640</wp:posOffset>
            </wp:positionH>
            <wp:positionV relativeFrom="paragraph">
              <wp:posOffset>31750</wp:posOffset>
            </wp:positionV>
            <wp:extent cx="2028825" cy="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2028825" cy="6985"/>
                    </a:xfrm>
                    <a:prstGeom prst="rect">
                      <a:avLst/>
                    </a:prstGeom>
                    <a:noFill/>
                  </pic:spPr>
                </pic:pic>
              </a:graphicData>
            </a:graphic>
          </wp:anchor>
        </w:drawing>
      </w:r>
    </w:p>
    <w:p>
      <w:pPr>
        <w:sectPr>
          <w:pgSz w:w="11900" w:h="16838" w:orient="portrait"/>
          <w:cols w:equalWidth="0" w:num="1">
            <w:col w:w="11460"/>
          </w:cols>
          <w:pgMar w:left="220" w:top="502" w:right="219" w:bottom="1440" w:gutter="0" w:footer="0" w:header="0"/>
        </w:sectPr>
      </w:pPr>
    </w:p>
    <w:p>
      <w:pPr>
        <w:spacing w:after="0" w:line="200" w:lineRule="exact"/>
        <w:rPr>
          <w:sz w:val="20"/>
          <w:szCs w:val="20"/>
          <w:color w:val="auto"/>
        </w:rPr>
      </w:pPr>
    </w:p>
    <w:p>
      <w:pPr>
        <w:spacing w:after="0" w:line="316" w:lineRule="exact"/>
        <w:rPr>
          <w:sz w:val="20"/>
          <w:szCs w:val="20"/>
          <w:color w:val="auto"/>
        </w:rPr>
      </w:pPr>
    </w:p>
    <w:p>
      <w:pPr>
        <w:ind w:left="40"/>
        <w:spacing w:after="0"/>
        <w:rPr>
          <w:sz w:val="20"/>
          <w:szCs w:val="20"/>
          <w:color w:val="auto"/>
        </w:rPr>
      </w:pPr>
      <w:r>
        <w:rPr>
          <w:rFonts w:ascii="Arial" w:cs="Arial" w:eastAsia="Arial" w:hAnsi="Arial"/>
          <w:sz w:val="13"/>
          <w:szCs w:val="13"/>
          <w:b w:val="1"/>
          <w:bCs w:val="1"/>
          <w:color w:val="auto"/>
        </w:rPr>
        <w:t>Cash flows (used in)/ provided by operating activities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38735</wp:posOffset>
            </wp:positionV>
            <wp:extent cx="7270750" cy="1409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70750" cy="140970"/>
                    </a:xfrm>
                    <a:prstGeom prst="rect">
                      <a:avLst/>
                    </a:prstGeom>
                    <a:noFill/>
                  </pic:spPr>
                </pic:pic>
              </a:graphicData>
            </a:graphic>
          </wp:anchor>
        </w:drawing>
      </w:r>
    </w:p>
    <w:p>
      <w:pPr>
        <w:spacing w:after="0" w:line="56" w:lineRule="exact"/>
        <w:rPr>
          <w:sz w:val="20"/>
          <w:szCs w:val="20"/>
          <w:color w:val="auto"/>
        </w:rPr>
      </w:pPr>
    </w:p>
    <w:p>
      <w:pPr>
        <w:ind w:left="320"/>
        <w:spacing w:after="0"/>
        <w:rPr>
          <w:sz w:val="20"/>
          <w:szCs w:val="20"/>
          <w:color w:val="auto"/>
        </w:rPr>
      </w:pPr>
      <w:r>
        <w:rPr>
          <w:rFonts w:ascii="Arial" w:cs="Arial" w:eastAsia="Arial" w:hAnsi="Arial"/>
          <w:sz w:val="13"/>
          <w:szCs w:val="13"/>
          <w:color w:val="auto"/>
        </w:rPr>
        <w:t>Net income</w:t>
      </w:r>
    </w:p>
    <w:p>
      <w:pPr>
        <w:spacing w:after="0" w:line="72" w:lineRule="exact"/>
        <w:rPr>
          <w:sz w:val="20"/>
          <w:szCs w:val="20"/>
          <w:color w:val="auto"/>
        </w:rPr>
      </w:pPr>
    </w:p>
    <w:p>
      <w:pPr>
        <w:ind w:left="580" w:right="2440" w:hanging="265"/>
        <w:spacing w:after="0" w:line="365" w:lineRule="auto"/>
        <w:rPr>
          <w:sz w:val="20"/>
          <w:szCs w:val="20"/>
          <w:color w:val="auto"/>
        </w:rPr>
      </w:pPr>
      <w:r>
        <w:rPr>
          <w:rFonts w:ascii="Arial" w:cs="Arial" w:eastAsia="Arial" w:hAnsi="Arial"/>
          <w:sz w:val="13"/>
          <w:szCs w:val="13"/>
          <w:color w:val="auto"/>
        </w:rPr>
        <w:t>Adjustments to reconcile net income to net cash (used in)/provided by operating activities Depreciation and amortization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-156845</wp:posOffset>
            </wp:positionV>
            <wp:extent cx="7270750" cy="1409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70750" cy="140970"/>
                    </a:xfrm>
                    <a:prstGeom prst="rect">
                      <a:avLst/>
                    </a:prstGeom>
                    <a:noFill/>
                  </pic:spPr>
                </pic:pic>
              </a:graphicData>
            </a:graphic>
          </wp:anchor>
        </w:drawing>
      </w:r>
    </w:p>
    <w:p>
      <w:pPr>
        <w:ind w:left="580"/>
        <w:spacing w:after="0"/>
        <w:rPr>
          <w:sz w:val="20"/>
          <w:szCs w:val="20"/>
          <w:color w:val="auto"/>
        </w:rPr>
      </w:pPr>
      <w:r>
        <w:rPr>
          <w:rFonts w:ascii="Arial" w:cs="Arial" w:eastAsia="Arial" w:hAnsi="Arial"/>
          <w:sz w:val="13"/>
          <w:szCs w:val="13"/>
          <w:color w:val="auto"/>
        </w:rPr>
        <w:t>Share-based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29210</wp:posOffset>
            </wp:positionV>
            <wp:extent cx="7270750" cy="140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70750" cy="140970"/>
                    </a:xfrm>
                    <a:prstGeom prst="rect">
                      <a:avLst/>
                    </a:prstGeom>
                    <a:noFill/>
                  </pic:spPr>
                </pic:pic>
              </a:graphicData>
            </a:graphic>
          </wp:anchor>
        </w:drawing>
      </w:r>
    </w:p>
    <w:p>
      <w:pPr>
        <w:spacing w:after="0" w:line="41" w:lineRule="exact"/>
        <w:rPr>
          <w:sz w:val="20"/>
          <w:szCs w:val="20"/>
          <w:color w:val="auto"/>
        </w:rPr>
      </w:pPr>
    </w:p>
    <w:p>
      <w:pPr>
        <w:ind w:left="580"/>
        <w:spacing w:after="0"/>
        <w:rPr>
          <w:sz w:val="20"/>
          <w:szCs w:val="20"/>
          <w:color w:val="auto"/>
        </w:rPr>
      </w:pPr>
      <w:r>
        <w:rPr>
          <w:rFonts w:ascii="Arial" w:cs="Arial" w:eastAsia="Arial" w:hAnsi="Arial"/>
          <w:sz w:val="13"/>
          <w:szCs w:val="13"/>
          <w:color w:val="auto"/>
        </w:rPr>
        <w:t>Bad debt expense</w:t>
      </w:r>
    </w:p>
    <w:p>
      <w:pPr>
        <w:spacing w:after="0" w:line="72" w:lineRule="exact"/>
        <w:rPr>
          <w:sz w:val="20"/>
          <w:szCs w:val="20"/>
          <w:color w:val="auto"/>
        </w:rPr>
      </w:pPr>
    </w:p>
    <w:p>
      <w:pPr>
        <w:ind w:left="580"/>
        <w:spacing w:after="0"/>
        <w:rPr>
          <w:sz w:val="20"/>
          <w:szCs w:val="20"/>
          <w:color w:val="auto"/>
        </w:rPr>
      </w:pPr>
      <w:r>
        <w:rPr>
          <w:rFonts w:ascii="Arial" w:cs="Arial" w:eastAsia="Arial" w:hAnsi="Arial"/>
          <w:sz w:val="13"/>
          <w:szCs w:val="13"/>
          <w:color w:val="auto"/>
        </w:rPr>
        <w:t>(Gain)/loss on disposal of fixed 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36195</wp:posOffset>
            </wp:positionV>
            <wp:extent cx="7270750" cy="1409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70750" cy="140970"/>
                    </a:xfrm>
                    <a:prstGeom prst="rect">
                      <a:avLst/>
                    </a:prstGeom>
                    <a:noFill/>
                  </pic:spPr>
                </pic:pic>
              </a:graphicData>
            </a:graphic>
          </wp:anchor>
        </w:drawing>
      </w:r>
    </w:p>
    <w:p>
      <w:pPr>
        <w:spacing w:after="0" w:line="52" w:lineRule="exact"/>
        <w:rPr>
          <w:sz w:val="20"/>
          <w:szCs w:val="20"/>
          <w:color w:val="auto"/>
        </w:rPr>
      </w:pPr>
    </w:p>
    <w:p>
      <w:pPr>
        <w:ind w:left="580"/>
        <w:spacing w:after="0"/>
        <w:rPr>
          <w:sz w:val="20"/>
          <w:szCs w:val="20"/>
          <w:color w:val="auto"/>
        </w:rPr>
      </w:pPr>
      <w:r>
        <w:rPr>
          <w:rFonts w:ascii="Arial" w:cs="Arial" w:eastAsia="Arial" w:hAnsi="Arial"/>
          <w:sz w:val="13"/>
          <w:szCs w:val="13"/>
          <w:color w:val="auto"/>
        </w:rPr>
        <w:t>Gain on sale of discontinued operations, net of tax</w:t>
      </w:r>
    </w:p>
    <w:p>
      <w:pPr>
        <w:spacing w:after="0" w:line="84" w:lineRule="exact"/>
        <w:rPr>
          <w:sz w:val="20"/>
          <w:szCs w:val="20"/>
          <w:color w:val="auto"/>
        </w:rPr>
      </w:pPr>
    </w:p>
    <w:p>
      <w:pPr>
        <w:ind w:left="500"/>
        <w:spacing w:after="0"/>
        <w:rPr>
          <w:sz w:val="20"/>
          <w:szCs w:val="20"/>
          <w:color w:val="auto"/>
        </w:rPr>
      </w:pPr>
      <w:r>
        <w:rPr>
          <w:rFonts w:ascii="Arial" w:cs="Arial" w:eastAsia="Arial" w:hAnsi="Arial"/>
          <w:sz w:val="13"/>
          <w:szCs w:val="13"/>
          <w:color w:val="auto"/>
        </w:rPr>
        <w:t>Tax benefit from utilization of net operating loss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29210</wp:posOffset>
            </wp:positionV>
            <wp:extent cx="7270750" cy="1409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70750" cy="140970"/>
                    </a:xfrm>
                    <a:prstGeom prst="rect">
                      <a:avLst/>
                    </a:prstGeom>
                    <a:noFill/>
                  </pic:spPr>
                </pic:pic>
              </a:graphicData>
            </a:graphic>
          </wp:anchor>
        </w:drawing>
      </w:r>
    </w:p>
    <w:p>
      <w:pPr>
        <w:spacing w:after="0" w:line="41" w:lineRule="exact"/>
        <w:rPr>
          <w:sz w:val="20"/>
          <w:szCs w:val="20"/>
          <w:color w:val="auto"/>
        </w:rPr>
      </w:pPr>
    </w:p>
    <w:p>
      <w:pPr>
        <w:ind w:left="320"/>
        <w:spacing w:after="0"/>
        <w:rPr>
          <w:sz w:val="20"/>
          <w:szCs w:val="20"/>
          <w:color w:val="auto"/>
        </w:rPr>
      </w:pPr>
      <w:r>
        <w:rPr>
          <w:rFonts w:ascii="Arial" w:cs="Arial" w:eastAsia="Arial" w:hAnsi="Arial"/>
          <w:sz w:val="13"/>
          <w:szCs w:val="13"/>
          <w:color w:val="auto"/>
        </w:rPr>
        <w:t>Change in assets and liabilities</w:t>
      </w:r>
    </w:p>
    <w:p>
      <w:pPr>
        <w:spacing w:after="0" w:line="72" w:lineRule="exact"/>
        <w:rPr>
          <w:sz w:val="20"/>
          <w:szCs w:val="20"/>
          <w:color w:val="auto"/>
        </w:rPr>
      </w:pPr>
    </w:p>
    <w:p>
      <w:pPr>
        <w:ind w:left="580"/>
        <w:spacing w:after="0"/>
        <w:rPr>
          <w:sz w:val="20"/>
          <w:szCs w:val="20"/>
          <w:color w:val="auto"/>
        </w:rPr>
      </w:pPr>
      <w:r>
        <w:rPr>
          <w:rFonts w:ascii="Arial" w:cs="Arial" w:eastAsia="Arial" w:hAnsi="Arial"/>
          <w:sz w:val="13"/>
          <w:szCs w:val="13"/>
          <w:color w:val="auto"/>
        </w:rPr>
        <w:t>Accounts receivable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36195</wp:posOffset>
            </wp:positionV>
            <wp:extent cx="7270750" cy="1409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70750" cy="140970"/>
                    </a:xfrm>
                    <a:prstGeom prst="rect">
                      <a:avLst/>
                    </a:prstGeom>
                    <a:noFill/>
                  </pic:spPr>
                </pic:pic>
              </a:graphicData>
            </a:graphic>
          </wp:anchor>
        </w:drawing>
      </w:r>
    </w:p>
    <w:p>
      <w:pPr>
        <w:spacing w:after="0" w:line="52" w:lineRule="exact"/>
        <w:rPr>
          <w:sz w:val="20"/>
          <w:szCs w:val="20"/>
          <w:color w:val="auto"/>
        </w:rPr>
      </w:pPr>
    </w:p>
    <w:p>
      <w:pPr>
        <w:ind w:left="580"/>
        <w:spacing w:after="0"/>
        <w:rPr>
          <w:sz w:val="20"/>
          <w:szCs w:val="20"/>
          <w:color w:val="auto"/>
        </w:rPr>
      </w:pPr>
      <w:r>
        <w:rPr>
          <w:rFonts w:ascii="Arial" w:cs="Arial" w:eastAsia="Arial" w:hAnsi="Arial"/>
          <w:sz w:val="13"/>
          <w:szCs w:val="13"/>
          <w:color w:val="auto"/>
        </w:rPr>
        <w:t>Contract assets</w:t>
      </w:r>
    </w:p>
    <w:p>
      <w:pPr>
        <w:spacing w:after="0" w:line="72" w:lineRule="exact"/>
        <w:rPr>
          <w:sz w:val="20"/>
          <w:szCs w:val="20"/>
          <w:color w:val="auto"/>
        </w:rPr>
      </w:pPr>
    </w:p>
    <w:p>
      <w:pPr>
        <w:ind w:left="580"/>
        <w:spacing w:after="0"/>
        <w:rPr>
          <w:sz w:val="20"/>
          <w:szCs w:val="20"/>
          <w:color w:val="auto"/>
        </w:rPr>
      </w:pPr>
      <w:r>
        <w:rPr>
          <w:rFonts w:ascii="Arial" w:cs="Arial" w:eastAsia="Arial" w:hAnsi="Arial"/>
          <w:sz w:val="13"/>
          <w:szCs w:val="13"/>
          <w:color w:val="auto"/>
        </w:rPr>
        <w:t>Inventory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36195</wp:posOffset>
            </wp:positionV>
            <wp:extent cx="7270750" cy="140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70750" cy="140970"/>
                    </a:xfrm>
                    <a:prstGeom prst="rect">
                      <a:avLst/>
                    </a:prstGeom>
                    <a:noFill/>
                  </pic:spPr>
                </pic:pic>
              </a:graphicData>
            </a:graphic>
          </wp:anchor>
        </w:drawing>
      </w:r>
    </w:p>
    <w:p>
      <w:pPr>
        <w:spacing w:after="0" w:line="52" w:lineRule="exact"/>
        <w:rPr>
          <w:sz w:val="20"/>
          <w:szCs w:val="20"/>
          <w:color w:val="auto"/>
        </w:rPr>
      </w:pPr>
    </w:p>
    <w:p>
      <w:pPr>
        <w:ind w:left="580"/>
        <w:spacing w:after="0"/>
        <w:rPr>
          <w:sz w:val="20"/>
          <w:szCs w:val="20"/>
          <w:color w:val="auto"/>
        </w:rPr>
      </w:pPr>
      <w:r>
        <w:rPr>
          <w:rFonts w:ascii="Arial" w:cs="Arial" w:eastAsia="Arial" w:hAnsi="Arial"/>
          <w:sz w:val="13"/>
          <w:szCs w:val="13"/>
          <w:color w:val="auto"/>
        </w:rPr>
        <w:t>Other current assets</w:t>
      </w:r>
    </w:p>
    <w:p>
      <w:pPr>
        <w:spacing w:after="0" w:line="72" w:lineRule="exact"/>
        <w:rPr>
          <w:sz w:val="20"/>
          <w:szCs w:val="20"/>
          <w:color w:val="auto"/>
        </w:rPr>
      </w:pPr>
    </w:p>
    <w:p>
      <w:pPr>
        <w:ind w:left="580"/>
        <w:spacing w:after="0"/>
        <w:rPr>
          <w:sz w:val="20"/>
          <w:szCs w:val="20"/>
          <w:color w:val="auto"/>
        </w:rPr>
      </w:pPr>
      <w:r>
        <w:rPr>
          <w:rFonts w:ascii="Arial" w:cs="Arial" w:eastAsia="Arial" w:hAnsi="Arial"/>
          <w:sz w:val="13"/>
          <w:szCs w:val="13"/>
          <w:color w:val="auto"/>
        </w:rPr>
        <w:t>Accounts payable and accrued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36195</wp:posOffset>
            </wp:positionV>
            <wp:extent cx="7270750" cy="1409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70750" cy="140970"/>
                    </a:xfrm>
                    <a:prstGeom prst="rect">
                      <a:avLst/>
                    </a:prstGeom>
                    <a:noFill/>
                  </pic:spPr>
                </pic:pic>
              </a:graphicData>
            </a:graphic>
          </wp:anchor>
        </w:drawing>
      </w:r>
    </w:p>
    <w:p>
      <w:pPr>
        <w:spacing w:after="0" w:line="52" w:lineRule="exact"/>
        <w:rPr>
          <w:sz w:val="20"/>
          <w:szCs w:val="20"/>
          <w:color w:val="auto"/>
        </w:rPr>
      </w:pPr>
    </w:p>
    <w:p>
      <w:pPr>
        <w:ind w:left="580"/>
        <w:spacing w:after="0"/>
        <w:rPr>
          <w:sz w:val="20"/>
          <w:szCs w:val="20"/>
          <w:color w:val="auto"/>
        </w:rPr>
      </w:pPr>
      <w:r>
        <w:rPr>
          <w:rFonts w:ascii="Arial" w:cs="Arial" w:eastAsia="Arial" w:hAnsi="Arial"/>
          <w:sz w:val="13"/>
          <w:szCs w:val="13"/>
          <w:color w:val="auto"/>
        </w:rPr>
        <w:t>Contract liabilities</w:t>
      </w:r>
    </w:p>
    <w:p>
      <w:pPr>
        <w:spacing w:after="0" w:line="72" w:lineRule="exact"/>
        <w:rPr>
          <w:sz w:val="20"/>
          <w:szCs w:val="20"/>
          <w:color w:val="auto"/>
        </w:rPr>
      </w:pPr>
    </w:p>
    <w:p>
      <w:pPr>
        <w:ind w:left="580"/>
        <w:spacing w:after="0"/>
        <w:rPr>
          <w:sz w:val="20"/>
          <w:szCs w:val="20"/>
          <w:color w:val="auto"/>
        </w:rPr>
      </w:pPr>
      <w:r>
        <w:rPr>
          <w:rFonts w:ascii="Arial" w:cs="Arial" w:eastAsia="Arial" w:hAnsi="Arial"/>
          <w:sz w:val="13"/>
          <w:szCs w:val="13"/>
          <w:color w:val="auto"/>
        </w:rPr>
        <w:t>Deferred revenue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36195</wp:posOffset>
            </wp:positionV>
            <wp:extent cx="7270750" cy="1409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70750" cy="140970"/>
                    </a:xfrm>
                    <a:prstGeom prst="rect">
                      <a:avLst/>
                    </a:prstGeom>
                    <a:noFill/>
                  </pic:spPr>
                </pic:pic>
              </a:graphicData>
            </a:graphic>
          </wp:anchor>
        </w:drawing>
      </w:r>
    </w:p>
    <w:p>
      <w:pPr>
        <w:spacing w:after="0" w:line="52" w:lineRule="exact"/>
        <w:rPr>
          <w:sz w:val="20"/>
          <w:szCs w:val="20"/>
          <w:color w:val="auto"/>
        </w:rPr>
      </w:pPr>
    </w:p>
    <w:p>
      <w:pPr>
        <w:ind w:left="940"/>
        <w:spacing w:after="0"/>
        <w:rPr>
          <w:sz w:val="20"/>
          <w:szCs w:val="20"/>
          <w:color w:val="auto"/>
        </w:rPr>
      </w:pPr>
      <w:r>
        <w:rPr>
          <w:rFonts w:ascii="Arial" w:cs="Arial" w:eastAsia="Arial" w:hAnsi="Arial"/>
          <w:sz w:val="13"/>
          <w:szCs w:val="13"/>
          <w:color w:val="auto"/>
        </w:rPr>
        <w:t>Net cash (used in)/provided by operating activities</w:t>
      </w:r>
    </w:p>
    <w:p>
      <w:pPr>
        <w:spacing w:after="0" w:line="68" w:lineRule="exact"/>
        <w:rPr>
          <w:sz w:val="20"/>
          <w:szCs w:val="20"/>
          <w:color w:val="auto"/>
        </w:rPr>
      </w:pPr>
    </w:p>
    <w:p>
      <w:pPr>
        <w:ind w:left="40"/>
        <w:spacing w:after="0"/>
        <w:rPr>
          <w:sz w:val="20"/>
          <w:szCs w:val="20"/>
          <w:color w:val="auto"/>
        </w:rPr>
      </w:pPr>
      <w:r>
        <w:rPr>
          <w:rFonts w:ascii="Arial" w:cs="Arial" w:eastAsia="Arial" w:hAnsi="Arial"/>
          <w:sz w:val="13"/>
          <w:szCs w:val="13"/>
          <w:b w:val="1"/>
          <w:bCs w:val="1"/>
          <w:color w:val="auto"/>
        </w:rPr>
        <w:t>Cash flows provided by investing activities</w:t>
      </w:r>
    </w:p>
    <w:p>
      <w:pPr>
        <w:spacing w:after="0" w:line="20" w:lineRule="exact"/>
        <w:rPr>
          <w:sz w:val="20"/>
          <w:szCs w:val="20"/>
          <w:color w:val="auto"/>
        </w:rPr>
      </w:pPr>
      <w:r>
        <w:rPr>
          <w:sz w:val="20"/>
          <w:szCs w:val="20"/>
          <w:color w:val="auto"/>
        </w:rPr>
        <w:br w:type="column"/>
      </w:r>
    </w:p>
    <w:p>
      <w:pPr>
        <w:spacing w:after="0" w:line="64"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73"/>
        </w:trPr>
        <w:tc>
          <w:tcPr>
            <w:tcW w:w="360" w:type="dxa"/>
            <w:vAlign w:val="bottom"/>
          </w:tcPr>
          <w:p>
            <w:pPr>
              <w:spacing w:after="0"/>
              <w:rPr>
                <w:sz w:val="15"/>
                <w:szCs w:val="15"/>
                <w:color w:val="auto"/>
              </w:rPr>
            </w:pPr>
          </w:p>
        </w:tc>
        <w:tc>
          <w:tcPr>
            <w:tcW w:w="1140" w:type="dxa"/>
            <w:vAlign w:val="bottom"/>
          </w:tcPr>
          <w:p>
            <w:pPr>
              <w:jc w:val="right"/>
              <w:ind w:right="553"/>
              <w:spacing w:after="0"/>
              <w:rPr>
                <w:sz w:val="20"/>
                <w:szCs w:val="20"/>
                <w:color w:val="auto"/>
              </w:rPr>
            </w:pPr>
            <w:r>
              <w:rPr>
                <w:rFonts w:ascii="Arial" w:cs="Arial" w:eastAsia="Arial" w:hAnsi="Arial"/>
                <w:sz w:val="13"/>
                <w:szCs w:val="13"/>
                <w:b w:val="1"/>
                <w:bCs w:val="1"/>
                <w:color w:val="auto"/>
              </w:rPr>
              <w:t>2018</w:t>
            </w:r>
          </w:p>
        </w:tc>
        <w:tc>
          <w:tcPr>
            <w:tcW w:w="2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060" w:type="dxa"/>
            <w:vAlign w:val="bottom"/>
          </w:tcPr>
          <w:p>
            <w:pPr>
              <w:jc w:val="right"/>
              <w:ind w:right="533"/>
              <w:spacing w:after="0"/>
              <w:rPr>
                <w:sz w:val="20"/>
                <w:szCs w:val="20"/>
                <w:color w:val="auto"/>
              </w:rPr>
            </w:pPr>
            <w:r>
              <w:rPr>
                <w:rFonts w:ascii="Arial" w:cs="Arial" w:eastAsia="Arial" w:hAnsi="Arial"/>
                <w:sz w:val="13"/>
                <w:szCs w:val="13"/>
                <w:b w:val="1"/>
                <w:bCs w:val="1"/>
                <w:color w:val="auto"/>
              </w:rPr>
              <w:t>2017</w:t>
            </w:r>
          </w:p>
        </w:tc>
      </w:tr>
      <w:tr>
        <w:trPr>
          <w:trHeight w:val="27"/>
        </w:trPr>
        <w:tc>
          <w:tcPr>
            <w:tcW w:w="360" w:type="dxa"/>
            <w:vAlign w:val="bottom"/>
            <w:tcBorders>
              <w:bottom w:val="single" w:sz="8" w:color="auto"/>
            </w:tcBorders>
          </w:tcPr>
          <w:p>
            <w:pPr>
              <w:spacing w:after="0"/>
              <w:rPr>
                <w:sz w:val="2"/>
                <w:szCs w:val="2"/>
                <w:color w:val="auto"/>
              </w:rPr>
            </w:pPr>
          </w:p>
        </w:tc>
        <w:tc>
          <w:tcPr>
            <w:tcW w:w="1780" w:type="dxa"/>
            <w:vAlign w:val="bottom"/>
            <w:tcBorders>
              <w:bottom w:val="single" w:sz="8" w:color="auto"/>
            </w:tcBorders>
            <w:gridSpan w:val="3"/>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r>
      <w:tr>
        <w:trPr>
          <w:trHeight w:val="175"/>
        </w:trPr>
        <w:tc>
          <w:tcPr>
            <w:tcW w:w="360" w:type="dxa"/>
            <w:vAlign w:val="bottom"/>
          </w:tcPr>
          <w:p>
            <w:pPr>
              <w:spacing w:after="0"/>
              <w:rPr>
                <w:sz w:val="15"/>
                <w:szCs w:val="15"/>
                <w:color w:val="auto"/>
              </w:rPr>
            </w:pPr>
          </w:p>
        </w:tc>
        <w:tc>
          <w:tcPr>
            <w:tcW w:w="1780" w:type="dxa"/>
            <w:vAlign w:val="bottom"/>
            <w:gridSpan w:val="3"/>
          </w:tcPr>
          <w:p>
            <w:pPr>
              <w:jc w:val="right"/>
              <w:ind w:right="133"/>
              <w:spacing w:after="0"/>
              <w:rPr>
                <w:sz w:val="20"/>
                <w:szCs w:val="20"/>
                <w:color w:val="auto"/>
              </w:rPr>
            </w:pPr>
            <w:r>
              <w:rPr>
                <w:rFonts w:ascii="Arial" w:cs="Arial" w:eastAsia="Arial" w:hAnsi="Arial"/>
                <w:sz w:val="13"/>
                <w:szCs w:val="13"/>
                <w:b w:val="1"/>
                <w:bCs w:val="1"/>
                <w:color w:val="auto"/>
              </w:rPr>
              <w:t>(unaudited)</w:t>
            </w:r>
          </w:p>
        </w:tc>
        <w:tc>
          <w:tcPr>
            <w:tcW w:w="1060" w:type="dxa"/>
            <w:vAlign w:val="bottom"/>
          </w:tcPr>
          <w:p>
            <w:pPr>
              <w:spacing w:after="0"/>
              <w:rPr>
                <w:sz w:val="15"/>
                <w:szCs w:val="15"/>
                <w:color w:val="auto"/>
              </w:rPr>
            </w:pPr>
          </w:p>
        </w:tc>
      </w:tr>
      <w:tr>
        <w:trPr>
          <w:trHeight w:val="444"/>
        </w:trPr>
        <w:tc>
          <w:tcPr>
            <w:tcW w:w="360" w:type="dxa"/>
            <w:vAlign w:val="bottom"/>
          </w:tcPr>
          <w:p>
            <w:pPr>
              <w:jc w:val="right"/>
              <w:ind w:right="193"/>
              <w:spacing w:after="0"/>
              <w:rPr>
                <w:sz w:val="20"/>
                <w:szCs w:val="20"/>
                <w:color w:val="auto"/>
              </w:rPr>
            </w:pPr>
            <w:r>
              <w:rPr>
                <w:rFonts w:ascii="Arial" w:cs="Arial" w:eastAsia="Arial" w:hAnsi="Arial"/>
                <w:sz w:val="13"/>
                <w:szCs w:val="13"/>
                <w:color w:val="auto"/>
              </w:rPr>
              <w:t>$</w:t>
            </w:r>
          </w:p>
        </w:tc>
        <w:tc>
          <w:tcPr>
            <w:tcW w:w="1140" w:type="dxa"/>
            <w:vAlign w:val="bottom"/>
          </w:tcPr>
          <w:p>
            <w:pPr>
              <w:jc w:val="right"/>
              <w:ind w:right="33"/>
              <w:spacing w:after="0"/>
              <w:rPr>
                <w:sz w:val="20"/>
                <w:szCs w:val="20"/>
                <w:color w:val="auto"/>
              </w:rPr>
            </w:pPr>
            <w:r>
              <w:rPr>
                <w:rFonts w:ascii="Arial" w:cs="Arial" w:eastAsia="Arial" w:hAnsi="Arial"/>
                <w:sz w:val="13"/>
                <w:szCs w:val="13"/>
                <w:color w:val="auto"/>
              </w:rPr>
              <w:t>10,064,405</w:t>
            </w:r>
          </w:p>
        </w:tc>
        <w:tc>
          <w:tcPr>
            <w:tcW w:w="220" w:type="dxa"/>
            <w:vAlign w:val="bottom"/>
          </w:tcPr>
          <w:p>
            <w:pPr>
              <w:spacing w:after="0"/>
              <w:rPr>
                <w:sz w:val="24"/>
                <w:szCs w:val="24"/>
                <w:color w:val="auto"/>
              </w:rPr>
            </w:pPr>
          </w:p>
        </w:tc>
        <w:tc>
          <w:tcPr>
            <w:tcW w:w="420" w:type="dxa"/>
            <w:vAlign w:val="bottom"/>
          </w:tcPr>
          <w:p>
            <w:pPr>
              <w:jc w:val="right"/>
              <w:ind w:right="253"/>
              <w:spacing w:after="0"/>
              <w:rPr>
                <w:sz w:val="20"/>
                <w:szCs w:val="20"/>
                <w:color w:val="auto"/>
              </w:rPr>
            </w:pPr>
            <w:r>
              <w:rPr>
                <w:rFonts w:ascii="Arial" w:cs="Arial" w:eastAsia="Arial" w:hAnsi="Arial"/>
                <w:sz w:val="13"/>
                <w:szCs w:val="13"/>
                <w:color w:val="auto"/>
              </w:rPr>
              <w:t>$</w:t>
            </w:r>
          </w:p>
        </w:tc>
        <w:tc>
          <w:tcPr>
            <w:tcW w:w="1060" w:type="dxa"/>
            <w:vAlign w:val="bottom"/>
          </w:tcPr>
          <w:p>
            <w:pPr>
              <w:jc w:val="right"/>
              <w:ind w:right="53"/>
              <w:spacing w:after="0"/>
              <w:rPr>
                <w:sz w:val="20"/>
                <w:szCs w:val="20"/>
                <w:color w:val="auto"/>
              </w:rPr>
            </w:pPr>
            <w:r>
              <w:rPr>
                <w:rFonts w:ascii="Arial" w:cs="Arial" w:eastAsia="Arial" w:hAnsi="Arial"/>
                <w:sz w:val="13"/>
                <w:szCs w:val="13"/>
                <w:color w:val="auto"/>
              </w:rPr>
              <w:t>14,179,576</w:t>
            </w:r>
          </w:p>
        </w:tc>
      </w:tr>
      <w:tr>
        <w:trPr>
          <w:trHeight w:val="444"/>
        </w:trPr>
        <w:tc>
          <w:tcPr>
            <w:tcW w:w="360" w:type="dxa"/>
            <w:vAlign w:val="bottom"/>
          </w:tcPr>
          <w:p>
            <w:pPr>
              <w:spacing w:after="0"/>
              <w:rPr>
                <w:sz w:val="24"/>
                <w:szCs w:val="24"/>
                <w:color w:val="auto"/>
              </w:rPr>
            </w:pPr>
          </w:p>
        </w:tc>
        <w:tc>
          <w:tcPr>
            <w:tcW w:w="1140" w:type="dxa"/>
            <w:vAlign w:val="bottom"/>
          </w:tcPr>
          <w:p>
            <w:pPr>
              <w:jc w:val="right"/>
              <w:ind w:right="33"/>
              <w:spacing w:after="0"/>
              <w:rPr>
                <w:sz w:val="20"/>
                <w:szCs w:val="20"/>
                <w:color w:val="auto"/>
              </w:rPr>
            </w:pPr>
            <w:r>
              <w:rPr>
                <w:rFonts w:ascii="Arial" w:cs="Arial" w:eastAsia="Arial" w:hAnsi="Arial"/>
                <w:sz w:val="13"/>
                <w:szCs w:val="13"/>
                <w:color w:val="auto"/>
              </w:rPr>
              <w:t>898,215</w:t>
            </w:r>
          </w:p>
        </w:tc>
        <w:tc>
          <w:tcPr>
            <w:tcW w:w="2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60" w:type="dxa"/>
            <w:vAlign w:val="bottom"/>
          </w:tcPr>
          <w:p>
            <w:pPr>
              <w:jc w:val="right"/>
              <w:ind w:right="53"/>
              <w:spacing w:after="0"/>
              <w:rPr>
                <w:sz w:val="20"/>
                <w:szCs w:val="20"/>
                <w:color w:val="auto"/>
              </w:rPr>
            </w:pPr>
            <w:r>
              <w:rPr>
                <w:rFonts w:ascii="Arial" w:cs="Arial" w:eastAsia="Arial" w:hAnsi="Arial"/>
                <w:sz w:val="13"/>
                <w:szCs w:val="13"/>
                <w:color w:val="auto"/>
              </w:rPr>
              <w:t>2,241,867</w:t>
            </w:r>
          </w:p>
        </w:tc>
      </w:tr>
      <w:tr>
        <w:trPr>
          <w:trHeight w:val="222"/>
        </w:trPr>
        <w:tc>
          <w:tcPr>
            <w:tcW w:w="360" w:type="dxa"/>
            <w:vAlign w:val="bottom"/>
          </w:tcPr>
          <w:p>
            <w:pPr>
              <w:spacing w:after="0"/>
              <w:rPr>
                <w:sz w:val="19"/>
                <w:szCs w:val="19"/>
                <w:color w:val="auto"/>
              </w:rPr>
            </w:pPr>
          </w:p>
        </w:tc>
        <w:tc>
          <w:tcPr>
            <w:tcW w:w="1140" w:type="dxa"/>
            <w:vAlign w:val="bottom"/>
          </w:tcPr>
          <w:p>
            <w:pPr>
              <w:jc w:val="right"/>
              <w:ind w:right="33"/>
              <w:spacing w:after="0"/>
              <w:rPr>
                <w:sz w:val="20"/>
                <w:szCs w:val="20"/>
                <w:color w:val="auto"/>
              </w:rPr>
            </w:pPr>
            <w:r>
              <w:rPr>
                <w:rFonts w:ascii="Arial" w:cs="Arial" w:eastAsia="Arial" w:hAnsi="Arial"/>
                <w:sz w:val="13"/>
                <w:szCs w:val="13"/>
                <w:color w:val="auto"/>
              </w:rPr>
              <w:t>345,582</w:t>
            </w:r>
          </w:p>
        </w:tc>
        <w:tc>
          <w:tcPr>
            <w:tcW w:w="2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60" w:type="dxa"/>
            <w:vAlign w:val="bottom"/>
          </w:tcPr>
          <w:p>
            <w:pPr>
              <w:jc w:val="right"/>
              <w:ind w:right="53"/>
              <w:spacing w:after="0"/>
              <w:rPr>
                <w:sz w:val="20"/>
                <w:szCs w:val="20"/>
                <w:color w:val="auto"/>
              </w:rPr>
            </w:pPr>
            <w:r>
              <w:rPr>
                <w:rFonts w:ascii="Arial" w:cs="Arial" w:eastAsia="Arial" w:hAnsi="Arial"/>
                <w:sz w:val="13"/>
                <w:szCs w:val="13"/>
                <w:color w:val="auto"/>
              </w:rPr>
              <w:t>476,428</w:t>
            </w:r>
          </w:p>
        </w:tc>
      </w:tr>
      <w:tr>
        <w:trPr>
          <w:trHeight w:val="222"/>
        </w:trPr>
        <w:tc>
          <w:tcPr>
            <w:tcW w:w="360" w:type="dxa"/>
            <w:vAlign w:val="bottom"/>
          </w:tcPr>
          <w:p>
            <w:pPr>
              <w:spacing w:after="0"/>
              <w:rPr>
                <w:sz w:val="19"/>
                <w:szCs w:val="19"/>
                <w:color w:val="auto"/>
              </w:rPr>
            </w:pPr>
          </w:p>
        </w:tc>
        <w:tc>
          <w:tcPr>
            <w:tcW w:w="1140" w:type="dxa"/>
            <w:vAlign w:val="bottom"/>
          </w:tcPr>
          <w:p>
            <w:pPr>
              <w:jc w:val="right"/>
              <w:ind w:right="33"/>
              <w:spacing w:after="0"/>
              <w:rPr>
                <w:sz w:val="20"/>
                <w:szCs w:val="20"/>
                <w:color w:val="auto"/>
              </w:rPr>
            </w:pPr>
            <w:r>
              <w:rPr>
                <w:rFonts w:ascii="Arial" w:cs="Arial" w:eastAsia="Arial" w:hAnsi="Arial"/>
                <w:sz w:val="13"/>
                <w:szCs w:val="13"/>
                <w:color w:val="auto"/>
              </w:rPr>
              <w:t>6,000</w:t>
            </w:r>
          </w:p>
        </w:tc>
        <w:tc>
          <w:tcPr>
            <w:tcW w:w="2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60" w:type="dxa"/>
            <w:vAlign w:val="bottom"/>
          </w:tcPr>
          <w:p>
            <w:pPr>
              <w:jc w:val="right"/>
              <w:ind w:right="53"/>
              <w:spacing w:after="0"/>
              <w:rPr>
                <w:sz w:val="20"/>
                <w:szCs w:val="20"/>
                <w:color w:val="auto"/>
              </w:rPr>
            </w:pPr>
            <w:r>
              <w:rPr>
                <w:rFonts w:ascii="Arial" w:cs="Arial" w:eastAsia="Arial" w:hAnsi="Arial"/>
                <w:sz w:val="13"/>
                <w:szCs w:val="13"/>
                <w:color w:val="auto"/>
              </w:rPr>
              <w:t>40,753</w:t>
            </w:r>
          </w:p>
        </w:tc>
      </w:tr>
      <w:tr>
        <w:trPr>
          <w:trHeight w:val="222"/>
        </w:trPr>
        <w:tc>
          <w:tcPr>
            <w:tcW w:w="3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3"/>
                <w:szCs w:val="13"/>
                <w:color w:val="auto"/>
              </w:rPr>
              <w:t>(1,000)</w:t>
            </w:r>
          </w:p>
        </w:tc>
        <w:tc>
          <w:tcPr>
            <w:tcW w:w="2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60" w:type="dxa"/>
            <w:vAlign w:val="bottom"/>
          </w:tcPr>
          <w:p>
            <w:pPr>
              <w:jc w:val="right"/>
              <w:ind w:right="53"/>
              <w:spacing w:after="0"/>
              <w:rPr>
                <w:sz w:val="20"/>
                <w:szCs w:val="20"/>
                <w:color w:val="auto"/>
              </w:rPr>
            </w:pPr>
            <w:r>
              <w:rPr>
                <w:rFonts w:ascii="Arial" w:cs="Arial" w:eastAsia="Arial" w:hAnsi="Arial"/>
                <w:sz w:val="13"/>
                <w:szCs w:val="13"/>
                <w:color w:val="auto"/>
              </w:rPr>
              <w:t>3,640</w:t>
            </w:r>
          </w:p>
        </w:tc>
      </w:tr>
      <w:tr>
        <w:trPr>
          <w:trHeight w:val="222"/>
        </w:trPr>
        <w:tc>
          <w:tcPr>
            <w:tcW w:w="3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3"/>
                <w:szCs w:val="13"/>
                <w:color w:val="auto"/>
              </w:rPr>
              <w:t>(7,571,810)</w:t>
            </w:r>
          </w:p>
        </w:tc>
        <w:tc>
          <w:tcPr>
            <w:tcW w:w="2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60" w:type="dxa"/>
            <w:vAlign w:val="bottom"/>
          </w:tcPr>
          <w:p>
            <w:pPr>
              <w:jc w:val="right"/>
              <w:spacing w:after="0"/>
              <w:rPr>
                <w:sz w:val="20"/>
                <w:szCs w:val="20"/>
                <w:color w:val="auto"/>
              </w:rPr>
            </w:pPr>
            <w:r>
              <w:rPr>
                <w:rFonts w:ascii="Arial" w:cs="Arial" w:eastAsia="Arial" w:hAnsi="Arial"/>
                <w:sz w:val="13"/>
                <w:szCs w:val="13"/>
                <w:color w:val="auto"/>
              </w:rPr>
              <w:t>(15,096,666)</w:t>
            </w:r>
          </w:p>
        </w:tc>
      </w:tr>
      <w:tr>
        <w:trPr>
          <w:trHeight w:val="666"/>
        </w:trPr>
        <w:tc>
          <w:tcPr>
            <w:tcW w:w="360" w:type="dxa"/>
            <w:vAlign w:val="bottom"/>
          </w:tcPr>
          <w:p>
            <w:pPr>
              <w:spacing w:after="0"/>
              <w:rPr>
                <w:sz w:val="24"/>
                <w:szCs w:val="24"/>
                <w:color w:val="auto"/>
              </w:rPr>
            </w:pPr>
          </w:p>
        </w:tc>
        <w:tc>
          <w:tcPr>
            <w:tcW w:w="1140" w:type="dxa"/>
            <w:vAlign w:val="bottom"/>
          </w:tcPr>
          <w:p>
            <w:pPr>
              <w:jc w:val="right"/>
              <w:spacing w:after="0"/>
              <w:rPr>
                <w:sz w:val="20"/>
                <w:szCs w:val="20"/>
                <w:color w:val="auto"/>
              </w:rPr>
            </w:pPr>
            <w:r>
              <w:rPr>
                <w:rFonts w:ascii="Arial" w:cs="Arial" w:eastAsia="Arial" w:hAnsi="Arial"/>
                <w:sz w:val="13"/>
                <w:szCs w:val="13"/>
                <w:color w:val="auto"/>
              </w:rPr>
              <w:t>(4,056,716)</w:t>
            </w:r>
          </w:p>
        </w:tc>
        <w:tc>
          <w:tcPr>
            <w:tcW w:w="2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60" w:type="dxa"/>
            <w:vAlign w:val="bottom"/>
          </w:tcPr>
          <w:p>
            <w:pPr>
              <w:jc w:val="right"/>
              <w:ind w:right="53"/>
              <w:spacing w:after="0"/>
              <w:rPr>
                <w:sz w:val="20"/>
                <w:szCs w:val="20"/>
                <w:color w:val="auto"/>
              </w:rPr>
            </w:pPr>
            <w:r>
              <w:rPr>
                <w:rFonts w:ascii="Arial" w:cs="Arial" w:eastAsia="Arial" w:hAnsi="Arial"/>
                <w:sz w:val="13"/>
                <w:szCs w:val="13"/>
                <w:color w:val="auto"/>
              </w:rPr>
              <w:t>2,127,794</w:t>
            </w:r>
          </w:p>
        </w:tc>
      </w:tr>
      <w:tr>
        <w:trPr>
          <w:trHeight w:val="222"/>
        </w:trPr>
        <w:tc>
          <w:tcPr>
            <w:tcW w:w="3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3"/>
                <w:szCs w:val="13"/>
                <w:color w:val="auto"/>
              </w:rPr>
              <w:t>(957,012)</w:t>
            </w:r>
          </w:p>
        </w:tc>
        <w:tc>
          <w:tcPr>
            <w:tcW w:w="2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60" w:type="dxa"/>
            <w:vAlign w:val="bottom"/>
          </w:tcPr>
          <w:p>
            <w:pPr>
              <w:jc w:val="right"/>
              <w:ind w:right="53"/>
              <w:spacing w:after="0"/>
              <w:rPr>
                <w:sz w:val="20"/>
                <w:szCs w:val="20"/>
                <w:color w:val="auto"/>
              </w:rPr>
            </w:pPr>
            <w:r>
              <w:rPr>
                <w:rFonts w:ascii="Arial" w:cs="Arial" w:eastAsia="Arial" w:hAnsi="Arial"/>
                <w:sz w:val="13"/>
                <w:szCs w:val="13"/>
                <w:color w:val="auto"/>
              </w:rPr>
              <w:t>—</w:t>
            </w:r>
          </w:p>
        </w:tc>
      </w:tr>
      <w:tr>
        <w:trPr>
          <w:trHeight w:val="222"/>
        </w:trPr>
        <w:tc>
          <w:tcPr>
            <w:tcW w:w="3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3"/>
                <w:szCs w:val="13"/>
                <w:color w:val="auto"/>
              </w:rPr>
              <w:t>(992,075)</w:t>
            </w:r>
          </w:p>
        </w:tc>
        <w:tc>
          <w:tcPr>
            <w:tcW w:w="2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60" w:type="dxa"/>
            <w:vAlign w:val="bottom"/>
          </w:tcPr>
          <w:p>
            <w:pPr>
              <w:jc w:val="right"/>
              <w:spacing w:after="0"/>
              <w:rPr>
                <w:sz w:val="20"/>
                <w:szCs w:val="20"/>
                <w:color w:val="auto"/>
              </w:rPr>
            </w:pPr>
            <w:r>
              <w:rPr>
                <w:rFonts w:ascii="Arial" w:cs="Arial" w:eastAsia="Arial" w:hAnsi="Arial"/>
                <w:sz w:val="13"/>
                <w:szCs w:val="13"/>
                <w:color w:val="auto"/>
              </w:rPr>
              <w:t>(2,251,236)</w:t>
            </w:r>
          </w:p>
        </w:tc>
      </w:tr>
      <w:tr>
        <w:trPr>
          <w:trHeight w:val="222"/>
        </w:trPr>
        <w:tc>
          <w:tcPr>
            <w:tcW w:w="360" w:type="dxa"/>
            <w:vAlign w:val="bottom"/>
          </w:tcPr>
          <w:p>
            <w:pPr>
              <w:spacing w:after="0"/>
              <w:rPr>
                <w:sz w:val="19"/>
                <w:szCs w:val="19"/>
                <w:color w:val="auto"/>
              </w:rPr>
            </w:pPr>
          </w:p>
        </w:tc>
        <w:tc>
          <w:tcPr>
            <w:tcW w:w="1140" w:type="dxa"/>
            <w:vAlign w:val="bottom"/>
          </w:tcPr>
          <w:p>
            <w:pPr>
              <w:jc w:val="right"/>
              <w:ind w:right="33"/>
              <w:spacing w:after="0"/>
              <w:rPr>
                <w:sz w:val="20"/>
                <w:szCs w:val="20"/>
                <w:color w:val="auto"/>
              </w:rPr>
            </w:pPr>
            <w:r>
              <w:rPr>
                <w:rFonts w:ascii="Arial" w:cs="Arial" w:eastAsia="Arial" w:hAnsi="Arial"/>
                <w:sz w:val="13"/>
                <w:szCs w:val="13"/>
                <w:color w:val="auto"/>
              </w:rPr>
              <w:t>482,155</w:t>
            </w:r>
          </w:p>
        </w:tc>
        <w:tc>
          <w:tcPr>
            <w:tcW w:w="2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60" w:type="dxa"/>
            <w:vAlign w:val="bottom"/>
          </w:tcPr>
          <w:p>
            <w:pPr>
              <w:jc w:val="right"/>
              <w:ind w:right="53"/>
              <w:spacing w:after="0"/>
              <w:rPr>
                <w:sz w:val="20"/>
                <w:szCs w:val="20"/>
                <w:color w:val="auto"/>
              </w:rPr>
            </w:pPr>
            <w:r>
              <w:rPr>
                <w:rFonts w:ascii="Arial" w:cs="Arial" w:eastAsia="Arial" w:hAnsi="Arial"/>
                <w:sz w:val="13"/>
                <w:szCs w:val="13"/>
                <w:color w:val="auto"/>
              </w:rPr>
              <w:t>380,858</w:t>
            </w:r>
          </w:p>
        </w:tc>
      </w:tr>
      <w:tr>
        <w:trPr>
          <w:trHeight w:val="222"/>
        </w:trPr>
        <w:tc>
          <w:tcPr>
            <w:tcW w:w="360" w:type="dxa"/>
            <w:vAlign w:val="bottom"/>
          </w:tcPr>
          <w:p>
            <w:pPr>
              <w:spacing w:after="0"/>
              <w:rPr>
                <w:sz w:val="19"/>
                <w:szCs w:val="19"/>
                <w:color w:val="auto"/>
              </w:rPr>
            </w:pPr>
          </w:p>
        </w:tc>
        <w:tc>
          <w:tcPr>
            <w:tcW w:w="1140" w:type="dxa"/>
            <w:vAlign w:val="bottom"/>
          </w:tcPr>
          <w:p>
            <w:pPr>
              <w:jc w:val="right"/>
              <w:ind w:right="33"/>
              <w:spacing w:after="0"/>
              <w:rPr>
                <w:sz w:val="20"/>
                <w:szCs w:val="20"/>
                <w:color w:val="auto"/>
              </w:rPr>
            </w:pPr>
            <w:r>
              <w:rPr>
                <w:rFonts w:ascii="Arial" w:cs="Arial" w:eastAsia="Arial" w:hAnsi="Arial"/>
                <w:sz w:val="13"/>
                <w:szCs w:val="13"/>
                <w:color w:val="auto"/>
              </w:rPr>
              <w:t>243,965</w:t>
            </w:r>
          </w:p>
        </w:tc>
        <w:tc>
          <w:tcPr>
            <w:tcW w:w="2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60" w:type="dxa"/>
            <w:vAlign w:val="bottom"/>
          </w:tcPr>
          <w:p>
            <w:pPr>
              <w:jc w:val="right"/>
              <w:spacing w:after="0"/>
              <w:rPr>
                <w:sz w:val="20"/>
                <w:szCs w:val="20"/>
                <w:color w:val="auto"/>
              </w:rPr>
            </w:pPr>
            <w:r>
              <w:rPr>
                <w:rFonts w:ascii="Arial" w:cs="Arial" w:eastAsia="Arial" w:hAnsi="Arial"/>
                <w:sz w:val="13"/>
                <w:szCs w:val="13"/>
                <w:color w:val="auto"/>
              </w:rPr>
              <w:t>(1,581,608)</w:t>
            </w:r>
          </w:p>
        </w:tc>
      </w:tr>
      <w:tr>
        <w:trPr>
          <w:trHeight w:val="222"/>
        </w:trPr>
        <w:tc>
          <w:tcPr>
            <w:tcW w:w="3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3"/>
                <w:szCs w:val="13"/>
                <w:color w:val="auto"/>
              </w:rPr>
              <w:t>(1,906,117)</w:t>
            </w:r>
          </w:p>
        </w:tc>
        <w:tc>
          <w:tcPr>
            <w:tcW w:w="2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60" w:type="dxa"/>
            <w:vAlign w:val="bottom"/>
          </w:tcPr>
          <w:p>
            <w:pPr>
              <w:jc w:val="right"/>
              <w:ind w:right="53"/>
              <w:spacing w:after="0"/>
              <w:rPr>
                <w:sz w:val="20"/>
                <w:szCs w:val="20"/>
                <w:color w:val="auto"/>
              </w:rPr>
            </w:pPr>
            <w:r>
              <w:rPr>
                <w:rFonts w:ascii="Arial" w:cs="Arial" w:eastAsia="Arial" w:hAnsi="Arial"/>
                <w:sz w:val="13"/>
                <w:szCs w:val="13"/>
                <w:color w:val="auto"/>
              </w:rPr>
              <w:t>—</w:t>
            </w:r>
          </w:p>
        </w:tc>
      </w:tr>
      <w:tr>
        <w:trPr>
          <w:trHeight w:val="222"/>
        </w:trPr>
        <w:tc>
          <w:tcPr>
            <w:tcW w:w="360" w:type="dxa"/>
            <w:vAlign w:val="bottom"/>
          </w:tcPr>
          <w:p>
            <w:pPr>
              <w:spacing w:after="0"/>
              <w:rPr>
                <w:sz w:val="19"/>
                <w:szCs w:val="19"/>
                <w:color w:val="auto"/>
              </w:rPr>
            </w:pPr>
          </w:p>
        </w:tc>
        <w:tc>
          <w:tcPr>
            <w:tcW w:w="1360" w:type="dxa"/>
            <w:vAlign w:val="bottom"/>
            <w:gridSpan w:val="2"/>
          </w:tcPr>
          <w:p>
            <w:pPr>
              <w:jc w:val="right"/>
              <w:ind w:right="320"/>
              <w:spacing w:after="0"/>
              <w:rPr>
                <w:sz w:val="20"/>
                <w:szCs w:val="20"/>
                <w:color w:val="auto"/>
              </w:rPr>
            </w:pPr>
            <w:r>
              <w:rPr>
                <w:rFonts w:ascii="Arial" w:cs="Arial" w:eastAsia="Arial" w:hAnsi="Arial"/>
                <w:sz w:val="13"/>
                <w:szCs w:val="13"/>
                <w:color w:val="auto"/>
              </w:rPr>
              <w:t>—</w:t>
            </w:r>
          </w:p>
        </w:tc>
        <w:tc>
          <w:tcPr>
            <w:tcW w:w="420" w:type="dxa"/>
            <w:vAlign w:val="bottom"/>
          </w:tcPr>
          <w:p>
            <w:pPr>
              <w:spacing w:after="0"/>
              <w:rPr>
                <w:sz w:val="19"/>
                <w:szCs w:val="19"/>
                <w:color w:val="auto"/>
              </w:rPr>
            </w:pPr>
          </w:p>
        </w:tc>
        <w:tc>
          <w:tcPr>
            <w:tcW w:w="1060" w:type="dxa"/>
            <w:vAlign w:val="bottom"/>
          </w:tcPr>
          <w:p>
            <w:pPr>
              <w:jc w:val="right"/>
              <w:ind w:right="53"/>
              <w:spacing w:after="0"/>
              <w:rPr>
                <w:sz w:val="20"/>
                <w:szCs w:val="20"/>
                <w:color w:val="auto"/>
              </w:rPr>
            </w:pPr>
            <w:r>
              <w:rPr>
                <w:rFonts w:ascii="Arial" w:cs="Arial" w:eastAsia="Arial" w:hAnsi="Arial"/>
                <w:sz w:val="13"/>
                <w:szCs w:val="13"/>
                <w:color w:val="auto"/>
              </w:rPr>
              <w:t>59,980</w:t>
            </w:r>
          </w:p>
        </w:tc>
      </w:tr>
      <w:tr>
        <w:trPr>
          <w:trHeight w:val="27"/>
        </w:trPr>
        <w:tc>
          <w:tcPr>
            <w:tcW w:w="36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r>
      <w:tr>
        <w:trPr>
          <w:trHeight w:val="175"/>
        </w:trPr>
        <w:tc>
          <w:tcPr>
            <w:tcW w:w="360" w:type="dxa"/>
            <w:vAlign w:val="bottom"/>
          </w:tcPr>
          <w:p>
            <w:pPr>
              <w:spacing w:after="0"/>
              <w:rPr>
                <w:sz w:val="15"/>
                <w:szCs w:val="15"/>
                <w:color w:val="auto"/>
              </w:rPr>
            </w:pPr>
          </w:p>
        </w:tc>
        <w:tc>
          <w:tcPr>
            <w:tcW w:w="1140" w:type="dxa"/>
            <w:vAlign w:val="bottom"/>
          </w:tcPr>
          <w:p>
            <w:pPr>
              <w:jc w:val="right"/>
              <w:spacing w:after="0"/>
              <w:rPr>
                <w:sz w:val="20"/>
                <w:szCs w:val="20"/>
                <w:color w:val="auto"/>
              </w:rPr>
            </w:pPr>
            <w:r>
              <w:rPr>
                <w:rFonts w:ascii="Arial" w:cs="Arial" w:eastAsia="Arial" w:hAnsi="Arial"/>
                <w:sz w:val="13"/>
                <w:szCs w:val="13"/>
                <w:color w:val="auto"/>
              </w:rPr>
              <w:t>(3,444,408)</w:t>
            </w:r>
          </w:p>
        </w:tc>
        <w:tc>
          <w:tcPr>
            <w:tcW w:w="2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060" w:type="dxa"/>
            <w:vAlign w:val="bottom"/>
          </w:tcPr>
          <w:p>
            <w:pPr>
              <w:jc w:val="right"/>
              <w:ind w:right="53"/>
              <w:spacing w:after="0"/>
              <w:rPr>
                <w:sz w:val="20"/>
                <w:szCs w:val="20"/>
                <w:color w:val="auto"/>
              </w:rPr>
            </w:pPr>
            <w:r>
              <w:rPr>
                <w:rFonts w:ascii="Arial" w:cs="Arial" w:eastAsia="Arial" w:hAnsi="Arial"/>
                <w:sz w:val="13"/>
                <w:szCs w:val="13"/>
                <w:color w:val="auto"/>
              </w:rPr>
              <w:t>581,386</w:t>
            </w:r>
          </w:p>
        </w:tc>
      </w:tr>
      <w:tr>
        <w:trPr>
          <w:trHeight w:val="27"/>
        </w:trPr>
        <w:tc>
          <w:tcPr>
            <w:tcW w:w="36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r>
    </w:tbl>
    <w:p>
      <w:pPr>
        <w:spacing w:after="0" w:line="222" w:lineRule="exact"/>
        <w:rPr>
          <w:sz w:val="20"/>
          <w:szCs w:val="20"/>
          <w:color w:val="auto"/>
        </w:rPr>
      </w:pPr>
    </w:p>
    <w:p>
      <w:pPr>
        <w:sectPr>
          <w:pgSz w:w="11900" w:h="16838" w:orient="portrait"/>
          <w:cols w:equalWidth="0" w:num="2">
            <w:col w:w="7540" w:space="720"/>
            <w:col w:w="3200"/>
          </w:cols>
          <w:pgMar w:left="220" w:top="502" w:right="219" w:bottom="1440" w:gutter="0" w:footer="0" w:header="0"/>
          <w:type w:val="continuous"/>
        </w:sectPr>
      </w:pPr>
    </w:p>
    <w:tbl>
      <w:tblPr>
        <w:tblLayout w:type="fixed"/>
        <w:tblInd w:w="0" w:type="dxa"/>
        <w:tblCellMar>
          <w:top w:w="0" w:type="dxa"/>
          <w:left w:w="0" w:type="dxa"/>
          <w:bottom w:w="0" w:type="dxa"/>
          <w:right w:w="0" w:type="dxa"/>
        </w:tblCellMar>
      </w:tblPr>
      <w:tr>
        <w:trPr>
          <w:trHeight w:val="202"/>
        </w:trPr>
        <w:tc>
          <w:tcPr>
            <w:tcW w:w="8260" w:type="dxa"/>
            <w:vAlign w:val="bottom"/>
            <w:tcBorders>
              <w:bottom w:val="single" w:sz="8" w:color="CCEEFF"/>
            </w:tcBorders>
            <w:shd w:val="clear" w:color="auto" w:fill="CCEEFF"/>
          </w:tcPr>
          <w:p>
            <w:pPr>
              <w:ind w:left="320"/>
              <w:spacing w:after="0"/>
              <w:rPr>
                <w:sz w:val="20"/>
                <w:szCs w:val="20"/>
                <w:color w:val="auto"/>
              </w:rPr>
            </w:pPr>
            <w:r>
              <w:rPr>
                <w:rFonts w:ascii="Arial" w:cs="Arial" w:eastAsia="Arial" w:hAnsi="Arial"/>
                <w:sz w:val="13"/>
                <w:szCs w:val="13"/>
                <w:color w:val="auto"/>
              </w:rPr>
              <w:t>Acquisition of property and equipment</w:t>
            </w:r>
          </w:p>
        </w:tc>
        <w:tc>
          <w:tcPr>
            <w:tcW w:w="44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(272,039)</w:t>
            </w:r>
          </w:p>
        </w:tc>
        <w:tc>
          <w:tcPr>
            <w:tcW w:w="22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(893,698)</w:t>
            </w:r>
          </w:p>
        </w:tc>
      </w:tr>
      <w:tr>
        <w:trPr>
          <w:trHeight w:val="195"/>
        </w:trPr>
        <w:tc>
          <w:tcPr>
            <w:tcW w:w="8260" w:type="dxa"/>
            <w:vAlign w:val="bottom"/>
          </w:tcPr>
          <w:p>
            <w:pPr>
              <w:ind w:left="320"/>
              <w:spacing w:after="0"/>
              <w:rPr>
                <w:sz w:val="20"/>
                <w:szCs w:val="20"/>
                <w:color w:val="auto"/>
              </w:rPr>
            </w:pPr>
            <w:r>
              <w:rPr>
                <w:rFonts w:ascii="Arial" w:cs="Arial" w:eastAsia="Arial" w:hAnsi="Arial"/>
                <w:sz w:val="13"/>
                <w:szCs w:val="13"/>
                <w:color w:val="auto"/>
              </w:rPr>
              <w:t>Intangible property costs</w:t>
            </w:r>
          </w:p>
        </w:tc>
        <w:tc>
          <w:tcPr>
            <w:tcW w:w="440" w:type="dxa"/>
            <w:vAlign w:val="bottom"/>
          </w:tcPr>
          <w:p>
            <w:pPr>
              <w:spacing w:after="0"/>
              <w:rPr>
                <w:sz w:val="16"/>
                <w:szCs w:val="16"/>
                <w:color w:val="auto"/>
              </w:rPr>
            </w:pPr>
          </w:p>
        </w:tc>
        <w:tc>
          <w:tcPr>
            <w:tcW w:w="1060" w:type="dxa"/>
            <w:vAlign w:val="bottom"/>
          </w:tcPr>
          <w:p>
            <w:pPr>
              <w:jc w:val="right"/>
              <w:spacing w:after="0"/>
              <w:rPr>
                <w:sz w:val="20"/>
                <w:szCs w:val="20"/>
                <w:color w:val="auto"/>
              </w:rPr>
            </w:pPr>
            <w:r>
              <w:rPr>
                <w:rFonts w:ascii="Arial" w:cs="Arial" w:eastAsia="Arial" w:hAnsi="Arial"/>
                <w:sz w:val="13"/>
                <w:szCs w:val="13"/>
                <w:color w:val="auto"/>
              </w:rPr>
              <w:t>(277,068)</w:t>
            </w:r>
          </w:p>
        </w:tc>
        <w:tc>
          <w:tcPr>
            <w:tcW w:w="22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040" w:type="dxa"/>
            <w:vAlign w:val="bottom"/>
          </w:tcPr>
          <w:p>
            <w:pPr>
              <w:jc w:val="right"/>
              <w:spacing w:after="0"/>
              <w:rPr>
                <w:sz w:val="20"/>
                <w:szCs w:val="20"/>
                <w:color w:val="auto"/>
              </w:rPr>
            </w:pPr>
            <w:r>
              <w:rPr>
                <w:rFonts w:ascii="Arial" w:cs="Arial" w:eastAsia="Arial" w:hAnsi="Arial"/>
                <w:sz w:val="13"/>
                <w:szCs w:val="13"/>
                <w:color w:val="auto"/>
              </w:rPr>
              <w:t>(392,485)</w:t>
            </w:r>
          </w:p>
        </w:tc>
      </w:tr>
      <w:tr>
        <w:trPr>
          <w:trHeight w:val="27"/>
        </w:trPr>
        <w:tc>
          <w:tcPr>
            <w:tcW w:w="8260" w:type="dxa"/>
            <w:vAlign w:val="bottom"/>
          </w:tcPr>
          <w:p>
            <w:pPr>
              <w:spacing w:after="0"/>
              <w:rPr>
                <w:sz w:val="2"/>
                <w:szCs w:val="2"/>
                <w:color w:val="auto"/>
              </w:rPr>
            </w:pPr>
          </w:p>
        </w:tc>
        <w:tc>
          <w:tcPr>
            <w:tcW w:w="440" w:type="dxa"/>
            <w:vAlign w:val="bottom"/>
          </w:tcPr>
          <w:p>
            <w:pPr>
              <w:spacing w:after="0"/>
              <w:rPr>
                <w:sz w:val="2"/>
                <w:szCs w:val="2"/>
                <w:color w:val="auto"/>
              </w:rPr>
            </w:pPr>
          </w:p>
        </w:tc>
        <w:tc>
          <w:tcPr>
            <w:tcW w:w="1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440" w:type="dxa"/>
            <w:vAlign w:val="bottom"/>
          </w:tcPr>
          <w:p>
            <w:pPr>
              <w:spacing w:after="0"/>
              <w:rPr>
                <w:sz w:val="2"/>
                <w:szCs w:val="2"/>
                <w:color w:val="auto"/>
              </w:rPr>
            </w:pPr>
          </w:p>
        </w:tc>
        <w:tc>
          <w:tcPr>
            <w:tcW w:w="1040" w:type="dxa"/>
            <w:vAlign w:val="bottom"/>
          </w:tcPr>
          <w:p>
            <w:pPr>
              <w:spacing w:after="0"/>
              <w:rPr>
                <w:sz w:val="2"/>
                <w:szCs w:val="2"/>
                <w:color w:val="auto"/>
              </w:rPr>
            </w:pPr>
          </w:p>
        </w:tc>
      </w:tr>
      <w:tr>
        <w:trPr>
          <w:trHeight w:val="202"/>
        </w:trPr>
        <w:tc>
          <w:tcPr>
            <w:tcW w:w="8260" w:type="dxa"/>
            <w:vAlign w:val="bottom"/>
            <w:tcBorders>
              <w:bottom w:val="single" w:sz="8" w:color="CCEEFF"/>
            </w:tcBorders>
            <w:shd w:val="clear" w:color="auto" w:fill="CCEEFF"/>
          </w:tcPr>
          <w:p>
            <w:pPr>
              <w:ind w:left="320"/>
              <w:spacing w:after="0"/>
              <w:rPr>
                <w:sz w:val="20"/>
                <w:szCs w:val="20"/>
                <w:color w:val="auto"/>
              </w:rPr>
            </w:pPr>
            <w:r>
              <w:rPr>
                <w:rFonts w:ascii="Arial" w:cs="Arial" w:eastAsia="Arial" w:hAnsi="Arial"/>
                <w:sz w:val="13"/>
                <w:szCs w:val="13"/>
                <w:color w:val="auto"/>
              </w:rPr>
              <w:t>Proceeds from sale of property and equipment</w:t>
            </w:r>
          </w:p>
        </w:tc>
        <w:tc>
          <w:tcPr>
            <w:tcW w:w="44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1,000</w:t>
            </w:r>
          </w:p>
        </w:tc>
        <w:tc>
          <w:tcPr>
            <w:tcW w:w="22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10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3,000</w:t>
            </w:r>
          </w:p>
        </w:tc>
      </w:tr>
      <w:tr>
        <w:trPr>
          <w:trHeight w:val="195"/>
        </w:trPr>
        <w:tc>
          <w:tcPr>
            <w:tcW w:w="8260" w:type="dxa"/>
            <w:vAlign w:val="bottom"/>
          </w:tcPr>
          <w:p>
            <w:pPr>
              <w:ind w:left="320"/>
              <w:spacing w:after="0"/>
              <w:rPr>
                <w:sz w:val="20"/>
                <w:szCs w:val="20"/>
                <w:color w:val="auto"/>
              </w:rPr>
            </w:pPr>
            <w:r>
              <w:rPr>
                <w:rFonts w:ascii="Arial" w:cs="Arial" w:eastAsia="Arial" w:hAnsi="Arial"/>
                <w:sz w:val="13"/>
                <w:szCs w:val="13"/>
                <w:color w:val="auto"/>
              </w:rPr>
              <w:t>Proceeds from sales of discontinued operations</w:t>
            </w:r>
          </w:p>
        </w:tc>
        <w:tc>
          <w:tcPr>
            <w:tcW w:w="440" w:type="dxa"/>
            <w:vAlign w:val="bottom"/>
          </w:tcPr>
          <w:p>
            <w:pPr>
              <w:spacing w:after="0"/>
              <w:rPr>
                <w:sz w:val="16"/>
                <w:szCs w:val="16"/>
                <w:color w:val="auto"/>
              </w:rPr>
            </w:pPr>
          </w:p>
        </w:tc>
        <w:tc>
          <w:tcPr>
            <w:tcW w:w="1060" w:type="dxa"/>
            <w:vAlign w:val="bottom"/>
          </w:tcPr>
          <w:p>
            <w:pPr>
              <w:jc w:val="right"/>
              <w:ind w:right="33"/>
              <w:spacing w:after="0"/>
              <w:rPr>
                <w:sz w:val="20"/>
                <w:szCs w:val="20"/>
                <w:color w:val="auto"/>
              </w:rPr>
            </w:pPr>
            <w:r>
              <w:rPr>
                <w:rFonts w:ascii="Arial" w:cs="Arial" w:eastAsia="Arial" w:hAnsi="Arial"/>
                <w:sz w:val="13"/>
                <w:szCs w:val="13"/>
                <w:color w:val="auto"/>
              </w:rPr>
              <w:t>14,775,541</w:t>
            </w:r>
          </w:p>
        </w:tc>
        <w:tc>
          <w:tcPr>
            <w:tcW w:w="22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040" w:type="dxa"/>
            <w:vAlign w:val="bottom"/>
          </w:tcPr>
          <w:p>
            <w:pPr>
              <w:jc w:val="right"/>
              <w:ind w:right="53"/>
              <w:spacing w:after="0"/>
              <w:rPr>
                <w:sz w:val="20"/>
                <w:szCs w:val="20"/>
                <w:color w:val="auto"/>
              </w:rPr>
            </w:pPr>
            <w:r>
              <w:rPr>
                <w:rFonts w:ascii="Arial" w:cs="Arial" w:eastAsia="Arial" w:hAnsi="Arial"/>
                <w:sz w:val="13"/>
                <w:szCs w:val="13"/>
                <w:color w:val="auto"/>
              </w:rPr>
              <w:t>28,026,528</w:t>
            </w:r>
          </w:p>
        </w:tc>
      </w:tr>
      <w:tr>
        <w:trPr>
          <w:trHeight w:val="27"/>
        </w:trPr>
        <w:tc>
          <w:tcPr>
            <w:tcW w:w="826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r>
      <w:tr>
        <w:trPr>
          <w:trHeight w:val="202"/>
        </w:trPr>
        <w:tc>
          <w:tcPr>
            <w:tcW w:w="8260" w:type="dxa"/>
            <w:vAlign w:val="bottom"/>
            <w:tcBorders>
              <w:bottom w:val="single" w:sz="8" w:color="CCEEFF"/>
            </w:tcBorders>
            <w:shd w:val="clear" w:color="auto" w:fill="CCEEFF"/>
          </w:tcPr>
          <w:p>
            <w:pPr>
              <w:ind w:left="940"/>
              <w:spacing w:after="0"/>
              <w:rPr>
                <w:sz w:val="20"/>
                <w:szCs w:val="20"/>
                <w:color w:val="auto"/>
              </w:rPr>
            </w:pPr>
            <w:r>
              <w:rPr>
                <w:rFonts w:ascii="Arial" w:cs="Arial" w:eastAsia="Arial" w:hAnsi="Arial"/>
                <w:sz w:val="13"/>
                <w:szCs w:val="13"/>
                <w:color w:val="auto"/>
              </w:rPr>
              <w:t>Net cash provided by investing activities</w:t>
            </w:r>
          </w:p>
        </w:tc>
        <w:tc>
          <w:tcPr>
            <w:tcW w:w="44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14,227,434</w:t>
            </w:r>
          </w:p>
        </w:tc>
        <w:tc>
          <w:tcPr>
            <w:tcW w:w="22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10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26,743,345</w:t>
            </w:r>
          </w:p>
        </w:tc>
      </w:tr>
      <w:tr>
        <w:trPr>
          <w:trHeight w:val="164"/>
        </w:trPr>
        <w:tc>
          <w:tcPr>
            <w:tcW w:w="8260" w:type="dxa"/>
            <w:vAlign w:val="bottom"/>
          </w:tcPr>
          <w:p>
            <w:pPr>
              <w:ind w:left="40"/>
              <w:spacing w:after="0"/>
              <w:rPr>
                <w:sz w:val="20"/>
                <w:szCs w:val="20"/>
                <w:color w:val="auto"/>
              </w:rPr>
            </w:pPr>
            <w:r>
              <w:rPr>
                <w:rFonts w:ascii="Arial" w:cs="Arial" w:eastAsia="Arial" w:hAnsi="Arial"/>
                <w:sz w:val="13"/>
                <w:szCs w:val="13"/>
                <w:b w:val="1"/>
                <w:bCs w:val="1"/>
                <w:color w:val="auto"/>
              </w:rPr>
              <w:t>Cash flows used in financing activities</w:t>
            </w:r>
          </w:p>
        </w:tc>
        <w:tc>
          <w:tcPr>
            <w:tcW w:w="440" w:type="dxa"/>
            <w:vAlign w:val="bottom"/>
            <w:tcBorders>
              <w:top w:val="single" w:sz="8" w:color="auto"/>
            </w:tcBorders>
          </w:tcPr>
          <w:p>
            <w:pPr>
              <w:spacing w:after="0"/>
              <w:rPr>
                <w:sz w:val="14"/>
                <w:szCs w:val="14"/>
                <w:color w:val="auto"/>
              </w:rPr>
            </w:pPr>
          </w:p>
        </w:tc>
        <w:tc>
          <w:tcPr>
            <w:tcW w:w="1060" w:type="dxa"/>
            <w:vAlign w:val="bottom"/>
            <w:tcBorders>
              <w:top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440" w:type="dxa"/>
            <w:vAlign w:val="bottom"/>
            <w:tcBorders>
              <w:top w:val="single" w:sz="8" w:color="auto"/>
            </w:tcBorders>
          </w:tcPr>
          <w:p>
            <w:pPr>
              <w:spacing w:after="0"/>
              <w:rPr>
                <w:sz w:val="14"/>
                <w:szCs w:val="14"/>
                <w:color w:val="auto"/>
              </w:rPr>
            </w:pPr>
          </w:p>
        </w:tc>
        <w:tc>
          <w:tcPr>
            <w:tcW w:w="1040" w:type="dxa"/>
            <w:vAlign w:val="bottom"/>
            <w:tcBorders>
              <w:top w:val="single" w:sz="8" w:color="auto"/>
            </w:tcBorders>
          </w:tcPr>
          <w:p>
            <w:pPr>
              <w:spacing w:after="0"/>
              <w:rPr>
                <w:sz w:val="14"/>
                <w:szCs w:val="14"/>
                <w:color w:val="auto"/>
              </w:rPr>
            </w:pPr>
          </w:p>
        </w:tc>
      </w:tr>
      <w:tr>
        <w:trPr>
          <w:trHeight w:val="49"/>
        </w:trPr>
        <w:tc>
          <w:tcPr>
            <w:tcW w:w="8260" w:type="dxa"/>
            <w:vAlign w:val="bottom"/>
          </w:tcPr>
          <w:p>
            <w:pPr>
              <w:spacing w:after="0"/>
              <w:rPr>
                <w:sz w:val="4"/>
                <w:szCs w:val="4"/>
                <w:color w:val="auto"/>
              </w:rPr>
            </w:pPr>
          </w:p>
        </w:tc>
        <w:tc>
          <w:tcPr>
            <w:tcW w:w="440" w:type="dxa"/>
            <w:vAlign w:val="bottom"/>
          </w:tcPr>
          <w:p>
            <w:pPr>
              <w:spacing w:after="0"/>
              <w:rPr>
                <w:sz w:val="4"/>
                <w:szCs w:val="4"/>
                <w:color w:val="auto"/>
              </w:rPr>
            </w:pPr>
          </w:p>
        </w:tc>
        <w:tc>
          <w:tcPr>
            <w:tcW w:w="1060" w:type="dxa"/>
            <w:vAlign w:val="bottom"/>
          </w:tcPr>
          <w:p>
            <w:pPr>
              <w:spacing w:after="0"/>
              <w:rPr>
                <w:sz w:val="4"/>
                <w:szCs w:val="4"/>
                <w:color w:val="auto"/>
              </w:rPr>
            </w:pPr>
          </w:p>
        </w:tc>
        <w:tc>
          <w:tcPr>
            <w:tcW w:w="220" w:type="dxa"/>
            <w:vAlign w:val="bottom"/>
          </w:tcPr>
          <w:p>
            <w:pPr>
              <w:spacing w:after="0"/>
              <w:rPr>
                <w:sz w:val="4"/>
                <w:szCs w:val="4"/>
                <w:color w:val="auto"/>
              </w:rPr>
            </w:pPr>
          </w:p>
        </w:tc>
        <w:tc>
          <w:tcPr>
            <w:tcW w:w="440" w:type="dxa"/>
            <w:vAlign w:val="bottom"/>
          </w:tcPr>
          <w:p>
            <w:pPr>
              <w:spacing w:after="0"/>
              <w:rPr>
                <w:sz w:val="4"/>
                <w:szCs w:val="4"/>
                <w:color w:val="auto"/>
              </w:rPr>
            </w:pPr>
          </w:p>
        </w:tc>
        <w:tc>
          <w:tcPr>
            <w:tcW w:w="1040" w:type="dxa"/>
            <w:vAlign w:val="bottom"/>
          </w:tcPr>
          <w:p>
            <w:pPr>
              <w:spacing w:after="0"/>
              <w:rPr>
                <w:sz w:val="4"/>
                <w:szCs w:val="4"/>
                <w:color w:val="auto"/>
              </w:rPr>
            </w:pPr>
          </w:p>
        </w:tc>
      </w:tr>
      <w:tr>
        <w:trPr>
          <w:trHeight w:val="202"/>
        </w:trPr>
        <w:tc>
          <w:tcPr>
            <w:tcW w:w="8260" w:type="dxa"/>
            <w:vAlign w:val="bottom"/>
            <w:tcBorders>
              <w:bottom w:val="single" w:sz="8" w:color="CCEEFF"/>
            </w:tcBorders>
            <w:shd w:val="clear" w:color="auto" w:fill="CCEEFF"/>
          </w:tcPr>
          <w:p>
            <w:pPr>
              <w:ind w:left="320"/>
              <w:spacing w:after="0"/>
              <w:rPr>
                <w:sz w:val="20"/>
                <w:szCs w:val="20"/>
                <w:color w:val="auto"/>
              </w:rPr>
            </w:pPr>
            <w:r>
              <w:rPr>
                <w:rFonts w:ascii="Arial" w:cs="Arial" w:eastAsia="Arial" w:hAnsi="Arial"/>
                <w:sz w:val="13"/>
                <w:szCs w:val="13"/>
                <w:color w:val="auto"/>
              </w:rPr>
              <w:t>Payments on capital lease obligations</w:t>
            </w:r>
          </w:p>
        </w:tc>
        <w:tc>
          <w:tcPr>
            <w:tcW w:w="44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(33,064)</w:t>
            </w:r>
          </w:p>
        </w:tc>
        <w:tc>
          <w:tcPr>
            <w:tcW w:w="22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(38,753)</w:t>
            </w:r>
          </w:p>
        </w:tc>
      </w:tr>
      <w:tr>
        <w:trPr>
          <w:trHeight w:val="195"/>
        </w:trPr>
        <w:tc>
          <w:tcPr>
            <w:tcW w:w="8260" w:type="dxa"/>
            <w:vAlign w:val="bottom"/>
          </w:tcPr>
          <w:p>
            <w:pPr>
              <w:ind w:left="320"/>
              <w:spacing w:after="0"/>
              <w:rPr>
                <w:sz w:val="20"/>
                <w:szCs w:val="20"/>
                <w:color w:val="auto"/>
              </w:rPr>
            </w:pPr>
            <w:r>
              <w:rPr>
                <w:rFonts w:ascii="Arial" w:cs="Arial" w:eastAsia="Arial" w:hAnsi="Arial"/>
                <w:sz w:val="13"/>
                <w:szCs w:val="13"/>
                <w:color w:val="auto"/>
              </w:rPr>
              <w:t>Payments of debt obligations</w:t>
            </w:r>
          </w:p>
        </w:tc>
        <w:tc>
          <w:tcPr>
            <w:tcW w:w="440" w:type="dxa"/>
            <w:vAlign w:val="bottom"/>
          </w:tcPr>
          <w:p>
            <w:pPr>
              <w:spacing w:after="0"/>
              <w:rPr>
                <w:sz w:val="16"/>
                <w:szCs w:val="16"/>
                <w:color w:val="auto"/>
              </w:rPr>
            </w:pPr>
          </w:p>
        </w:tc>
        <w:tc>
          <w:tcPr>
            <w:tcW w:w="1060" w:type="dxa"/>
            <w:vAlign w:val="bottom"/>
          </w:tcPr>
          <w:p>
            <w:pPr>
              <w:jc w:val="right"/>
              <w:spacing w:after="0"/>
              <w:rPr>
                <w:sz w:val="20"/>
                <w:szCs w:val="20"/>
                <w:color w:val="auto"/>
              </w:rPr>
            </w:pPr>
            <w:r>
              <w:rPr>
                <w:rFonts w:ascii="Arial" w:cs="Arial" w:eastAsia="Arial" w:hAnsi="Arial"/>
                <w:sz w:val="13"/>
                <w:szCs w:val="13"/>
                <w:color w:val="auto"/>
              </w:rPr>
              <w:t>(1,375,000)</w:t>
            </w:r>
          </w:p>
        </w:tc>
        <w:tc>
          <w:tcPr>
            <w:tcW w:w="22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040" w:type="dxa"/>
            <w:vAlign w:val="bottom"/>
          </w:tcPr>
          <w:p>
            <w:pPr>
              <w:jc w:val="right"/>
              <w:spacing w:after="0"/>
              <w:rPr>
                <w:sz w:val="20"/>
                <w:szCs w:val="20"/>
                <w:color w:val="auto"/>
              </w:rPr>
            </w:pPr>
            <w:r>
              <w:rPr>
                <w:rFonts w:ascii="Arial" w:cs="Arial" w:eastAsia="Arial" w:hAnsi="Arial"/>
                <w:sz w:val="13"/>
                <w:szCs w:val="13"/>
                <w:color w:val="auto"/>
              </w:rPr>
              <w:t>(1,374,999)</w:t>
            </w:r>
          </w:p>
        </w:tc>
      </w:tr>
      <w:tr>
        <w:trPr>
          <w:trHeight w:val="27"/>
        </w:trPr>
        <w:tc>
          <w:tcPr>
            <w:tcW w:w="8260" w:type="dxa"/>
            <w:vAlign w:val="bottom"/>
          </w:tcPr>
          <w:p>
            <w:pPr>
              <w:spacing w:after="0"/>
              <w:rPr>
                <w:sz w:val="2"/>
                <w:szCs w:val="2"/>
                <w:color w:val="auto"/>
              </w:rPr>
            </w:pPr>
          </w:p>
        </w:tc>
        <w:tc>
          <w:tcPr>
            <w:tcW w:w="440" w:type="dxa"/>
            <w:vAlign w:val="bottom"/>
          </w:tcPr>
          <w:p>
            <w:pPr>
              <w:spacing w:after="0"/>
              <w:rPr>
                <w:sz w:val="2"/>
                <w:szCs w:val="2"/>
                <w:color w:val="auto"/>
              </w:rPr>
            </w:pPr>
          </w:p>
        </w:tc>
        <w:tc>
          <w:tcPr>
            <w:tcW w:w="1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440" w:type="dxa"/>
            <w:vAlign w:val="bottom"/>
          </w:tcPr>
          <w:p>
            <w:pPr>
              <w:spacing w:after="0"/>
              <w:rPr>
                <w:sz w:val="2"/>
                <w:szCs w:val="2"/>
                <w:color w:val="auto"/>
              </w:rPr>
            </w:pPr>
          </w:p>
        </w:tc>
        <w:tc>
          <w:tcPr>
            <w:tcW w:w="1040" w:type="dxa"/>
            <w:vAlign w:val="bottom"/>
          </w:tcPr>
          <w:p>
            <w:pPr>
              <w:spacing w:after="0"/>
              <w:rPr>
                <w:sz w:val="2"/>
                <w:szCs w:val="2"/>
                <w:color w:val="auto"/>
              </w:rPr>
            </w:pPr>
          </w:p>
        </w:tc>
      </w:tr>
      <w:tr>
        <w:trPr>
          <w:trHeight w:val="202"/>
        </w:trPr>
        <w:tc>
          <w:tcPr>
            <w:tcW w:w="8260" w:type="dxa"/>
            <w:vAlign w:val="bottom"/>
            <w:tcBorders>
              <w:bottom w:val="single" w:sz="8" w:color="CCEEFF"/>
            </w:tcBorders>
            <w:shd w:val="clear" w:color="auto" w:fill="CCEEFF"/>
          </w:tcPr>
          <w:p>
            <w:pPr>
              <w:ind w:left="320"/>
              <w:spacing w:after="0"/>
              <w:rPr>
                <w:sz w:val="20"/>
                <w:szCs w:val="20"/>
                <w:color w:val="auto"/>
              </w:rPr>
            </w:pPr>
            <w:r>
              <w:rPr>
                <w:rFonts w:ascii="Arial" w:cs="Arial" w:eastAsia="Arial" w:hAnsi="Arial"/>
                <w:sz w:val="13"/>
                <w:szCs w:val="13"/>
                <w:color w:val="auto"/>
              </w:rPr>
              <w:t>Repurchase of common stock</w:t>
            </w:r>
          </w:p>
        </w:tc>
        <w:tc>
          <w:tcPr>
            <w:tcW w:w="44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(466,894)</w:t>
            </w:r>
          </w:p>
        </w:tc>
        <w:tc>
          <w:tcPr>
            <w:tcW w:w="22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(228,020)</w:t>
            </w:r>
          </w:p>
        </w:tc>
      </w:tr>
      <w:tr>
        <w:trPr>
          <w:trHeight w:val="195"/>
        </w:trPr>
        <w:tc>
          <w:tcPr>
            <w:tcW w:w="8260" w:type="dxa"/>
            <w:vAlign w:val="bottom"/>
          </w:tcPr>
          <w:p>
            <w:pPr>
              <w:ind w:left="320"/>
              <w:spacing w:after="0"/>
              <w:rPr>
                <w:sz w:val="20"/>
                <w:szCs w:val="20"/>
                <w:color w:val="auto"/>
              </w:rPr>
            </w:pPr>
            <w:r>
              <w:rPr>
                <w:rFonts w:ascii="Arial" w:cs="Arial" w:eastAsia="Arial" w:hAnsi="Arial"/>
                <w:sz w:val="13"/>
                <w:szCs w:val="13"/>
                <w:color w:val="auto"/>
              </w:rPr>
              <w:t>Proceeds from the exercise of options and warrants</w:t>
            </w:r>
          </w:p>
        </w:tc>
        <w:tc>
          <w:tcPr>
            <w:tcW w:w="440" w:type="dxa"/>
            <w:vAlign w:val="bottom"/>
          </w:tcPr>
          <w:p>
            <w:pPr>
              <w:spacing w:after="0"/>
              <w:rPr>
                <w:sz w:val="16"/>
                <w:szCs w:val="16"/>
                <w:color w:val="auto"/>
              </w:rPr>
            </w:pPr>
          </w:p>
        </w:tc>
        <w:tc>
          <w:tcPr>
            <w:tcW w:w="1060" w:type="dxa"/>
            <w:vAlign w:val="bottom"/>
          </w:tcPr>
          <w:p>
            <w:pPr>
              <w:jc w:val="right"/>
              <w:ind w:right="33"/>
              <w:spacing w:after="0"/>
              <w:rPr>
                <w:sz w:val="20"/>
                <w:szCs w:val="20"/>
                <w:color w:val="auto"/>
              </w:rPr>
            </w:pPr>
            <w:r>
              <w:rPr>
                <w:rFonts w:ascii="Arial" w:cs="Arial" w:eastAsia="Arial" w:hAnsi="Arial"/>
                <w:sz w:val="13"/>
                <w:szCs w:val="13"/>
                <w:color w:val="auto"/>
              </w:rPr>
              <w:t>1,255,118</w:t>
            </w:r>
          </w:p>
        </w:tc>
        <w:tc>
          <w:tcPr>
            <w:tcW w:w="22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040" w:type="dxa"/>
            <w:vAlign w:val="bottom"/>
          </w:tcPr>
          <w:p>
            <w:pPr>
              <w:jc w:val="right"/>
              <w:ind w:right="53"/>
              <w:spacing w:after="0"/>
              <w:rPr>
                <w:sz w:val="20"/>
                <w:szCs w:val="20"/>
                <w:color w:val="auto"/>
              </w:rPr>
            </w:pPr>
            <w:r>
              <w:rPr>
                <w:rFonts w:ascii="Arial" w:cs="Arial" w:eastAsia="Arial" w:hAnsi="Arial"/>
                <w:sz w:val="13"/>
                <w:szCs w:val="13"/>
                <w:color w:val="auto"/>
              </w:rPr>
              <w:t>29,020</w:t>
            </w:r>
          </w:p>
        </w:tc>
      </w:tr>
      <w:tr>
        <w:trPr>
          <w:trHeight w:val="27"/>
        </w:trPr>
        <w:tc>
          <w:tcPr>
            <w:tcW w:w="826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r>
      <w:tr>
        <w:trPr>
          <w:trHeight w:val="202"/>
        </w:trPr>
        <w:tc>
          <w:tcPr>
            <w:tcW w:w="8260" w:type="dxa"/>
            <w:vAlign w:val="bottom"/>
            <w:tcBorders>
              <w:bottom w:val="single" w:sz="8" w:color="CCEEFF"/>
            </w:tcBorders>
            <w:shd w:val="clear" w:color="auto" w:fill="CCEEFF"/>
          </w:tcPr>
          <w:p>
            <w:pPr>
              <w:ind w:left="940"/>
              <w:spacing w:after="0"/>
              <w:rPr>
                <w:sz w:val="20"/>
                <w:szCs w:val="20"/>
                <w:color w:val="auto"/>
              </w:rPr>
            </w:pPr>
            <w:r>
              <w:rPr>
                <w:rFonts w:ascii="Arial" w:cs="Arial" w:eastAsia="Arial" w:hAnsi="Arial"/>
                <w:sz w:val="13"/>
                <w:szCs w:val="13"/>
                <w:color w:val="auto"/>
              </w:rPr>
              <w:t>Net cash used in financing activities</w:t>
            </w:r>
          </w:p>
        </w:tc>
        <w:tc>
          <w:tcPr>
            <w:tcW w:w="44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(619,840)</w:t>
            </w:r>
          </w:p>
        </w:tc>
        <w:tc>
          <w:tcPr>
            <w:tcW w:w="220" w:type="dxa"/>
            <w:vAlign w:val="bottom"/>
            <w:tcBorders>
              <w:bottom w:val="single" w:sz="8" w:color="CCEEFF"/>
            </w:tcBorders>
            <w:shd w:val="clear" w:color="auto" w:fill="CCEEFF"/>
          </w:tcPr>
          <w:p>
            <w:pPr>
              <w:spacing w:after="0"/>
              <w:rPr>
                <w:sz w:val="17"/>
                <w:szCs w:val="17"/>
                <w:color w:val="auto"/>
              </w:rPr>
            </w:pPr>
          </w:p>
        </w:tc>
        <w:tc>
          <w:tcPr>
            <w:tcW w:w="440" w:type="dxa"/>
            <w:vAlign w:val="bottom"/>
            <w:tcBorders>
              <w:bottom w:val="single" w:sz="8" w:color="CCEEFF"/>
            </w:tcBorders>
            <w:shd w:val="clear" w:color="auto" w:fill="CCEEFF"/>
          </w:tcPr>
          <w:p>
            <w:pPr>
              <w:spacing w:after="0"/>
              <w:rPr>
                <w:sz w:val="17"/>
                <w:szCs w:val="17"/>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(1,612,752)</w:t>
            </w:r>
          </w:p>
        </w:tc>
      </w:tr>
      <w:tr>
        <w:trPr>
          <w:trHeight w:val="175"/>
        </w:trPr>
        <w:tc>
          <w:tcPr>
            <w:tcW w:w="8260" w:type="dxa"/>
            <w:vAlign w:val="bottom"/>
          </w:tcPr>
          <w:p>
            <w:pPr>
              <w:ind w:left="40"/>
              <w:spacing w:after="0"/>
              <w:rPr>
                <w:sz w:val="20"/>
                <w:szCs w:val="20"/>
                <w:color w:val="auto"/>
              </w:rPr>
            </w:pPr>
            <w:r>
              <w:rPr>
                <w:rFonts w:ascii="Arial" w:cs="Arial" w:eastAsia="Arial" w:hAnsi="Arial"/>
                <w:sz w:val="13"/>
                <w:szCs w:val="13"/>
                <w:b w:val="1"/>
                <w:bCs w:val="1"/>
                <w:color w:val="auto"/>
              </w:rPr>
              <w:t>Net increase in cash or cash equivalents</w:t>
            </w:r>
          </w:p>
        </w:tc>
        <w:tc>
          <w:tcPr>
            <w:tcW w:w="440" w:type="dxa"/>
            <w:vAlign w:val="bottom"/>
            <w:tcBorders>
              <w:top w:val="single" w:sz="8" w:color="auto"/>
            </w:tcBorders>
          </w:tcPr>
          <w:p>
            <w:pPr>
              <w:spacing w:after="0"/>
              <w:rPr>
                <w:sz w:val="15"/>
                <w:szCs w:val="15"/>
                <w:color w:val="auto"/>
              </w:rPr>
            </w:pPr>
          </w:p>
        </w:tc>
        <w:tc>
          <w:tcPr>
            <w:tcW w:w="106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10,163,186</w:t>
            </w:r>
          </w:p>
        </w:tc>
        <w:tc>
          <w:tcPr>
            <w:tcW w:w="220" w:type="dxa"/>
            <w:vAlign w:val="bottom"/>
          </w:tcPr>
          <w:p>
            <w:pPr>
              <w:spacing w:after="0"/>
              <w:rPr>
                <w:sz w:val="15"/>
                <w:szCs w:val="15"/>
                <w:color w:val="auto"/>
              </w:rPr>
            </w:pPr>
          </w:p>
        </w:tc>
        <w:tc>
          <w:tcPr>
            <w:tcW w:w="440" w:type="dxa"/>
            <w:vAlign w:val="bottom"/>
            <w:tcBorders>
              <w:top w:val="single" w:sz="8" w:color="auto"/>
            </w:tcBorders>
          </w:tcPr>
          <w:p>
            <w:pPr>
              <w:spacing w:after="0"/>
              <w:rPr>
                <w:sz w:val="15"/>
                <w:szCs w:val="15"/>
                <w:color w:val="auto"/>
              </w:rPr>
            </w:pPr>
          </w:p>
        </w:tc>
        <w:tc>
          <w:tcPr>
            <w:tcW w:w="104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25,711,979</w:t>
            </w:r>
          </w:p>
        </w:tc>
      </w:tr>
      <w:tr>
        <w:trPr>
          <w:trHeight w:val="27"/>
        </w:trPr>
        <w:tc>
          <w:tcPr>
            <w:tcW w:w="8260" w:type="dxa"/>
            <w:vAlign w:val="bottom"/>
          </w:tcPr>
          <w:p>
            <w:pPr>
              <w:spacing w:after="0"/>
              <w:rPr>
                <w:sz w:val="2"/>
                <w:szCs w:val="2"/>
                <w:color w:val="auto"/>
              </w:rPr>
            </w:pPr>
          </w:p>
        </w:tc>
        <w:tc>
          <w:tcPr>
            <w:tcW w:w="440" w:type="dxa"/>
            <w:vAlign w:val="bottom"/>
          </w:tcPr>
          <w:p>
            <w:pPr>
              <w:spacing w:after="0"/>
              <w:rPr>
                <w:sz w:val="2"/>
                <w:szCs w:val="2"/>
                <w:color w:val="auto"/>
              </w:rPr>
            </w:pPr>
          </w:p>
        </w:tc>
        <w:tc>
          <w:tcPr>
            <w:tcW w:w="1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440" w:type="dxa"/>
            <w:vAlign w:val="bottom"/>
          </w:tcPr>
          <w:p>
            <w:pPr>
              <w:spacing w:after="0"/>
              <w:rPr>
                <w:sz w:val="2"/>
                <w:szCs w:val="2"/>
                <w:color w:val="auto"/>
              </w:rPr>
            </w:pPr>
          </w:p>
        </w:tc>
        <w:tc>
          <w:tcPr>
            <w:tcW w:w="1040" w:type="dxa"/>
            <w:vAlign w:val="bottom"/>
          </w:tcPr>
          <w:p>
            <w:pPr>
              <w:spacing w:after="0"/>
              <w:rPr>
                <w:sz w:val="2"/>
                <w:szCs w:val="2"/>
                <w:color w:val="auto"/>
              </w:rPr>
            </w:pPr>
          </w:p>
        </w:tc>
      </w:tr>
      <w:tr>
        <w:trPr>
          <w:trHeight w:val="222"/>
        </w:trPr>
        <w:tc>
          <w:tcPr>
            <w:tcW w:w="82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3"/>
                <w:szCs w:val="13"/>
                <w:color w:val="auto"/>
              </w:rPr>
              <w:t>Cash and cash equivalents-beginning of period</w:t>
            </w:r>
          </w:p>
        </w:tc>
        <w:tc>
          <w:tcPr>
            <w:tcW w:w="440" w:type="dxa"/>
            <w:vAlign w:val="bottom"/>
            <w:tcBorders>
              <w:bottom w:val="single" w:sz="8" w:color="CCEEFF"/>
            </w:tcBorders>
            <w:shd w:val="clear" w:color="auto" w:fill="CCEEFF"/>
          </w:tcPr>
          <w:p>
            <w:pPr>
              <w:spacing w:after="0"/>
              <w:rPr>
                <w:sz w:val="19"/>
                <w:szCs w:val="19"/>
                <w:color w:val="auto"/>
              </w:rPr>
            </w:pPr>
          </w:p>
        </w:tc>
        <w:tc>
          <w:tcPr>
            <w:tcW w:w="106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36,981,533</w:t>
            </w:r>
          </w:p>
        </w:tc>
        <w:tc>
          <w:tcPr>
            <w:tcW w:w="220" w:type="dxa"/>
            <w:vAlign w:val="bottom"/>
            <w:tcBorders>
              <w:bottom w:val="single" w:sz="8" w:color="CCEEFF"/>
            </w:tcBorders>
            <w:shd w:val="clear" w:color="auto" w:fill="CCEEFF"/>
          </w:tcPr>
          <w:p>
            <w:pPr>
              <w:spacing w:after="0"/>
              <w:rPr>
                <w:sz w:val="19"/>
                <w:szCs w:val="19"/>
                <w:color w:val="auto"/>
              </w:rPr>
            </w:pPr>
          </w:p>
        </w:tc>
        <w:tc>
          <w:tcPr>
            <w:tcW w:w="440" w:type="dxa"/>
            <w:vAlign w:val="bottom"/>
            <w:tcBorders>
              <w:bottom w:val="single" w:sz="8" w:color="CCEEFF"/>
            </w:tcBorders>
            <w:shd w:val="clear" w:color="auto" w:fill="CCEEFF"/>
          </w:tcPr>
          <w:p>
            <w:pPr>
              <w:spacing w:after="0"/>
              <w:rPr>
                <w:sz w:val="19"/>
                <w:szCs w:val="19"/>
                <w:color w:val="auto"/>
              </w:rPr>
            </w:pPr>
          </w:p>
        </w:tc>
        <w:tc>
          <w:tcPr>
            <w:tcW w:w="104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12,802,458</w:t>
            </w:r>
          </w:p>
        </w:tc>
      </w:tr>
      <w:tr>
        <w:trPr>
          <w:trHeight w:val="175"/>
        </w:trPr>
        <w:tc>
          <w:tcPr>
            <w:tcW w:w="8260" w:type="dxa"/>
            <w:vAlign w:val="bottom"/>
          </w:tcPr>
          <w:p>
            <w:pPr>
              <w:ind w:left="40"/>
              <w:spacing w:after="0"/>
              <w:rPr>
                <w:sz w:val="20"/>
                <w:szCs w:val="20"/>
                <w:color w:val="auto"/>
              </w:rPr>
            </w:pPr>
            <w:r>
              <w:rPr>
                <w:rFonts w:ascii="Arial" w:cs="Arial" w:eastAsia="Arial" w:hAnsi="Arial"/>
                <w:sz w:val="13"/>
                <w:szCs w:val="13"/>
                <w:color w:val="auto"/>
              </w:rPr>
              <w:t>Cash and cash equivalents-end of period</w:t>
            </w:r>
          </w:p>
        </w:tc>
        <w:tc>
          <w:tcPr>
            <w:tcW w:w="440" w:type="dxa"/>
            <w:vAlign w:val="bottom"/>
            <w:tcBorders>
              <w:top w:val="single" w:sz="8" w:color="auto"/>
            </w:tcBorders>
          </w:tcPr>
          <w:p>
            <w:pPr>
              <w:jc w:val="right"/>
              <w:ind w:right="273"/>
              <w:spacing w:after="0"/>
              <w:rPr>
                <w:sz w:val="20"/>
                <w:szCs w:val="20"/>
                <w:color w:val="auto"/>
              </w:rPr>
            </w:pPr>
            <w:r>
              <w:rPr>
                <w:rFonts w:ascii="Arial" w:cs="Arial" w:eastAsia="Arial" w:hAnsi="Arial"/>
                <w:sz w:val="13"/>
                <w:szCs w:val="13"/>
                <w:color w:val="auto"/>
              </w:rPr>
              <w:t>$</w:t>
            </w:r>
          </w:p>
        </w:tc>
        <w:tc>
          <w:tcPr>
            <w:tcW w:w="106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47,144,719</w:t>
            </w:r>
          </w:p>
        </w:tc>
        <w:tc>
          <w:tcPr>
            <w:tcW w:w="220" w:type="dxa"/>
            <w:vAlign w:val="bottom"/>
          </w:tcPr>
          <w:p>
            <w:pPr>
              <w:spacing w:after="0"/>
              <w:rPr>
                <w:sz w:val="15"/>
                <w:szCs w:val="15"/>
                <w:color w:val="auto"/>
              </w:rPr>
            </w:pPr>
          </w:p>
        </w:tc>
        <w:tc>
          <w:tcPr>
            <w:tcW w:w="440" w:type="dxa"/>
            <w:vAlign w:val="bottom"/>
            <w:tcBorders>
              <w:top w:val="single" w:sz="8" w:color="auto"/>
            </w:tcBorders>
          </w:tcPr>
          <w:p>
            <w:pPr>
              <w:jc w:val="right"/>
              <w:ind w:right="273"/>
              <w:spacing w:after="0"/>
              <w:rPr>
                <w:sz w:val="20"/>
                <w:szCs w:val="20"/>
                <w:color w:val="auto"/>
              </w:rPr>
            </w:pPr>
            <w:r>
              <w:rPr>
                <w:rFonts w:ascii="Arial" w:cs="Arial" w:eastAsia="Arial" w:hAnsi="Arial"/>
                <w:sz w:val="13"/>
                <w:szCs w:val="13"/>
                <w:color w:val="auto"/>
              </w:rPr>
              <w:t>$</w:t>
            </w:r>
          </w:p>
        </w:tc>
        <w:tc>
          <w:tcPr>
            <w:tcW w:w="104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38,514,437</w:t>
            </w:r>
          </w:p>
        </w:tc>
      </w:tr>
      <w:tr>
        <w:trPr>
          <w:trHeight w:val="27"/>
        </w:trPr>
        <w:tc>
          <w:tcPr>
            <w:tcW w:w="826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r>
      <w:tr>
        <w:trPr>
          <w:trHeight w:val="20"/>
        </w:trPr>
        <w:tc>
          <w:tcPr>
            <w:tcW w:w="826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r>
    </w:tbl>
    <w:p>
      <w:pPr>
        <w:sectPr>
          <w:pgSz w:w="11900" w:h="16838" w:orient="portrait"/>
          <w:cols w:equalWidth="0" w:num="1">
            <w:col w:w="11460"/>
          </w:cols>
          <w:pgMar w:left="220" w:top="502" w:right="219" w:bottom="1440" w:gutter="0" w:footer="0" w:header="0"/>
          <w:type w:val="continuous"/>
        </w:sectPr>
      </w:pPr>
    </w:p>
    <w:bookmarkStart w:id="11" w:name="page12"/>
    <w:bookmarkEnd w:id="11"/>
    <w:p>
      <w:pPr>
        <w:jc w:val="center"/>
        <w:ind w:right="-179"/>
        <w:spacing w:after="0"/>
        <w:rPr>
          <w:sz w:val="20"/>
          <w:szCs w:val="20"/>
          <w:color w:val="auto"/>
        </w:rPr>
      </w:pPr>
      <w:r>
        <w:rPr>
          <w:rFonts w:ascii="Arial" w:cs="Arial" w:eastAsia="Arial" w:hAnsi="Arial"/>
          <w:sz w:val="15"/>
          <w:szCs w:val="15"/>
          <w:b w:val="1"/>
          <w:bCs w:val="1"/>
          <w:color w:val="auto"/>
        </w:rPr>
        <w:t>Luna Innovations Incorporated</w:t>
      </w:r>
    </w:p>
    <w:p>
      <w:pPr>
        <w:spacing w:after="0" w:line="19" w:lineRule="exact"/>
        <w:rPr>
          <w:sz w:val="20"/>
          <w:szCs w:val="20"/>
          <w:color w:val="auto"/>
        </w:rPr>
      </w:pPr>
    </w:p>
    <w:p>
      <w:pPr>
        <w:jc w:val="center"/>
        <w:ind w:right="-179"/>
        <w:spacing w:after="0"/>
        <w:rPr>
          <w:sz w:val="20"/>
          <w:szCs w:val="20"/>
          <w:color w:val="auto"/>
        </w:rPr>
      </w:pPr>
      <w:r>
        <w:rPr>
          <w:rFonts w:ascii="Arial" w:cs="Arial" w:eastAsia="Arial" w:hAnsi="Arial"/>
          <w:sz w:val="15"/>
          <w:szCs w:val="15"/>
          <w:b w:val="1"/>
          <w:bCs w:val="1"/>
          <w:color w:val="auto"/>
        </w:rPr>
        <w:t>Reconciliation of Net Income to EBITDA and Adjusted EBITDA</w:t>
      </w:r>
    </w:p>
    <w:p>
      <w:pPr>
        <w:spacing w:after="0" w:line="294" w:lineRule="exact"/>
        <w:rPr>
          <w:sz w:val="20"/>
          <w:szCs w:val="20"/>
          <w:color w:val="auto"/>
        </w:rPr>
      </w:pPr>
    </w:p>
    <w:tbl>
      <w:tblPr>
        <w:tblLayout w:type="fixed"/>
        <w:tblInd w:w="200" w:type="dxa"/>
        <w:tblCellMar>
          <w:top w:w="0" w:type="dxa"/>
          <w:left w:w="0" w:type="dxa"/>
          <w:bottom w:w="0" w:type="dxa"/>
          <w:right w:w="0" w:type="dxa"/>
        </w:tblCellMar>
      </w:tblPr>
      <w:tr>
        <w:trPr>
          <w:trHeight w:val="173"/>
        </w:trPr>
        <w:tc>
          <w:tcPr>
            <w:tcW w:w="53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840" w:type="dxa"/>
            <w:vAlign w:val="bottom"/>
            <w:gridSpan w:val="5"/>
          </w:tcPr>
          <w:p>
            <w:pPr>
              <w:ind w:left="160"/>
              <w:spacing w:after="0"/>
              <w:rPr>
                <w:sz w:val="20"/>
                <w:szCs w:val="20"/>
                <w:color w:val="auto"/>
              </w:rPr>
            </w:pPr>
            <w:r>
              <w:rPr>
                <w:rFonts w:ascii="Arial" w:cs="Arial" w:eastAsia="Arial" w:hAnsi="Arial"/>
                <w:sz w:val="13"/>
                <w:szCs w:val="13"/>
                <w:b w:val="1"/>
                <w:bCs w:val="1"/>
                <w:color w:val="auto"/>
              </w:rPr>
              <w:t>Three Months Ended September 30,</w:t>
            </w:r>
          </w:p>
        </w:tc>
        <w:tc>
          <w:tcPr>
            <w:tcW w:w="220" w:type="dxa"/>
            <w:vAlign w:val="bottom"/>
          </w:tcPr>
          <w:p>
            <w:pPr>
              <w:spacing w:after="0"/>
              <w:rPr>
                <w:sz w:val="15"/>
                <w:szCs w:val="15"/>
                <w:color w:val="auto"/>
              </w:rPr>
            </w:pPr>
          </w:p>
        </w:tc>
        <w:tc>
          <w:tcPr>
            <w:tcW w:w="2440" w:type="dxa"/>
            <w:vAlign w:val="bottom"/>
            <w:gridSpan w:val="4"/>
          </w:tcPr>
          <w:p>
            <w:pPr>
              <w:jc w:val="right"/>
              <w:ind w:right="273"/>
              <w:spacing w:after="0"/>
              <w:rPr>
                <w:sz w:val="20"/>
                <w:szCs w:val="20"/>
                <w:color w:val="auto"/>
              </w:rPr>
            </w:pPr>
            <w:r>
              <w:rPr>
                <w:rFonts w:ascii="Arial" w:cs="Arial" w:eastAsia="Arial" w:hAnsi="Arial"/>
                <w:sz w:val="13"/>
                <w:szCs w:val="13"/>
                <w:b w:val="1"/>
                <w:bCs w:val="1"/>
                <w:color w:val="auto"/>
                <w:w w:val="97"/>
              </w:rPr>
              <w:t>Nine Months Ended September 30,</w:t>
            </w:r>
          </w:p>
        </w:tc>
      </w:tr>
      <w:tr>
        <w:trPr>
          <w:trHeight w:val="27"/>
        </w:trPr>
        <w:tc>
          <w:tcPr>
            <w:tcW w:w="5320" w:type="dxa"/>
            <w:vAlign w:val="bottom"/>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r>
      <w:tr>
        <w:trPr>
          <w:trHeight w:val="186"/>
        </w:trPr>
        <w:tc>
          <w:tcPr>
            <w:tcW w:w="53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080" w:type="dxa"/>
            <w:vAlign w:val="bottom"/>
          </w:tcPr>
          <w:p>
            <w:pPr>
              <w:jc w:val="right"/>
              <w:ind w:right="473"/>
              <w:spacing w:after="0"/>
              <w:rPr>
                <w:sz w:val="20"/>
                <w:szCs w:val="20"/>
                <w:color w:val="auto"/>
              </w:rPr>
            </w:pPr>
            <w:r>
              <w:rPr>
                <w:rFonts w:ascii="Arial" w:cs="Arial" w:eastAsia="Arial" w:hAnsi="Arial"/>
                <w:sz w:val="13"/>
                <w:szCs w:val="13"/>
                <w:b w:val="1"/>
                <w:bCs w:val="1"/>
                <w:color w:val="auto"/>
              </w:rPr>
              <w:t>2018</w:t>
            </w:r>
          </w:p>
        </w:tc>
        <w:tc>
          <w:tcPr>
            <w:tcW w:w="2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40" w:type="dxa"/>
            <w:vAlign w:val="bottom"/>
          </w:tcPr>
          <w:p>
            <w:pPr>
              <w:jc w:val="right"/>
              <w:ind w:right="473"/>
              <w:spacing w:after="0"/>
              <w:rPr>
                <w:sz w:val="20"/>
                <w:szCs w:val="20"/>
                <w:color w:val="auto"/>
              </w:rPr>
            </w:pPr>
            <w:r>
              <w:rPr>
                <w:rFonts w:ascii="Arial" w:cs="Arial" w:eastAsia="Arial" w:hAnsi="Arial"/>
                <w:sz w:val="13"/>
                <w:szCs w:val="13"/>
                <w:b w:val="1"/>
                <w:bCs w:val="1"/>
                <w:color w:val="auto"/>
              </w:rPr>
              <w:t>2017</w:t>
            </w:r>
          </w:p>
        </w:tc>
        <w:tc>
          <w:tcPr>
            <w:tcW w:w="2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20" w:type="dxa"/>
            <w:vAlign w:val="bottom"/>
          </w:tcPr>
          <w:p>
            <w:pPr>
              <w:jc w:val="right"/>
              <w:ind w:right="433"/>
              <w:spacing w:after="0"/>
              <w:rPr>
                <w:sz w:val="20"/>
                <w:szCs w:val="20"/>
                <w:color w:val="auto"/>
              </w:rPr>
            </w:pPr>
            <w:r>
              <w:rPr>
                <w:rFonts w:ascii="Arial" w:cs="Arial" w:eastAsia="Arial" w:hAnsi="Arial"/>
                <w:sz w:val="13"/>
                <w:szCs w:val="13"/>
                <w:b w:val="1"/>
                <w:bCs w:val="1"/>
                <w:color w:val="auto"/>
              </w:rPr>
              <w:t>2018</w:t>
            </w:r>
          </w:p>
        </w:tc>
        <w:tc>
          <w:tcPr>
            <w:tcW w:w="1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900" w:type="dxa"/>
            <w:vAlign w:val="bottom"/>
          </w:tcPr>
          <w:p>
            <w:pPr>
              <w:jc w:val="right"/>
              <w:ind w:right="473"/>
              <w:spacing w:after="0"/>
              <w:rPr>
                <w:sz w:val="20"/>
                <w:szCs w:val="20"/>
                <w:color w:val="auto"/>
              </w:rPr>
            </w:pPr>
            <w:r>
              <w:rPr>
                <w:rFonts w:ascii="Arial" w:cs="Arial" w:eastAsia="Arial" w:hAnsi="Arial"/>
                <w:sz w:val="13"/>
                <w:szCs w:val="13"/>
                <w:b w:val="1"/>
                <w:bCs w:val="1"/>
                <w:color w:val="auto"/>
              </w:rPr>
              <w:t>2017</w:t>
            </w:r>
          </w:p>
        </w:tc>
      </w:tr>
      <w:tr>
        <w:trPr>
          <w:trHeight w:val="27"/>
        </w:trPr>
        <w:tc>
          <w:tcPr>
            <w:tcW w:w="5320" w:type="dxa"/>
            <w:vAlign w:val="bottom"/>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1680" w:type="dxa"/>
            <w:vAlign w:val="bottom"/>
            <w:tcBorders>
              <w:bottom w:val="single" w:sz="8" w:color="auto"/>
            </w:tcBorders>
            <w:gridSpan w:val="3"/>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540" w:type="dxa"/>
            <w:vAlign w:val="bottom"/>
            <w:tcBorders>
              <w:bottom w:val="single" w:sz="8" w:color="auto"/>
            </w:tcBorders>
            <w:gridSpan w:val="3"/>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r>
      <w:tr>
        <w:trPr>
          <w:trHeight w:val="186"/>
        </w:trPr>
        <w:tc>
          <w:tcPr>
            <w:tcW w:w="53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680" w:type="dxa"/>
            <w:vAlign w:val="bottom"/>
            <w:gridSpan w:val="3"/>
          </w:tcPr>
          <w:p>
            <w:pPr>
              <w:jc w:val="right"/>
              <w:ind w:right="93"/>
              <w:spacing w:after="0"/>
              <w:rPr>
                <w:sz w:val="20"/>
                <w:szCs w:val="20"/>
                <w:color w:val="auto"/>
              </w:rPr>
            </w:pPr>
            <w:r>
              <w:rPr>
                <w:rFonts w:ascii="Arial" w:cs="Arial" w:eastAsia="Arial" w:hAnsi="Arial"/>
                <w:sz w:val="13"/>
                <w:szCs w:val="13"/>
                <w:b w:val="1"/>
                <w:bCs w:val="1"/>
                <w:color w:val="auto"/>
              </w:rPr>
              <w:t>(unaudited)</w:t>
            </w:r>
          </w:p>
        </w:tc>
        <w:tc>
          <w:tcPr>
            <w:tcW w:w="9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540" w:type="dxa"/>
            <w:vAlign w:val="bottom"/>
            <w:gridSpan w:val="3"/>
          </w:tcPr>
          <w:p>
            <w:pPr>
              <w:jc w:val="right"/>
              <w:ind w:right="33"/>
              <w:spacing w:after="0"/>
              <w:rPr>
                <w:sz w:val="20"/>
                <w:szCs w:val="20"/>
                <w:color w:val="auto"/>
              </w:rPr>
            </w:pPr>
            <w:r>
              <w:rPr>
                <w:rFonts w:ascii="Arial" w:cs="Arial" w:eastAsia="Arial" w:hAnsi="Arial"/>
                <w:sz w:val="13"/>
                <w:szCs w:val="13"/>
                <w:b w:val="1"/>
                <w:bCs w:val="1"/>
                <w:color w:val="auto"/>
              </w:rPr>
              <w:t>(unaudited)</w:t>
            </w:r>
          </w:p>
        </w:tc>
        <w:tc>
          <w:tcPr>
            <w:tcW w:w="900" w:type="dxa"/>
            <w:vAlign w:val="bottom"/>
          </w:tcPr>
          <w:p>
            <w:pPr>
              <w:spacing w:after="0"/>
              <w:rPr>
                <w:sz w:val="16"/>
                <w:szCs w:val="16"/>
                <w:color w:val="auto"/>
              </w:rPr>
            </w:pPr>
          </w:p>
        </w:tc>
      </w:tr>
      <w:tr>
        <w:trPr>
          <w:trHeight w:val="27"/>
        </w:trPr>
        <w:tc>
          <w:tcPr>
            <w:tcW w:w="53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80" w:type="dxa"/>
            <w:vAlign w:val="bottom"/>
          </w:tcPr>
          <w:p>
            <w:pPr>
              <w:spacing w:after="0"/>
              <w:rPr>
                <w:sz w:val="2"/>
                <w:szCs w:val="2"/>
                <w:color w:val="auto"/>
              </w:rPr>
            </w:pPr>
          </w:p>
        </w:tc>
        <w:tc>
          <w:tcPr>
            <w:tcW w:w="940" w:type="dxa"/>
            <w:vAlign w:val="bottom"/>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20" w:type="dxa"/>
            <w:vAlign w:val="bottom"/>
          </w:tcPr>
          <w:p>
            <w:pPr>
              <w:spacing w:after="0"/>
              <w:rPr>
                <w:sz w:val="2"/>
                <w:szCs w:val="2"/>
                <w:color w:val="auto"/>
              </w:rPr>
            </w:pPr>
          </w:p>
        </w:tc>
        <w:tc>
          <w:tcPr>
            <w:tcW w:w="900" w:type="dxa"/>
            <w:vAlign w:val="bottom"/>
          </w:tcPr>
          <w:p>
            <w:pPr>
              <w:spacing w:after="0"/>
              <w:rPr>
                <w:sz w:val="2"/>
                <w:szCs w:val="2"/>
                <w:color w:val="auto"/>
              </w:rPr>
            </w:pPr>
          </w:p>
        </w:tc>
      </w:tr>
      <w:tr>
        <w:trPr>
          <w:trHeight w:val="202"/>
        </w:trPr>
        <w:tc>
          <w:tcPr>
            <w:tcW w:w="53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Net income</w:t>
            </w:r>
          </w:p>
        </w:tc>
        <w:tc>
          <w:tcPr>
            <w:tcW w:w="260" w:type="dxa"/>
            <w:vAlign w:val="bottom"/>
            <w:tcBorders>
              <w:bottom w:val="single" w:sz="8" w:color="CCEEFF"/>
            </w:tcBorders>
            <w:shd w:val="clear" w:color="auto" w:fill="CCEEFF"/>
          </w:tcPr>
          <w:p>
            <w:pPr>
              <w:jc w:val="right"/>
              <w:ind w:right="113"/>
              <w:spacing w:after="0"/>
              <w:rPr>
                <w:sz w:val="20"/>
                <w:szCs w:val="20"/>
                <w:color w:val="auto"/>
              </w:rPr>
            </w:pPr>
            <w:r>
              <w:rPr>
                <w:rFonts w:ascii="Arial" w:cs="Arial" w:eastAsia="Arial" w:hAnsi="Arial"/>
                <w:sz w:val="13"/>
                <w:szCs w:val="13"/>
                <w:color w:val="auto"/>
                <w:w w:val="82"/>
              </w:rPr>
              <w:t>$</w:t>
            </w:r>
          </w:p>
        </w:tc>
        <w:tc>
          <w:tcPr>
            <w:tcW w:w="10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8,848,402</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jc w:val="right"/>
              <w:ind w:right="233"/>
              <w:spacing w:after="0"/>
              <w:rPr>
                <w:sz w:val="20"/>
                <w:szCs w:val="20"/>
                <w:color w:val="auto"/>
              </w:rPr>
            </w:pPr>
            <w:r>
              <w:rPr>
                <w:rFonts w:ascii="Arial" w:cs="Arial" w:eastAsia="Arial" w:hAnsi="Arial"/>
                <w:sz w:val="13"/>
                <w:szCs w:val="13"/>
                <w:color w:val="auto"/>
                <w:w w:val="82"/>
              </w:rPr>
              <w:t>$</w:t>
            </w: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15,757,324</w:t>
            </w:r>
          </w:p>
        </w:tc>
        <w:tc>
          <w:tcPr>
            <w:tcW w:w="22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w:t>
            </w:r>
          </w:p>
        </w:tc>
        <w:tc>
          <w:tcPr>
            <w:tcW w:w="102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10,064,405</w:t>
            </w:r>
          </w:p>
        </w:tc>
        <w:tc>
          <w:tcPr>
            <w:tcW w:w="100" w:type="dxa"/>
            <w:vAlign w:val="bottom"/>
            <w:tcBorders>
              <w:bottom w:val="single" w:sz="8" w:color="CCEEFF"/>
            </w:tcBorders>
            <w:shd w:val="clear" w:color="auto" w:fill="CCEEFF"/>
          </w:tcPr>
          <w:p>
            <w:pPr>
              <w:spacing w:after="0"/>
              <w:rPr>
                <w:sz w:val="17"/>
                <w:szCs w:val="17"/>
                <w:color w:val="auto"/>
              </w:rPr>
            </w:pPr>
          </w:p>
        </w:tc>
        <w:tc>
          <w:tcPr>
            <w:tcW w:w="420" w:type="dxa"/>
            <w:vAlign w:val="bottom"/>
            <w:tcBorders>
              <w:bottom w:val="single" w:sz="8" w:color="CCEEFF"/>
            </w:tcBorders>
            <w:shd w:val="clear" w:color="auto" w:fill="CCEEFF"/>
          </w:tcPr>
          <w:p>
            <w:pPr>
              <w:jc w:val="right"/>
              <w:ind w:right="273"/>
              <w:spacing w:after="0"/>
              <w:rPr>
                <w:sz w:val="20"/>
                <w:szCs w:val="20"/>
                <w:color w:val="auto"/>
              </w:rPr>
            </w:pPr>
            <w:r>
              <w:rPr>
                <w:rFonts w:ascii="Arial" w:cs="Arial" w:eastAsia="Arial" w:hAnsi="Arial"/>
                <w:sz w:val="13"/>
                <w:szCs w:val="13"/>
                <w:color w:val="auto"/>
                <w:w w:val="82"/>
              </w:rPr>
              <w:t>$</w:t>
            </w:r>
          </w:p>
        </w:tc>
        <w:tc>
          <w:tcPr>
            <w:tcW w:w="9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14,179,576</w:t>
            </w:r>
          </w:p>
        </w:tc>
      </w:tr>
      <w:tr>
        <w:trPr>
          <w:trHeight w:val="195"/>
        </w:trPr>
        <w:tc>
          <w:tcPr>
            <w:tcW w:w="5320" w:type="dxa"/>
            <w:vAlign w:val="bottom"/>
          </w:tcPr>
          <w:p>
            <w:pPr>
              <w:ind w:left="20"/>
              <w:spacing w:after="0"/>
              <w:rPr>
                <w:sz w:val="20"/>
                <w:szCs w:val="20"/>
                <w:color w:val="auto"/>
              </w:rPr>
            </w:pPr>
            <w:r>
              <w:rPr>
                <w:rFonts w:ascii="Arial" w:cs="Arial" w:eastAsia="Arial" w:hAnsi="Arial"/>
                <w:sz w:val="13"/>
                <w:szCs w:val="13"/>
                <w:color w:val="auto"/>
              </w:rPr>
              <w:t>Less income from discontinued operations, net of income taxes</w:t>
            </w:r>
          </w:p>
        </w:tc>
        <w:tc>
          <w:tcPr>
            <w:tcW w:w="260" w:type="dxa"/>
            <w:vAlign w:val="bottom"/>
          </w:tcPr>
          <w:p>
            <w:pPr>
              <w:spacing w:after="0"/>
              <w:rPr>
                <w:sz w:val="16"/>
                <w:szCs w:val="16"/>
                <w:color w:val="auto"/>
              </w:rPr>
            </w:pPr>
          </w:p>
        </w:tc>
        <w:tc>
          <w:tcPr>
            <w:tcW w:w="1080" w:type="dxa"/>
            <w:vAlign w:val="bottom"/>
          </w:tcPr>
          <w:p>
            <w:pPr>
              <w:jc w:val="right"/>
              <w:ind w:right="53"/>
              <w:spacing w:after="0"/>
              <w:rPr>
                <w:sz w:val="20"/>
                <w:szCs w:val="20"/>
                <w:color w:val="auto"/>
              </w:rPr>
            </w:pPr>
            <w:r>
              <w:rPr>
                <w:rFonts w:ascii="Arial" w:cs="Arial" w:eastAsia="Arial" w:hAnsi="Arial"/>
                <w:sz w:val="13"/>
                <w:szCs w:val="13"/>
                <w:color w:val="auto"/>
              </w:rPr>
              <w:t>7,555,626</w:t>
            </w:r>
          </w:p>
        </w:tc>
        <w:tc>
          <w:tcPr>
            <w:tcW w:w="2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40" w:type="dxa"/>
            <w:vAlign w:val="bottom"/>
          </w:tcPr>
          <w:p>
            <w:pPr>
              <w:jc w:val="right"/>
              <w:ind w:right="33"/>
              <w:spacing w:after="0"/>
              <w:rPr>
                <w:sz w:val="20"/>
                <w:szCs w:val="20"/>
                <w:color w:val="auto"/>
              </w:rPr>
            </w:pPr>
            <w:r>
              <w:rPr>
                <w:rFonts w:ascii="Arial" w:cs="Arial" w:eastAsia="Arial" w:hAnsi="Arial"/>
                <w:sz w:val="13"/>
                <w:szCs w:val="13"/>
                <w:color w:val="auto"/>
              </w:rPr>
              <w:t>15,562,376</w:t>
            </w:r>
          </w:p>
        </w:tc>
        <w:tc>
          <w:tcPr>
            <w:tcW w:w="2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20" w:type="dxa"/>
            <w:vAlign w:val="bottom"/>
          </w:tcPr>
          <w:p>
            <w:pPr>
              <w:jc w:val="right"/>
              <w:ind w:right="53"/>
              <w:spacing w:after="0"/>
              <w:rPr>
                <w:sz w:val="20"/>
                <w:szCs w:val="20"/>
                <w:color w:val="auto"/>
              </w:rPr>
            </w:pPr>
            <w:r>
              <w:rPr>
                <w:rFonts w:ascii="Arial" w:cs="Arial" w:eastAsia="Arial" w:hAnsi="Arial"/>
                <w:sz w:val="13"/>
                <w:szCs w:val="13"/>
                <w:color w:val="auto"/>
              </w:rPr>
              <w:t>8,704,246</w:t>
            </w:r>
          </w:p>
        </w:tc>
        <w:tc>
          <w:tcPr>
            <w:tcW w:w="1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900" w:type="dxa"/>
            <w:vAlign w:val="bottom"/>
          </w:tcPr>
          <w:p>
            <w:pPr>
              <w:jc w:val="right"/>
              <w:ind w:right="53"/>
              <w:spacing w:after="0"/>
              <w:rPr>
                <w:sz w:val="20"/>
                <w:szCs w:val="20"/>
                <w:color w:val="auto"/>
              </w:rPr>
            </w:pPr>
            <w:r>
              <w:rPr>
                <w:rFonts w:ascii="Arial" w:cs="Arial" w:eastAsia="Arial" w:hAnsi="Arial"/>
                <w:sz w:val="13"/>
                <w:szCs w:val="13"/>
                <w:color w:val="auto"/>
              </w:rPr>
              <w:t>15,434,570</w:t>
            </w:r>
          </w:p>
        </w:tc>
      </w:tr>
      <w:tr>
        <w:trPr>
          <w:trHeight w:val="27"/>
        </w:trPr>
        <w:tc>
          <w:tcPr>
            <w:tcW w:w="532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r>
      <w:tr>
        <w:trPr>
          <w:trHeight w:val="182"/>
        </w:trPr>
        <w:tc>
          <w:tcPr>
            <w:tcW w:w="53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Net income/(loss) from continuing operations</w:t>
            </w:r>
          </w:p>
        </w:tc>
        <w:tc>
          <w:tcPr>
            <w:tcW w:w="260" w:type="dxa"/>
            <w:vAlign w:val="bottom"/>
            <w:tcBorders>
              <w:bottom w:val="single" w:sz="8" w:color="CCEEFF"/>
            </w:tcBorders>
            <w:shd w:val="clear" w:color="auto" w:fill="CCEEFF"/>
          </w:tcPr>
          <w:p>
            <w:pPr>
              <w:spacing w:after="0"/>
              <w:rPr>
                <w:sz w:val="15"/>
                <w:szCs w:val="15"/>
                <w:color w:val="auto"/>
              </w:rPr>
            </w:pPr>
          </w:p>
        </w:tc>
        <w:tc>
          <w:tcPr>
            <w:tcW w:w="10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1,292,776</w:t>
            </w:r>
          </w:p>
        </w:tc>
        <w:tc>
          <w:tcPr>
            <w:tcW w:w="220" w:type="dxa"/>
            <w:vAlign w:val="bottom"/>
            <w:tcBorders>
              <w:bottom w:val="single" w:sz="8" w:color="CCEEFF"/>
            </w:tcBorders>
            <w:shd w:val="clear" w:color="auto" w:fill="CCEEFF"/>
          </w:tcPr>
          <w:p>
            <w:pPr>
              <w:spacing w:after="0"/>
              <w:rPr>
                <w:sz w:val="15"/>
                <w:szCs w:val="15"/>
                <w:color w:val="auto"/>
              </w:rPr>
            </w:pPr>
          </w:p>
        </w:tc>
        <w:tc>
          <w:tcPr>
            <w:tcW w:w="380" w:type="dxa"/>
            <w:vAlign w:val="bottom"/>
            <w:tcBorders>
              <w:bottom w:val="single" w:sz="8" w:color="CCEEFF"/>
            </w:tcBorders>
            <w:shd w:val="clear" w:color="auto" w:fill="CCEEFF"/>
          </w:tcPr>
          <w:p>
            <w:pPr>
              <w:spacing w:after="0"/>
              <w:rPr>
                <w:sz w:val="15"/>
                <w:szCs w:val="15"/>
                <w:color w:val="auto"/>
              </w:rPr>
            </w:pP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194,948</w:t>
            </w:r>
          </w:p>
        </w:tc>
        <w:tc>
          <w:tcPr>
            <w:tcW w:w="220" w:type="dxa"/>
            <w:vAlign w:val="bottom"/>
            <w:tcBorders>
              <w:bottom w:val="single" w:sz="8" w:color="CCEEFF"/>
            </w:tcBorders>
            <w:shd w:val="clear" w:color="auto" w:fill="CCEEFF"/>
          </w:tcPr>
          <w:p>
            <w:pPr>
              <w:spacing w:after="0"/>
              <w:rPr>
                <w:sz w:val="15"/>
                <w:szCs w:val="15"/>
                <w:color w:val="auto"/>
              </w:rPr>
            </w:pPr>
          </w:p>
        </w:tc>
        <w:tc>
          <w:tcPr>
            <w:tcW w:w="220" w:type="dxa"/>
            <w:vAlign w:val="bottom"/>
            <w:tcBorders>
              <w:bottom w:val="single" w:sz="8" w:color="CCEEFF"/>
            </w:tcBorders>
            <w:shd w:val="clear" w:color="auto" w:fill="CCEEFF"/>
          </w:tcPr>
          <w:p>
            <w:pPr>
              <w:spacing w:after="0"/>
              <w:rPr>
                <w:sz w:val="15"/>
                <w:szCs w:val="15"/>
                <w:color w:val="auto"/>
              </w:rPr>
            </w:pPr>
          </w:p>
        </w:tc>
        <w:tc>
          <w:tcPr>
            <w:tcW w:w="102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1,360,159</w:t>
            </w:r>
          </w:p>
        </w:tc>
        <w:tc>
          <w:tcPr>
            <w:tcW w:w="100" w:type="dxa"/>
            <w:vAlign w:val="bottom"/>
            <w:tcBorders>
              <w:bottom w:val="single" w:sz="8" w:color="CCEEFF"/>
            </w:tcBorders>
            <w:shd w:val="clear" w:color="auto" w:fill="CCEEFF"/>
          </w:tcPr>
          <w:p>
            <w:pPr>
              <w:spacing w:after="0"/>
              <w:rPr>
                <w:sz w:val="15"/>
                <w:szCs w:val="15"/>
                <w:color w:val="auto"/>
              </w:rPr>
            </w:pPr>
          </w:p>
        </w:tc>
        <w:tc>
          <w:tcPr>
            <w:tcW w:w="420" w:type="dxa"/>
            <w:vAlign w:val="bottom"/>
            <w:tcBorders>
              <w:bottom w:val="single" w:sz="8" w:color="CCEEFF"/>
            </w:tcBorders>
            <w:shd w:val="clear" w:color="auto" w:fill="CCEEFF"/>
          </w:tcPr>
          <w:p>
            <w:pPr>
              <w:spacing w:after="0"/>
              <w:rPr>
                <w:sz w:val="15"/>
                <w:szCs w:val="15"/>
                <w:color w:val="auto"/>
              </w:rPr>
            </w:pPr>
          </w:p>
        </w:tc>
        <w:tc>
          <w:tcPr>
            <w:tcW w:w="900" w:type="dxa"/>
            <w:vAlign w:val="bottom"/>
            <w:tcBorders>
              <w:bottom w:val="single" w:sz="8" w:color="CCEEFF"/>
            </w:tcBorders>
            <w:shd w:val="clear" w:color="auto" w:fill="CCEEFF"/>
          </w:tcPr>
          <w:p>
            <w:pPr>
              <w:jc w:val="right"/>
              <w:ind w:right="13"/>
              <w:spacing w:after="0"/>
              <w:rPr>
                <w:sz w:val="20"/>
                <w:szCs w:val="20"/>
                <w:color w:val="auto"/>
              </w:rPr>
            </w:pPr>
            <w:r>
              <w:rPr>
                <w:rFonts w:ascii="Arial" w:cs="Arial" w:eastAsia="Arial" w:hAnsi="Arial"/>
                <w:sz w:val="13"/>
                <w:szCs w:val="13"/>
                <w:color w:val="auto"/>
              </w:rPr>
              <w:t>(1,254,994)</w:t>
            </w:r>
          </w:p>
        </w:tc>
      </w:tr>
      <w:tr>
        <w:trPr>
          <w:trHeight w:val="195"/>
        </w:trPr>
        <w:tc>
          <w:tcPr>
            <w:tcW w:w="5320" w:type="dxa"/>
            <w:vAlign w:val="bottom"/>
          </w:tcPr>
          <w:p>
            <w:pPr>
              <w:ind w:left="20"/>
              <w:spacing w:after="0"/>
              <w:rPr>
                <w:sz w:val="20"/>
                <w:szCs w:val="20"/>
                <w:color w:val="auto"/>
              </w:rPr>
            </w:pPr>
            <w:r>
              <w:rPr>
                <w:rFonts w:ascii="Arial" w:cs="Arial" w:eastAsia="Arial" w:hAnsi="Arial"/>
                <w:sz w:val="13"/>
                <w:szCs w:val="13"/>
                <w:color w:val="auto"/>
              </w:rPr>
              <w:t>Interest expense</w:t>
            </w:r>
          </w:p>
        </w:tc>
        <w:tc>
          <w:tcPr>
            <w:tcW w:w="260" w:type="dxa"/>
            <w:vAlign w:val="bottom"/>
          </w:tcPr>
          <w:p>
            <w:pPr>
              <w:spacing w:after="0"/>
              <w:rPr>
                <w:sz w:val="16"/>
                <w:szCs w:val="16"/>
                <w:color w:val="auto"/>
              </w:rPr>
            </w:pPr>
          </w:p>
        </w:tc>
        <w:tc>
          <w:tcPr>
            <w:tcW w:w="1080" w:type="dxa"/>
            <w:vAlign w:val="bottom"/>
          </w:tcPr>
          <w:p>
            <w:pPr>
              <w:jc w:val="right"/>
              <w:ind w:right="53"/>
              <w:spacing w:after="0"/>
              <w:rPr>
                <w:sz w:val="20"/>
                <w:szCs w:val="20"/>
                <w:color w:val="auto"/>
              </w:rPr>
            </w:pPr>
            <w:r>
              <w:rPr>
                <w:rFonts w:ascii="Arial" w:cs="Arial" w:eastAsia="Arial" w:hAnsi="Arial"/>
                <w:sz w:val="13"/>
                <w:szCs w:val="13"/>
                <w:color w:val="auto"/>
              </w:rPr>
              <w:t>28,029</w:t>
            </w:r>
          </w:p>
        </w:tc>
        <w:tc>
          <w:tcPr>
            <w:tcW w:w="2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40" w:type="dxa"/>
            <w:vAlign w:val="bottom"/>
          </w:tcPr>
          <w:p>
            <w:pPr>
              <w:jc w:val="right"/>
              <w:ind w:right="33"/>
              <w:spacing w:after="0"/>
              <w:rPr>
                <w:sz w:val="20"/>
                <w:szCs w:val="20"/>
                <w:color w:val="auto"/>
              </w:rPr>
            </w:pPr>
            <w:r>
              <w:rPr>
                <w:rFonts w:ascii="Arial" w:cs="Arial" w:eastAsia="Arial" w:hAnsi="Arial"/>
                <w:sz w:val="13"/>
                <w:szCs w:val="13"/>
                <w:color w:val="auto"/>
              </w:rPr>
              <w:t>54,847</w:t>
            </w:r>
          </w:p>
        </w:tc>
        <w:tc>
          <w:tcPr>
            <w:tcW w:w="2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20" w:type="dxa"/>
            <w:vAlign w:val="bottom"/>
          </w:tcPr>
          <w:p>
            <w:pPr>
              <w:jc w:val="right"/>
              <w:ind w:right="53"/>
              <w:spacing w:after="0"/>
              <w:rPr>
                <w:sz w:val="20"/>
                <w:szCs w:val="20"/>
                <w:color w:val="auto"/>
              </w:rPr>
            </w:pPr>
            <w:r>
              <w:rPr>
                <w:rFonts w:ascii="Arial" w:cs="Arial" w:eastAsia="Arial" w:hAnsi="Arial"/>
                <w:sz w:val="13"/>
                <w:szCs w:val="13"/>
                <w:color w:val="auto"/>
              </w:rPr>
              <w:t>103,208</w:t>
            </w:r>
          </w:p>
        </w:tc>
        <w:tc>
          <w:tcPr>
            <w:tcW w:w="1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900" w:type="dxa"/>
            <w:vAlign w:val="bottom"/>
          </w:tcPr>
          <w:p>
            <w:pPr>
              <w:jc w:val="right"/>
              <w:ind w:right="53"/>
              <w:spacing w:after="0"/>
              <w:rPr>
                <w:sz w:val="20"/>
                <w:szCs w:val="20"/>
                <w:color w:val="auto"/>
              </w:rPr>
            </w:pPr>
            <w:r>
              <w:rPr>
                <w:rFonts w:ascii="Arial" w:cs="Arial" w:eastAsia="Arial" w:hAnsi="Arial"/>
                <w:sz w:val="13"/>
                <w:szCs w:val="13"/>
                <w:color w:val="auto"/>
              </w:rPr>
              <w:t>178,879</w:t>
            </w:r>
          </w:p>
        </w:tc>
      </w:tr>
      <w:tr>
        <w:trPr>
          <w:trHeight w:val="27"/>
        </w:trPr>
        <w:tc>
          <w:tcPr>
            <w:tcW w:w="53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80" w:type="dxa"/>
            <w:vAlign w:val="bottom"/>
          </w:tcPr>
          <w:p>
            <w:pPr>
              <w:spacing w:after="0"/>
              <w:rPr>
                <w:sz w:val="2"/>
                <w:szCs w:val="2"/>
                <w:color w:val="auto"/>
              </w:rPr>
            </w:pPr>
          </w:p>
        </w:tc>
        <w:tc>
          <w:tcPr>
            <w:tcW w:w="940" w:type="dxa"/>
            <w:vAlign w:val="bottom"/>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20" w:type="dxa"/>
            <w:vAlign w:val="bottom"/>
          </w:tcPr>
          <w:p>
            <w:pPr>
              <w:spacing w:after="0"/>
              <w:rPr>
                <w:sz w:val="2"/>
                <w:szCs w:val="2"/>
                <w:color w:val="auto"/>
              </w:rPr>
            </w:pPr>
          </w:p>
        </w:tc>
        <w:tc>
          <w:tcPr>
            <w:tcW w:w="900" w:type="dxa"/>
            <w:vAlign w:val="bottom"/>
          </w:tcPr>
          <w:p>
            <w:pPr>
              <w:spacing w:after="0"/>
              <w:rPr>
                <w:sz w:val="2"/>
                <w:szCs w:val="2"/>
                <w:color w:val="auto"/>
              </w:rPr>
            </w:pPr>
          </w:p>
        </w:tc>
      </w:tr>
      <w:tr>
        <w:trPr>
          <w:trHeight w:val="202"/>
        </w:trPr>
        <w:tc>
          <w:tcPr>
            <w:tcW w:w="53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Investment income</w:t>
            </w:r>
          </w:p>
        </w:tc>
        <w:tc>
          <w:tcPr>
            <w:tcW w:w="260" w:type="dxa"/>
            <w:vAlign w:val="bottom"/>
            <w:tcBorders>
              <w:bottom w:val="single" w:sz="8" w:color="CCEEFF"/>
            </w:tcBorders>
            <w:shd w:val="clear" w:color="auto" w:fill="CCEEFF"/>
          </w:tcPr>
          <w:p>
            <w:pPr>
              <w:spacing w:after="0"/>
              <w:rPr>
                <w:sz w:val="17"/>
                <w:szCs w:val="17"/>
                <w:color w:val="auto"/>
              </w:rPr>
            </w:pPr>
          </w:p>
        </w:tc>
        <w:tc>
          <w:tcPr>
            <w:tcW w:w="1080" w:type="dxa"/>
            <w:vAlign w:val="bottom"/>
            <w:tcBorders>
              <w:bottom w:val="single" w:sz="8" w:color="CCEEFF"/>
            </w:tcBorders>
            <w:shd w:val="clear" w:color="auto" w:fill="CCEEFF"/>
          </w:tcPr>
          <w:p>
            <w:pPr>
              <w:jc w:val="right"/>
              <w:ind w:right="13"/>
              <w:spacing w:after="0"/>
              <w:rPr>
                <w:sz w:val="20"/>
                <w:szCs w:val="20"/>
                <w:color w:val="auto"/>
              </w:rPr>
            </w:pPr>
            <w:r>
              <w:rPr>
                <w:rFonts w:ascii="Arial" w:cs="Arial" w:eastAsia="Arial" w:hAnsi="Arial"/>
                <w:sz w:val="13"/>
                <w:szCs w:val="13"/>
                <w:color w:val="auto"/>
              </w:rPr>
              <w:t>(171,896)</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160" w:type="dxa"/>
            <w:vAlign w:val="bottom"/>
            <w:tcBorders>
              <w:bottom w:val="single" w:sz="8" w:color="CCEEFF"/>
            </w:tcBorders>
            <w:gridSpan w:val="2"/>
            <w:shd w:val="clear" w:color="auto" w:fill="CCEEFF"/>
          </w:tcPr>
          <w:p>
            <w:pPr>
              <w:jc w:val="right"/>
              <w:ind w:right="320"/>
              <w:spacing w:after="0"/>
              <w:rPr>
                <w:sz w:val="20"/>
                <w:szCs w:val="20"/>
                <w:color w:val="auto"/>
              </w:rPr>
            </w:pPr>
            <w:r>
              <w:rPr>
                <w:rFonts w:ascii="Arial" w:cs="Arial" w:eastAsia="Arial" w:hAnsi="Arial"/>
                <w:sz w:val="13"/>
                <w:szCs w:val="13"/>
                <w:color w:val="auto"/>
              </w:rPr>
              <w:t>—</w:t>
            </w:r>
          </w:p>
        </w:tc>
        <w:tc>
          <w:tcPr>
            <w:tcW w:w="220" w:type="dxa"/>
            <w:vAlign w:val="bottom"/>
            <w:tcBorders>
              <w:bottom w:val="single" w:sz="8" w:color="CCEEFF"/>
            </w:tcBorders>
            <w:shd w:val="clear" w:color="auto" w:fill="CCEEFF"/>
          </w:tcPr>
          <w:p>
            <w:pPr>
              <w:spacing w:after="0"/>
              <w:rPr>
                <w:sz w:val="17"/>
                <w:szCs w:val="17"/>
                <w:color w:val="auto"/>
              </w:rPr>
            </w:pPr>
          </w:p>
        </w:tc>
        <w:tc>
          <w:tcPr>
            <w:tcW w:w="1020" w:type="dxa"/>
            <w:vAlign w:val="bottom"/>
            <w:tcBorders>
              <w:bottom w:val="single" w:sz="8" w:color="CCEEFF"/>
            </w:tcBorders>
            <w:shd w:val="clear" w:color="auto" w:fill="CCEEFF"/>
          </w:tcPr>
          <w:p>
            <w:pPr>
              <w:jc w:val="right"/>
              <w:ind w:right="13"/>
              <w:spacing w:after="0"/>
              <w:rPr>
                <w:sz w:val="20"/>
                <w:szCs w:val="20"/>
                <w:color w:val="auto"/>
              </w:rPr>
            </w:pPr>
            <w:r>
              <w:rPr>
                <w:rFonts w:ascii="Arial" w:cs="Arial" w:eastAsia="Arial" w:hAnsi="Arial"/>
                <w:sz w:val="13"/>
                <w:szCs w:val="13"/>
                <w:color w:val="auto"/>
              </w:rPr>
              <w:t>(350,976)</w:t>
            </w:r>
          </w:p>
        </w:tc>
        <w:tc>
          <w:tcPr>
            <w:tcW w:w="100" w:type="dxa"/>
            <w:vAlign w:val="bottom"/>
            <w:tcBorders>
              <w:bottom w:val="single" w:sz="8" w:color="CCEEFF"/>
            </w:tcBorders>
            <w:shd w:val="clear" w:color="auto" w:fill="CCEEFF"/>
          </w:tcPr>
          <w:p>
            <w:pPr>
              <w:spacing w:after="0"/>
              <w:rPr>
                <w:sz w:val="17"/>
                <w:szCs w:val="17"/>
                <w:color w:val="auto"/>
              </w:rPr>
            </w:pPr>
          </w:p>
        </w:tc>
        <w:tc>
          <w:tcPr>
            <w:tcW w:w="420" w:type="dxa"/>
            <w:vAlign w:val="bottom"/>
            <w:tcBorders>
              <w:bottom w:val="single" w:sz="8" w:color="CCEEFF"/>
            </w:tcBorders>
            <w:shd w:val="clear" w:color="auto" w:fill="CCEEFF"/>
          </w:tcPr>
          <w:p>
            <w:pPr>
              <w:spacing w:after="0"/>
              <w:rPr>
                <w:sz w:val="17"/>
                <w:szCs w:val="17"/>
                <w:color w:val="auto"/>
              </w:rPr>
            </w:pPr>
          </w:p>
        </w:tc>
        <w:tc>
          <w:tcPr>
            <w:tcW w:w="9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w:t>
            </w:r>
          </w:p>
        </w:tc>
      </w:tr>
      <w:tr>
        <w:trPr>
          <w:trHeight w:val="195"/>
        </w:trPr>
        <w:tc>
          <w:tcPr>
            <w:tcW w:w="5320" w:type="dxa"/>
            <w:vAlign w:val="bottom"/>
          </w:tcPr>
          <w:p>
            <w:pPr>
              <w:ind w:left="20"/>
              <w:spacing w:after="0"/>
              <w:rPr>
                <w:sz w:val="20"/>
                <w:szCs w:val="20"/>
                <w:color w:val="auto"/>
              </w:rPr>
            </w:pPr>
            <w:r>
              <w:rPr>
                <w:rFonts w:ascii="Arial" w:cs="Arial" w:eastAsia="Arial" w:hAnsi="Arial"/>
                <w:sz w:val="13"/>
                <w:szCs w:val="13"/>
                <w:color w:val="auto"/>
              </w:rPr>
              <w:t>Tax benefit</w:t>
            </w:r>
          </w:p>
        </w:tc>
        <w:tc>
          <w:tcPr>
            <w:tcW w:w="260" w:type="dxa"/>
            <w:vAlign w:val="bottom"/>
          </w:tcPr>
          <w:p>
            <w:pPr>
              <w:spacing w:after="0"/>
              <w:rPr>
                <w:sz w:val="16"/>
                <w:szCs w:val="16"/>
                <w:color w:val="auto"/>
              </w:rPr>
            </w:pPr>
          </w:p>
        </w:tc>
        <w:tc>
          <w:tcPr>
            <w:tcW w:w="1080" w:type="dxa"/>
            <w:vAlign w:val="bottom"/>
          </w:tcPr>
          <w:p>
            <w:pPr>
              <w:jc w:val="right"/>
              <w:ind w:right="13"/>
              <w:spacing w:after="0"/>
              <w:rPr>
                <w:sz w:val="20"/>
                <w:szCs w:val="20"/>
                <w:color w:val="auto"/>
              </w:rPr>
            </w:pPr>
            <w:r>
              <w:rPr>
                <w:rFonts w:ascii="Arial" w:cs="Arial" w:eastAsia="Arial" w:hAnsi="Arial"/>
                <w:sz w:val="13"/>
                <w:szCs w:val="13"/>
                <w:color w:val="auto"/>
              </w:rPr>
              <w:t>(559,093)</w:t>
            </w:r>
          </w:p>
        </w:tc>
        <w:tc>
          <w:tcPr>
            <w:tcW w:w="2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40" w:type="dxa"/>
            <w:vAlign w:val="bottom"/>
          </w:tcPr>
          <w:p>
            <w:pPr>
              <w:jc w:val="right"/>
              <w:spacing w:after="0"/>
              <w:rPr>
                <w:sz w:val="20"/>
                <w:szCs w:val="20"/>
                <w:color w:val="auto"/>
              </w:rPr>
            </w:pPr>
            <w:r>
              <w:rPr>
                <w:rFonts w:ascii="Arial" w:cs="Arial" w:eastAsia="Arial" w:hAnsi="Arial"/>
                <w:sz w:val="13"/>
                <w:szCs w:val="13"/>
                <w:color w:val="auto"/>
              </w:rPr>
              <w:t>(388,787)</w:t>
            </w:r>
          </w:p>
        </w:tc>
        <w:tc>
          <w:tcPr>
            <w:tcW w:w="2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20" w:type="dxa"/>
            <w:vAlign w:val="bottom"/>
          </w:tcPr>
          <w:p>
            <w:pPr>
              <w:jc w:val="right"/>
              <w:ind w:right="13"/>
              <w:spacing w:after="0"/>
              <w:rPr>
                <w:sz w:val="20"/>
                <w:szCs w:val="20"/>
                <w:color w:val="auto"/>
              </w:rPr>
            </w:pPr>
            <w:r>
              <w:rPr>
                <w:rFonts w:ascii="Arial" w:cs="Arial" w:eastAsia="Arial" w:hAnsi="Arial"/>
                <w:sz w:val="13"/>
                <w:szCs w:val="13"/>
                <w:color w:val="auto"/>
              </w:rPr>
              <w:t>(674,329)</w:t>
            </w:r>
          </w:p>
        </w:tc>
        <w:tc>
          <w:tcPr>
            <w:tcW w:w="1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900" w:type="dxa"/>
            <w:vAlign w:val="bottom"/>
          </w:tcPr>
          <w:p>
            <w:pPr>
              <w:jc w:val="right"/>
              <w:ind w:right="13"/>
              <w:spacing w:after="0"/>
              <w:rPr>
                <w:sz w:val="20"/>
                <w:szCs w:val="20"/>
                <w:color w:val="auto"/>
              </w:rPr>
            </w:pPr>
            <w:r>
              <w:rPr>
                <w:rFonts w:ascii="Arial" w:cs="Arial" w:eastAsia="Arial" w:hAnsi="Arial"/>
                <w:sz w:val="13"/>
                <w:szCs w:val="13"/>
                <w:color w:val="auto"/>
              </w:rPr>
              <w:t>(662,049)</w:t>
            </w:r>
          </w:p>
        </w:tc>
      </w:tr>
      <w:tr>
        <w:trPr>
          <w:trHeight w:val="27"/>
        </w:trPr>
        <w:tc>
          <w:tcPr>
            <w:tcW w:w="53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80" w:type="dxa"/>
            <w:vAlign w:val="bottom"/>
          </w:tcPr>
          <w:p>
            <w:pPr>
              <w:spacing w:after="0"/>
              <w:rPr>
                <w:sz w:val="2"/>
                <w:szCs w:val="2"/>
                <w:color w:val="auto"/>
              </w:rPr>
            </w:pPr>
          </w:p>
        </w:tc>
        <w:tc>
          <w:tcPr>
            <w:tcW w:w="940" w:type="dxa"/>
            <w:vAlign w:val="bottom"/>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20" w:type="dxa"/>
            <w:vAlign w:val="bottom"/>
          </w:tcPr>
          <w:p>
            <w:pPr>
              <w:spacing w:after="0"/>
              <w:rPr>
                <w:sz w:val="2"/>
                <w:szCs w:val="2"/>
                <w:color w:val="auto"/>
              </w:rPr>
            </w:pPr>
          </w:p>
        </w:tc>
        <w:tc>
          <w:tcPr>
            <w:tcW w:w="900" w:type="dxa"/>
            <w:vAlign w:val="bottom"/>
          </w:tcPr>
          <w:p>
            <w:pPr>
              <w:spacing w:after="0"/>
              <w:rPr>
                <w:sz w:val="2"/>
                <w:szCs w:val="2"/>
                <w:color w:val="auto"/>
              </w:rPr>
            </w:pPr>
          </w:p>
        </w:tc>
      </w:tr>
      <w:tr>
        <w:trPr>
          <w:trHeight w:val="222"/>
        </w:trPr>
        <w:tc>
          <w:tcPr>
            <w:tcW w:w="53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Depreciation and amortization</w:t>
            </w:r>
          </w:p>
        </w:tc>
        <w:tc>
          <w:tcPr>
            <w:tcW w:w="260" w:type="dxa"/>
            <w:vAlign w:val="bottom"/>
            <w:tcBorders>
              <w:bottom w:val="single" w:sz="8" w:color="CCEEFF"/>
            </w:tcBorders>
            <w:shd w:val="clear" w:color="auto" w:fill="CCEEFF"/>
          </w:tcPr>
          <w:p>
            <w:pPr>
              <w:spacing w:after="0"/>
              <w:rPr>
                <w:sz w:val="19"/>
                <w:szCs w:val="19"/>
                <w:color w:val="auto"/>
              </w:rPr>
            </w:pPr>
          </w:p>
        </w:tc>
        <w:tc>
          <w:tcPr>
            <w:tcW w:w="10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238,002</w:t>
            </w:r>
          </w:p>
        </w:tc>
        <w:tc>
          <w:tcPr>
            <w:tcW w:w="220" w:type="dxa"/>
            <w:vAlign w:val="bottom"/>
            <w:tcBorders>
              <w:bottom w:val="single" w:sz="8" w:color="CCEEFF"/>
            </w:tcBorders>
            <w:shd w:val="clear" w:color="auto" w:fill="CCEEFF"/>
          </w:tcPr>
          <w:p>
            <w:pPr>
              <w:spacing w:after="0"/>
              <w:rPr>
                <w:sz w:val="19"/>
                <w:szCs w:val="19"/>
                <w:color w:val="auto"/>
              </w:rPr>
            </w:pPr>
          </w:p>
        </w:tc>
        <w:tc>
          <w:tcPr>
            <w:tcW w:w="38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208,958</w:t>
            </w:r>
          </w:p>
        </w:tc>
        <w:tc>
          <w:tcPr>
            <w:tcW w:w="220" w:type="dxa"/>
            <w:vAlign w:val="bottom"/>
            <w:tcBorders>
              <w:bottom w:val="single" w:sz="8" w:color="CCEEFF"/>
            </w:tcBorders>
            <w:shd w:val="clear" w:color="auto" w:fill="CCEEFF"/>
          </w:tcPr>
          <w:p>
            <w:pPr>
              <w:spacing w:after="0"/>
              <w:rPr>
                <w:sz w:val="19"/>
                <w:szCs w:val="19"/>
                <w:color w:val="auto"/>
              </w:rPr>
            </w:pPr>
          </w:p>
        </w:tc>
        <w:tc>
          <w:tcPr>
            <w:tcW w:w="220" w:type="dxa"/>
            <w:vAlign w:val="bottom"/>
            <w:tcBorders>
              <w:bottom w:val="single" w:sz="8" w:color="CCEEFF"/>
            </w:tcBorders>
            <w:shd w:val="clear" w:color="auto" w:fill="CCEEFF"/>
          </w:tcPr>
          <w:p>
            <w:pPr>
              <w:spacing w:after="0"/>
              <w:rPr>
                <w:sz w:val="19"/>
                <w:szCs w:val="19"/>
                <w:color w:val="auto"/>
              </w:rPr>
            </w:pPr>
          </w:p>
        </w:tc>
        <w:tc>
          <w:tcPr>
            <w:tcW w:w="102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711,144</w:t>
            </w:r>
          </w:p>
        </w:tc>
        <w:tc>
          <w:tcPr>
            <w:tcW w:w="100" w:type="dxa"/>
            <w:vAlign w:val="bottom"/>
            <w:tcBorders>
              <w:bottom w:val="single" w:sz="8" w:color="CCEEFF"/>
            </w:tcBorders>
            <w:shd w:val="clear" w:color="auto" w:fill="CCEEFF"/>
          </w:tcPr>
          <w:p>
            <w:pPr>
              <w:spacing w:after="0"/>
              <w:rPr>
                <w:sz w:val="19"/>
                <w:szCs w:val="19"/>
                <w:color w:val="auto"/>
              </w:rPr>
            </w:pPr>
          </w:p>
        </w:tc>
        <w:tc>
          <w:tcPr>
            <w:tcW w:w="420" w:type="dxa"/>
            <w:vAlign w:val="bottom"/>
            <w:tcBorders>
              <w:bottom w:val="single" w:sz="8" w:color="CCEEFF"/>
            </w:tcBorders>
            <w:shd w:val="clear" w:color="auto" w:fill="CCEEFF"/>
          </w:tcPr>
          <w:p>
            <w:pPr>
              <w:spacing w:after="0"/>
              <w:rPr>
                <w:sz w:val="19"/>
                <w:szCs w:val="19"/>
                <w:color w:val="auto"/>
              </w:rPr>
            </w:pPr>
          </w:p>
        </w:tc>
        <w:tc>
          <w:tcPr>
            <w:tcW w:w="9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644,001</w:t>
            </w:r>
          </w:p>
        </w:tc>
      </w:tr>
      <w:tr>
        <w:trPr>
          <w:trHeight w:val="175"/>
        </w:trPr>
        <w:tc>
          <w:tcPr>
            <w:tcW w:w="5320" w:type="dxa"/>
            <w:vAlign w:val="bottom"/>
          </w:tcPr>
          <w:p>
            <w:pPr>
              <w:ind w:left="320"/>
              <w:spacing w:after="0"/>
              <w:rPr>
                <w:sz w:val="20"/>
                <w:szCs w:val="20"/>
                <w:color w:val="auto"/>
              </w:rPr>
            </w:pPr>
            <w:r>
              <w:rPr>
                <w:rFonts w:ascii="Arial" w:cs="Arial" w:eastAsia="Arial" w:hAnsi="Arial"/>
                <w:sz w:val="13"/>
                <w:szCs w:val="13"/>
                <w:color w:val="auto"/>
              </w:rPr>
              <w:t>EBITDA</w:t>
            </w:r>
          </w:p>
        </w:tc>
        <w:tc>
          <w:tcPr>
            <w:tcW w:w="260" w:type="dxa"/>
            <w:vAlign w:val="bottom"/>
            <w:tcBorders>
              <w:top w:val="single" w:sz="8" w:color="auto"/>
            </w:tcBorders>
          </w:tcPr>
          <w:p>
            <w:pPr>
              <w:spacing w:after="0"/>
              <w:rPr>
                <w:sz w:val="15"/>
                <w:szCs w:val="15"/>
                <w:color w:val="auto"/>
              </w:rPr>
            </w:pPr>
          </w:p>
        </w:tc>
        <w:tc>
          <w:tcPr>
            <w:tcW w:w="108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827,818</w:t>
            </w:r>
          </w:p>
        </w:tc>
        <w:tc>
          <w:tcPr>
            <w:tcW w:w="220" w:type="dxa"/>
            <w:vAlign w:val="bottom"/>
          </w:tcPr>
          <w:p>
            <w:pPr>
              <w:spacing w:after="0"/>
              <w:rPr>
                <w:sz w:val="15"/>
                <w:szCs w:val="15"/>
                <w:color w:val="auto"/>
              </w:rPr>
            </w:pPr>
          </w:p>
        </w:tc>
        <w:tc>
          <w:tcPr>
            <w:tcW w:w="380" w:type="dxa"/>
            <w:vAlign w:val="bottom"/>
            <w:tcBorders>
              <w:top w:val="single" w:sz="8" w:color="auto"/>
            </w:tcBorders>
          </w:tcPr>
          <w:p>
            <w:pPr>
              <w:spacing w:after="0"/>
              <w:rPr>
                <w:sz w:val="15"/>
                <w:szCs w:val="15"/>
                <w:color w:val="auto"/>
              </w:rPr>
            </w:pPr>
          </w:p>
        </w:tc>
        <w:tc>
          <w:tcPr>
            <w:tcW w:w="94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69,966</w:t>
            </w:r>
          </w:p>
        </w:tc>
        <w:tc>
          <w:tcPr>
            <w:tcW w:w="220" w:type="dxa"/>
            <w:vAlign w:val="bottom"/>
          </w:tcPr>
          <w:p>
            <w:pPr>
              <w:spacing w:after="0"/>
              <w:rPr>
                <w:sz w:val="15"/>
                <w:szCs w:val="15"/>
                <w:color w:val="auto"/>
              </w:rPr>
            </w:pPr>
          </w:p>
        </w:tc>
        <w:tc>
          <w:tcPr>
            <w:tcW w:w="220" w:type="dxa"/>
            <w:vAlign w:val="bottom"/>
            <w:tcBorders>
              <w:top w:val="single" w:sz="8" w:color="auto"/>
            </w:tcBorders>
          </w:tcPr>
          <w:p>
            <w:pPr>
              <w:spacing w:after="0"/>
              <w:rPr>
                <w:sz w:val="15"/>
                <w:szCs w:val="15"/>
                <w:color w:val="auto"/>
              </w:rPr>
            </w:pPr>
          </w:p>
        </w:tc>
        <w:tc>
          <w:tcPr>
            <w:tcW w:w="102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1,149,206</w:t>
            </w:r>
          </w:p>
        </w:tc>
        <w:tc>
          <w:tcPr>
            <w:tcW w:w="100" w:type="dxa"/>
            <w:vAlign w:val="bottom"/>
          </w:tcPr>
          <w:p>
            <w:pPr>
              <w:spacing w:after="0"/>
              <w:rPr>
                <w:sz w:val="15"/>
                <w:szCs w:val="15"/>
                <w:color w:val="auto"/>
              </w:rPr>
            </w:pPr>
          </w:p>
        </w:tc>
        <w:tc>
          <w:tcPr>
            <w:tcW w:w="420" w:type="dxa"/>
            <w:vAlign w:val="bottom"/>
            <w:tcBorders>
              <w:top w:val="single" w:sz="8" w:color="auto"/>
            </w:tcBorders>
          </w:tcPr>
          <w:p>
            <w:pPr>
              <w:spacing w:after="0"/>
              <w:rPr>
                <w:sz w:val="15"/>
                <w:szCs w:val="15"/>
                <w:color w:val="auto"/>
              </w:rPr>
            </w:pPr>
          </w:p>
        </w:tc>
        <w:tc>
          <w:tcPr>
            <w:tcW w:w="900" w:type="dxa"/>
            <w:vAlign w:val="bottom"/>
            <w:tcBorders>
              <w:top w:val="single" w:sz="8" w:color="auto"/>
            </w:tcBorders>
          </w:tcPr>
          <w:p>
            <w:pPr>
              <w:jc w:val="right"/>
              <w:ind w:right="13"/>
              <w:spacing w:after="0"/>
              <w:rPr>
                <w:sz w:val="20"/>
                <w:szCs w:val="20"/>
                <w:color w:val="auto"/>
              </w:rPr>
            </w:pPr>
            <w:r>
              <w:rPr>
                <w:rFonts w:ascii="Arial" w:cs="Arial" w:eastAsia="Arial" w:hAnsi="Arial"/>
                <w:sz w:val="13"/>
                <w:szCs w:val="13"/>
                <w:color w:val="auto"/>
              </w:rPr>
              <w:t>(1,094,163)</w:t>
            </w:r>
          </w:p>
        </w:tc>
      </w:tr>
      <w:tr>
        <w:trPr>
          <w:trHeight w:val="27"/>
        </w:trPr>
        <w:tc>
          <w:tcPr>
            <w:tcW w:w="53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380" w:type="dxa"/>
            <w:vAlign w:val="bottom"/>
          </w:tcPr>
          <w:p>
            <w:pPr>
              <w:spacing w:after="0"/>
              <w:rPr>
                <w:sz w:val="2"/>
                <w:szCs w:val="2"/>
                <w:color w:val="auto"/>
              </w:rPr>
            </w:pPr>
          </w:p>
        </w:tc>
        <w:tc>
          <w:tcPr>
            <w:tcW w:w="940" w:type="dxa"/>
            <w:vAlign w:val="bottom"/>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20" w:type="dxa"/>
            <w:vAlign w:val="bottom"/>
          </w:tcPr>
          <w:p>
            <w:pPr>
              <w:spacing w:after="0"/>
              <w:rPr>
                <w:sz w:val="2"/>
                <w:szCs w:val="2"/>
                <w:color w:val="auto"/>
              </w:rPr>
            </w:pPr>
          </w:p>
        </w:tc>
        <w:tc>
          <w:tcPr>
            <w:tcW w:w="900" w:type="dxa"/>
            <w:vAlign w:val="bottom"/>
          </w:tcPr>
          <w:p>
            <w:pPr>
              <w:spacing w:after="0"/>
              <w:rPr>
                <w:sz w:val="2"/>
                <w:szCs w:val="2"/>
                <w:color w:val="auto"/>
              </w:rPr>
            </w:pPr>
          </w:p>
        </w:tc>
      </w:tr>
      <w:tr>
        <w:trPr>
          <w:trHeight w:val="222"/>
        </w:trPr>
        <w:tc>
          <w:tcPr>
            <w:tcW w:w="53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3"/>
                <w:szCs w:val="13"/>
                <w:color w:val="auto"/>
              </w:rPr>
              <w:t>Share-based compensation</w:t>
            </w:r>
          </w:p>
        </w:tc>
        <w:tc>
          <w:tcPr>
            <w:tcW w:w="260" w:type="dxa"/>
            <w:vAlign w:val="bottom"/>
            <w:tcBorders>
              <w:bottom w:val="single" w:sz="8" w:color="CCEEFF"/>
            </w:tcBorders>
            <w:shd w:val="clear" w:color="auto" w:fill="CCEEFF"/>
          </w:tcPr>
          <w:p>
            <w:pPr>
              <w:spacing w:after="0"/>
              <w:rPr>
                <w:sz w:val="19"/>
                <w:szCs w:val="19"/>
                <w:color w:val="auto"/>
              </w:rPr>
            </w:pPr>
          </w:p>
        </w:tc>
        <w:tc>
          <w:tcPr>
            <w:tcW w:w="108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117,823</w:t>
            </w:r>
          </w:p>
        </w:tc>
        <w:tc>
          <w:tcPr>
            <w:tcW w:w="220" w:type="dxa"/>
            <w:vAlign w:val="bottom"/>
            <w:tcBorders>
              <w:bottom w:val="single" w:sz="8" w:color="CCEEFF"/>
            </w:tcBorders>
            <w:shd w:val="clear" w:color="auto" w:fill="CCEEFF"/>
          </w:tcPr>
          <w:p>
            <w:pPr>
              <w:spacing w:after="0"/>
              <w:rPr>
                <w:sz w:val="19"/>
                <w:szCs w:val="19"/>
                <w:color w:val="auto"/>
              </w:rPr>
            </w:pPr>
          </w:p>
        </w:tc>
        <w:tc>
          <w:tcPr>
            <w:tcW w:w="38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jc w:val="right"/>
              <w:ind w:right="33"/>
              <w:spacing w:after="0"/>
              <w:rPr>
                <w:sz w:val="20"/>
                <w:szCs w:val="20"/>
                <w:color w:val="auto"/>
              </w:rPr>
            </w:pPr>
            <w:r>
              <w:rPr>
                <w:rFonts w:ascii="Arial" w:cs="Arial" w:eastAsia="Arial" w:hAnsi="Arial"/>
                <w:sz w:val="13"/>
                <w:szCs w:val="13"/>
                <w:color w:val="auto"/>
              </w:rPr>
              <w:t>151,672</w:t>
            </w:r>
          </w:p>
        </w:tc>
        <w:tc>
          <w:tcPr>
            <w:tcW w:w="220" w:type="dxa"/>
            <w:vAlign w:val="bottom"/>
            <w:tcBorders>
              <w:bottom w:val="single" w:sz="8" w:color="CCEEFF"/>
            </w:tcBorders>
            <w:shd w:val="clear" w:color="auto" w:fill="CCEEFF"/>
          </w:tcPr>
          <w:p>
            <w:pPr>
              <w:spacing w:after="0"/>
              <w:rPr>
                <w:sz w:val="19"/>
                <w:szCs w:val="19"/>
                <w:color w:val="auto"/>
              </w:rPr>
            </w:pPr>
          </w:p>
        </w:tc>
        <w:tc>
          <w:tcPr>
            <w:tcW w:w="220" w:type="dxa"/>
            <w:vAlign w:val="bottom"/>
            <w:tcBorders>
              <w:bottom w:val="single" w:sz="8" w:color="CCEEFF"/>
            </w:tcBorders>
            <w:shd w:val="clear" w:color="auto" w:fill="CCEEFF"/>
          </w:tcPr>
          <w:p>
            <w:pPr>
              <w:spacing w:after="0"/>
              <w:rPr>
                <w:sz w:val="19"/>
                <w:szCs w:val="19"/>
                <w:color w:val="auto"/>
              </w:rPr>
            </w:pPr>
          </w:p>
        </w:tc>
        <w:tc>
          <w:tcPr>
            <w:tcW w:w="102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345,582</w:t>
            </w:r>
          </w:p>
        </w:tc>
        <w:tc>
          <w:tcPr>
            <w:tcW w:w="100" w:type="dxa"/>
            <w:vAlign w:val="bottom"/>
            <w:tcBorders>
              <w:bottom w:val="single" w:sz="8" w:color="CCEEFF"/>
            </w:tcBorders>
            <w:shd w:val="clear" w:color="auto" w:fill="CCEEFF"/>
          </w:tcPr>
          <w:p>
            <w:pPr>
              <w:spacing w:after="0"/>
              <w:rPr>
                <w:sz w:val="19"/>
                <w:szCs w:val="19"/>
                <w:color w:val="auto"/>
              </w:rPr>
            </w:pPr>
          </w:p>
        </w:tc>
        <w:tc>
          <w:tcPr>
            <w:tcW w:w="420" w:type="dxa"/>
            <w:vAlign w:val="bottom"/>
            <w:tcBorders>
              <w:bottom w:val="single" w:sz="8" w:color="CCEEFF"/>
            </w:tcBorders>
            <w:shd w:val="clear" w:color="auto" w:fill="CCEEFF"/>
          </w:tcPr>
          <w:p>
            <w:pPr>
              <w:spacing w:after="0"/>
              <w:rPr>
                <w:sz w:val="19"/>
                <w:szCs w:val="19"/>
                <w:color w:val="auto"/>
              </w:rPr>
            </w:pPr>
          </w:p>
        </w:tc>
        <w:tc>
          <w:tcPr>
            <w:tcW w:w="9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3"/>
                <w:szCs w:val="13"/>
                <w:color w:val="auto"/>
              </w:rPr>
              <w:t>476,428</w:t>
            </w:r>
          </w:p>
        </w:tc>
      </w:tr>
      <w:tr>
        <w:trPr>
          <w:trHeight w:val="175"/>
        </w:trPr>
        <w:tc>
          <w:tcPr>
            <w:tcW w:w="5320" w:type="dxa"/>
            <w:vAlign w:val="bottom"/>
          </w:tcPr>
          <w:p>
            <w:pPr>
              <w:ind w:left="320"/>
              <w:spacing w:after="0"/>
              <w:rPr>
                <w:sz w:val="20"/>
                <w:szCs w:val="20"/>
                <w:color w:val="auto"/>
              </w:rPr>
            </w:pPr>
            <w:r>
              <w:rPr>
                <w:rFonts w:ascii="Arial" w:cs="Arial" w:eastAsia="Arial" w:hAnsi="Arial"/>
                <w:sz w:val="13"/>
                <w:szCs w:val="13"/>
                <w:color w:val="auto"/>
              </w:rPr>
              <w:t>Adjusted EBITDA</w:t>
            </w:r>
          </w:p>
        </w:tc>
        <w:tc>
          <w:tcPr>
            <w:tcW w:w="260" w:type="dxa"/>
            <w:vAlign w:val="bottom"/>
            <w:tcBorders>
              <w:top w:val="single" w:sz="8" w:color="auto"/>
            </w:tcBorders>
          </w:tcPr>
          <w:p>
            <w:pPr>
              <w:jc w:val="right"/>
              <w:ind w:right="113"/>
              <w:spacing w:after="0"/>
              <w:rPr>
                <w:sz w:val="20"/>
                <w:szCs w:val="20"/>
                <w:color w:val="auto"/>
              </w:rPr>
            </w:pPr>
            <w:r>
              <w:rPr>
                <w:rFonts w:ascii="Arial" w:cs="Arial" w:eastAsia="Arial" w:hAnsi="Arial"/>
                <w:sz w:val="13"/>
                <w:szCs w:val="13"/>
                <w:color w:val="auto"/>
                <w:w w:val="82"/>
              </w:rPr>
              <w:t>$</w:t>
            </w:r>
          </w:p>
        </w:tc>
        <w:tc>
          <w:tcPr>
            <w:tcW w:w="108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945,641</w:t>
            </w:r>
          </w:p>
        </w:tc>
        <w:tc>
          <w:tcPr>
            <w:tcW w:w="220" w:type="dxa"/>
            <w:vAlign w:val="bottom"/>
          </w:tcPr>
          <w:p>
            <w:pPr>
              <w:spacing w:after="0"/>
              <w:rPr>
                <w:sz w:val="15"/>
                <w:szCs w:val="15"/>
                <w:color w:val="auto"/>
              </w:rPr>
            </w:pPr>
          </w:p>
        </w:tc>
        <w:tc>
          <w:tcPr>
            <w:tcW w:w="380" w:type="dxa"/>
            <w:vAlign w:val="bottom"/>
            <w:tcBorders>
              <w:top w:val="single" w:sz="8" w:color="auto"/>
            </w:tcBorders>
          </w:tcPr>
          <w:p>
            <w:pPr>
              <w:jc w:val="right"/>
              <w:ind w:right="233"/>
              <w:spacing w:after="0"/>
              <w:rPr>
                <w:sz w:val="20"/>
                <w:szCs w:val="20"/>
                <w:color w:val="auto"/>
              </w:rPr>
            </w:pPr>
            <w:r>
              <w:rPr>
                <w:rFonts w:ascii="Arial" w:cs="Arial" w:eastAsia="Arial" w:hAnsi="Arial"/>
                <w:sz w:val="13"/>
                <w:szCs w:val="13"/>
                <w:color w:val="auto"/>
                <w:w w:val="82"/>
              </w:rPr>
              <w:t>$</w:t>
            </w:r>
          </w:p>
        </w:tc>
        <w:tc>
          <w:tcPr>
            <w:tcW w:w="940" w:type="dxa"/>
            <w:vAlign w:val="bottom"/>
            <w:tcBorders>
              <w:top w:val="single" w:sz="8" w:color="auto"/>
            </w:tcBorders>
          </w:tcPr>
          <w:p>
            <w:pPr>
              <w:jc w:val="right"/>
              <w:ind w:right="33"/>
              <w:spacing w:after="0"/>
              <w:rPr>
                <w:sz w:val="20"/>
                <w:szCs w:val="20"/>
                <w:color w:val="auto"/>
              </w:rPr>
            </w:pPr>
            <w:r>
              <w:rPr>
                <w:rFonts w:ascii="Arial" w:cs="Arial" w:eastAsia="Arial" w:hAnsi="Arial"/>
                <w:sz w:val="13"/>
                <w:szCs w:val="13"/>
                <w:color w:val="auto"/>
              </w:rPr>
              <w:t>221,638</w:t>
            </w:r>
          </w:p>
        </w:tc>
        <w:tc>
          <w:tcPr>
            <w:tcW w:w="220" w:type="dxa"/>
            <w:vAlign w:val="bottom"/>
          </w:tcPr>
          <w:p>
            <w:pPr>
              <w:spacing w:after="0"/>
              <w:rPr>
                <w:sz w:val="15"/>
                <w:szCs w:val="15"/>
                <w:color w:val="auto"/>
              </w:rPr>
            </w:pPr>
          </w:p>
        </w:tc>
        <w:tc>
          <w:tcPr>
            <w:tcW w:w="22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w:t>
            </w:r>
          </w:p>
        </w:tc>
        <w:tc>
          <w:tcPr>
            <w:tcW w:w="1020" w:type="dxa"/>
            <w:vAlign w:val="bottom"/>
            <w:tcBorders>
              <w:top w:val="single" w:sz="8" w:color="auto"/>
            </w:tcBorders>
          </w:tcPr>
          <w:p>
            <w:pPr>
              <w:jc w:val="right"/>
              <w:ind w:right="53"/>
              <w:spacing w:after="0"/>
              <w:rPr>
                <w:sz w:val="20"/>
                <w:szCs w:val="20"/>
                <w:color w:val="auto"/>
              </w:rPr>
            </w:pPr>
            <w:r>
              <w:rPr>
                <w:rFonts w:ascii="Arial" w:cs="Arial" w:eastAsia="Arial" w:hAnsi="Arial"/>
                <w:sz w:val="13"/>
                <w:szCs w:val="13"/>
                <w:color w:val="auto"/>
              </w:rPr>
              <w:t>1,494,788</w:t>
            </w:r>
          </w:p>
        </w:tc>
        <w:tc>
          <w:tcPr>
            <w:tcW w:w="100" w:type="dxa"/>
            <w:vAlign w:val="bottom"/>
          </w:tcPr>
          <w:p>
            <w:pPr>
              <w:spacing w:after="0"/>
              <w:rPr>
                <w:sz w:val="15"/>
                <w:szCs w:val="15"/>
                <w:color w:val="auto"/>
              </w:rPr>
            </w:pPr>
          </w:p>
        </w:tc>
        <w:tc>
          <w:tcPr>
            <w:tcW w:w="420" w:type="dxa"/>
            <w:vAlign w:val="bottom"/>
            <w:tcBorders>
              <w:top w:val="single" w:sz="8" w:color="auto"/>
            </w:tcBorders>
          </w:tcPr>
          <w:p>
            <w:pPr>
              <w:jc w:val="right"/>
              <w:ind w:right="273"/>
              <w:spacing w:after="0"/>
              <w:rPr>
                <w:sz w:val="20"/>
                <w:szCs w:val="20"/>
                <w:color w:val="auto"/>
              </w:rPr>
            </w:pPr>
            <w:r>
              <w:rPr>
                <w:rFonts w:ascii="Arial" w:cs="Arial" w:eastAsia="Arial" w:hAnsi="Arial"/>
                <w:sz w:val="13"/>
                <w:szCs w:val="13"/>
                <w:color w:val="auto"/>
                <w:w w:val="82"/>
              </w:rPr>
              <w:t>$</w:t>
            </w:r>
          </w:p>
        </w:tc>
        <w:tc>
          <w:tcPr>
            <w:tcW w:w="900" w:type="dxa"/>
            <w:vAlign w:val="bottom"/>
            <w:tcBorders>
              <w:top w:val="single" w:sz="8" w:color="auto"/>
            </w:tcBorders>
          </w:tcPr>
          <w:p>
            <w:pPr>
              <w:jc w:val="right"/>
              <w:ind w:right="13"/>
              <w:spacing w:after="0"/>
              <w:rPr>
                <w:sz w:val="20"/>
                <w:szCs w:val="20"/>
                <w:color w:val="auto"/>
              </w:rPr>
            </w:pPr>
            <w:r>
              <w:rPr>
                <w:rFonts w:ascii="Arial" w:cs="Arial" w:eastAsia="Arial" w:hAnsi="Arial"/>
                <w:sz w:val="13"/>
                <w:szCs w:val="13"/>
                <w:color w:val="auto"/>
              </w:rPr>
              <w:t>(617,735)</w:t>
            </w:r>
          </w:p>
        </w:tc>
      </w:tr>
      <w:tr>
        <w:trPr>
          <w:trHeight w:val="27"/>
        </w:trPr>
        <w:tc>
          <w:tcPr>
            <w:tcW w:w="5320" w:type="dxa"/>
            <w:vAlign w:val="bottom"/>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r>
      <w:tr>
        <w:trPr>
          <w:trHeight w:val="20"/>
        </w:trPr>
        <w:tc>
          <w:tcPr>
            <w:tcW w:w="53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r>
    </w:tbl>
    <w:p>
      <w:pPr>
        <w:spacing w:after="0" w:line="123" w:lineRule="exact"/>
        <w:rPr>
          <w:sz w:val="20"/>
          <w:szCs w:val="20"/>
          <w:color w:val="auto"/>
        </w:rPr>
      </w:pPr>
    </w:p>
    <w:p>
      <w:pPr>
        <w:jc w:val="center"/>
        <w:ind w:right="-179"/>
        <w:spacing w:after="0"/>
        <w:rPr>
          <w:sz w:val="20"/>
          <w:szCs w:val="20"/>
          <w:color w:val="auto"/>
        </w:rPr>
      </w:pPr>
      <w:r>
        <w:rPr>
          <w:rFonts w:ascii="Arial" w:cs="Arial" w:eastAsia="Arial" w:hAnsi="Arial"/>
          <w:sz w:val="15"/>
          <w:szCs w:val="15"/>
          <w:color w:val="auto"/>
        </w:rPr>
        <w:t>###</w:t>
      </w:r>
    </w:p>
    <w:p>
      <w:pPr>
        <w:spacing w:after="0" w:line="134" w:lineRule="exact"/>
        <w:rPr>
          <w:sz w:val="20"/>
          <w:szCs w:val="20"/>
          <w:color w:val="auto"/>
        </w:rPr>
      </w:pPr>
    </w:p>
    <w:p>
      <w:pPr>
        <w:spacing w:after="0"/>
        <w:rPr>
          <w:sz w:val="20"/>
          <w:szCs w:val="20"/>
          <w:color w:val="auto"/>
        </w:rPr>
      </w:pPr>
      <w:r>
        <w:rPr>
          <w:rFonts w:ascii="Arial" w:cs="Arial" w:eastAsia="Arial" w:hAnsi="Arial"/>
          <w:sz w:val="15"/>
          <w:szCs w:val="15"/>
          <w:b w:val="1"/>
          <w:bCs w:val="1"/>
          <w:color w:val="auto"/>
        </w:rPr>
        <w:t>Investor Contact:</w:t>
      </w:r>
    </w:p>
    <w:p>
      <w:pPr>
        <w:spacing w:after="0" w:line="19" w:lineRule="exact"/>
        <w:rPr>
          <w:sz w:val="20"/>
          <w:szCs w:val="20"/>
          <w:color w:val="auto"/>
        </w:rPr>
      </w:pPr>
    </w:p>
    <w:p>
      <w:pPr>
        <w:spacing w:after="0"/>
        <w:rPr>
          <w:sz w:val="20"/>
          <w:szCs w:val="20"/>
          <w:color w:val="auto"/>
        </w:rPr>
      </w:pPr>
      <w:r>
        <w:rPr>
          <w:rFonts w:ascii="Arial" w:cs="Arial" w:eastAsia="Arial" w:hAnsi="Arial"/>
          <w:sz w:val="15"/>
          <w:szCs w:val="15"/>
          <w:color w:val="auto"/>
        </w:rPr>
        <w:t>Jane Bomba</w:t>
      </w:r>
    </w:p>
    <w:p>
      <w:pPr>
        <w:spacing w:after="0" w:line="5" w:lineRule="exact"/>
        <w:rPr>
          <w:sz w:val="20"/>
          <w:szCs w:val="20"/>
          <w:color w:val="auto"/>
        </w:rPr>
      </w:pPr>
    </w:p>
    <w:p>
      <w:pPr>
        <w:spacing w:after="0"/>
        <w:rPr>
          <w:sz w:val="20"/>
          <w:szCs w:val="20"/>
          <w:color w:val="auto"/>
        </w:rPr>
      </w:pPr>
      <w:r>
        <w:rPr>
          <w:rFonts w:ascii="Arial" w:cs="Arial" w:eastAsia="Arial" w:hAnsi="Arial"/>
          <w:sz w:val="15"/>
          <w:szCs w:val="15"/>
          <w:color w:val="auto"/>
        </w:rPr>
        <w:t>Luna Innovations Incorporated</w:t>
      </w:r>
    </w:p>
    <w:p>
      <w:pPr>
        <w:spacing w:after="0" w:line="5" w:lineRule="exact"/>
        <w:rPr>
          <w:sz w:val="20"/>
          <w:szCs w:val="20"/>
          <w:color w:val="auto"/>
        </w:rPr>
      </w:pPr>
    </w:p>
    <w:p>
      <w:pPr>
        <w:spacing w:after="0"/>
        <w:rPr>
          <w:sz w:val="20"/>
          <w:szCs w:val="20"/>
          <w:color w:val="auto"/>
        </w:rPr>
      </w:pPr>
      <w:r>
        <w:rPr>
          <w:rFonts w:ascii="Arial" w:cs="Arial" w:eastAsia="Arial" w:hAnsi="Arial"/>
          <w:sz w:val="15"/>
          <w:szCs w:val="15"/>
          <w:color w:val="auto"/>
        </w:rPr>
        <w:t>Phone: 1.303.829.1211</w:t>
      </w:r>
    </w:p>
    <w:p>
      <w:pPr>
        <w:spacing w:after="0" w:line="5" w:lineRule="exact"/>
        <w:rPr>
          <w:sz w:val="20"/>
          <w:szCs w:val="20"/>
          <w:color w:val="auto"/>
        </w:rPr>
      </w:pPr>
    </w:p>
    <w:p>
      <w:pPr>
        <w:spacing w:after="0"/>
        <w:rPr>
          <w:sz w:val="20"/>
          <w:szCs w:val="20"/>
          <w:color w:val="auto"/>
        </w:rPr>
      </w:pPr>
      <w:r>
        <w:rPr>
          <w:rFonts w:ascii="Arial" w:cs="Arial" w:eastAsia="Arial" w:hAnsi="Arial"/>
          <w:sz w:val="15"/>
          <w:szCs w:val="15"/>
          <w:color w:val="auto"/>
        </w:rPr>
        <w:t xml:space="preserve">Email: </w:t>
      </w:r>
      <w:r>
        <w:rPr>
          <w:rFonts w:ascii="Arial" w:cs="Arial" w:eastAsia="Arial" w:hAnsi="Arial"/>
          <w:sz w:val="15"/>
          <w:szCs w:val="15"/>
          <w:u w:val="single" w:color="auto"/>
          <w:color w:val="auto"/>
        </w:rPr>
        <w:t>IR@lunainc.com</w:t>
      </w:r>
    </w:p>
    <w:p>
      <w:pPr>
        <w:sectPr>
          <w:pgSz w:w="11900" w:h="16838" w:orient="portrait"/>
          <w:cols w:equalWidth="0" w:num="1">
            <w:col w:w="11280"/>
          </w:cols>
          <w:pgMar w:left="220" w:top="502" w:right="399" w:bottom="1440" w:gutter="0" w:footer="0" w:header="0"/>
        </w:sectPr>
      </w:pPr>
    </w:p>
    <w:bookmarkStart w:id="12" w:name="page13"/>
    <w:bookmarkEnd w:id="1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314325</wp:posOffset>
            </wp:positionV>
            <wp:extent cx="7212330" cy="4194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2017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12330" cy="42017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4616450</wp:posOffset>
            </wp:positionV>
            <wp:extent cx="7212330" cy="196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12330" cy="19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6334873"/>
    <w:multiLevelType w:val="hybridMultilevel"/>
    <w:lvl w:ilvl="0">
      <w:lvlJc w:val="left"/>
      <w:lvlText w:val="☐"/>
      <w:numFmt w:val="bullet"/>
      <w:start w:val="1"/>
    </w:lvl>
  </w:abstractNum>
  <w:abstractNum w:abstractNumId="1">
    <w:nsid w:val="74B0DC51"/>
    <w:multiLevelType w:val="hybridMultilevel"/>
    <w:lvl w:ilvl="0">
      <w:lvlJc w:val="left"/>
      <w:lvlText w:val="•"/>
      <w:numFmt w:val="bullet"/>
      <w:start w:val="1"/>
    </w:lvl>
  </w:abstractNum>
  <w:abstractNum w:abstractNumId="2">
    <w:nsid w:val="19495CFF"/>
    <w:multiLevelType w:val="hybridMultilevel"/>
    <w:lvl w:ilvl="0">
      <w:lvlJc w:val="left"/>
      <w:lvlText w:val="•"/>
      <w:numFmt w:val="bullet"/>
      <w:start w:val="1"/>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2019-12-28T17:44:07Z</dcterms:created>
  <dcterms:modified xsi:type="dcterms:W3CDTF">2019-12-28T17:44:07Z</dcterms:modified>
</cp:coreProperties>
</file>