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580" w:right="22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quarterly period ended September 30, 2006</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580" w:right="2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900"/>
        <w:spacing w:after="0"/>
        <w:tabs>
          <w:tab w:leader="none" w:pos="66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000-52008</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LUNA INNOVATIONS INCORPORATED</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ectPr>
          <w:pgSz w:w="11900" w:h="16838" w:orient="portrait"/>
          <w:cols w:equalWidth="0" w:num="1">
            <w:col w:w="11300"/>
          </w:cols>
          <w:pgMar w:left="240" w:top="230" w:right="359" w:bottom="1440" w:gutter="0" w:footer="0" w:header="0"/>
        </w:sectPr>
      </w:pPr>
    </w:p>
    <w:p>
      <w:pPr>
        <w:spacing w:after="0" w:line="175"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54-1560050</w:t>
      </w:r>
    </w:p>
    <w:p>
      <w:pPr>
        <w:spacing w:after="0" w:line="56" w:lineRule="exact"/>
        <w:rPr>
          <w:sz w:val="24"/>
          <w:szCs w:val="24"/>
          <w:color w:val="auto"/>
        </w:rPr>
      </w:pPr>
    </w:p>
    <w:p>
      <w:pPr>
        <w:sectPr>
          <w:pgSz w:w="11900" w:h="16838" w:orient="portrait"/>
          <w:cols w:equalWidth="0" w:num="2">
            <w:col w:w="7600" w:space="720"/>
            <w:col w:w="2980"/>
          </w:cols>
          <w:pgMar w:left="240" w:top="230" w:right="359" w:bottom="1440" w:gutter="0" w:footer="0" w:header="0"/>
          <w:type w:val="continuous"/>
        </w:sectPr>
      </w:pPr>
    </w:p>
    <w:p>
      <w:pPr>
        <w:ind w:left="1080"/>
        <w:spacing w:after="0"/>
        <w:rPr>
          <w:sz w:val="20"/>
          <w:szCs w:val="20"/>
          <w:color w:val="auto"/>
        </w:rPr>
      </w:pPr>
      <w:r>
        <w:rPr>
          <w:rFonts w:ascii="Arial" w:cs="Arial" w:eastAsia="Arial" w:hAnsi="Arial"/>
          <w:sz w:val="11"/>
          <w:szCs w:val="11"/>
          <w:b w:val="1"/>
          <w:bCs w:val="1"/>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i w:val="1"/>
          <w:iCs w:val="1"/>
          <w:color w:val="auto"/>
        </w:rPr>
        <w:t>(I.R.S. Employer Identification Number)</w:t>
      </w:r>
    </w:p>
    <w:p>
      <w:pPr>
        <w:spacing w:after="0" w:line="160" w:lineRule="exact"/>
        <w:rPr>
          <w:sz w:val="24"/>
          <w:szCs w:val="24"/>
          <w:color w:val="auto"/>
        </w:rPr>
      </w:pPr>
    </w:p>
    <w:p>
      <w:pPr>
        <w:sectPr>
          <w:pgSz w:w="11900" w:h="16838" w:orient="portrait"/>
          <w:cols w:equalWidth="0" w:num="2">
            <w:col w:w="6880" w:space="720"/>
            <w:col w:w="3700"/>
          </w:cols>
          <w:pgMar w:left="240" w:top="230" w:right="35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color w:val="auto"/>
        </w:rPr>
        <w:t>1703 South Jefferson Street, SW, Suite 400</w:t>
      </w:r>
    </w:p>
    <w:p>
      <w:pPr>
        <w:spacing w:after="0" w:line="5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Roanoke, VA 24016</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(Address of Principal Executive Offices)</w:t>
      </w:r>
    </w:p>
    <w:p>
      <w:pPr>
        <w:spacing w:after="0" w:line="13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(540) 769-8400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i w:val="1"/>
          <w:iCs w:val="1"/>
          <w:color w:val="auto"/>
        </w:rPr>
        <w:t>(Registrant’s Telephone Number, Including Area Code)</w:t>
      </w:r>
    </w:p>
    <w:p>
      <w:pPr>
        <w:sectPr>
          <w:pgSz w:w="11900" w:h="16838" w:orient="portrait"/>
          <w:cols w:equalWidth="0" w:num="1">
            <w:col w:w="11300"/>
          </w:cols>
          <w:pgMar w:left="240" w:top="230" w:right="359" w:bottom="1440" w:gutter="0" w:footer="0" w:header="0"/>
          <w:type w:val="continuous"/>
        </w:sectPr>
      </w:pPr>
    </w:p>
    <w:p>
      <w:pPr>
        <w:spacing w:after="0" w:line="16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10 South Jefferson Street, Suite 130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Roanoke, VA 24011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(Former Name, Former Address and Former Fiscal Year, if Changed Since Last Report)</w:t>
      </w:r>
    </w:p>
    <w:p>
      <w:pPr>
        <w:spacing w:after="0" w:line="143" w:lineRule="exact"/>
        <w:rPr>
          <w:sz w:val="24"/>
          <w:szCs w:val="24"/>
          <w:color w:val="auto"/>
        </w:rPr>
      </w:pPr>
    </w:p>
    <w:p>
      <w:pPr>
        <w:ind w:right="16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4" w:lineRule="exact"/>
        <w:rPr>
          <w:sz w:val="24"/>
          <w:szCs w:val="24"/>
          <w:color w:val="auto"/>
        </w:rPr>
      </w:pPr>
    </w:p>
    <w:p>
      <w:pPr>
        <w:ind w:right="2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2240"/>
        <w:spacing w:after="0" w:line="207" w:lineRule="exact"/>
        <w:tabs>
          <w:tab w:leader="none" w:pos="5000" w:val="left"/>
          <w:tab w:leader="none" w:pos="73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9, 2006, there were 9,860,664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230" w:right="3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880" w:type="dxa"/>
            <w:vAlign w:val="bottom"/>
            <w:gridSpan w:val="9"/>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1.</w:t>
            </w:r>
          </w:p>
        </w:tc>
        <w:tc>
          <w:tcPr>
            <w:tcW w:w="924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2.</w:t>
            </w:r>
          </w:p>
        </w:tc>
        <w:tc>
          <w:tcPr>
            <w:tcW w:w="9240" w:type="dxa"/>
            <w:vAlign w:val="bottom"/>
            <w:gridSpan w:val="1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3.</w:t>
            </w:r>
          </w:p>
        </w:tc>
        <w:tc>
          <w:tcPr>
            <w:tcW w:w="5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QUANTITATIVE AND QUALITATIVE DISCLOSURE ABOUT MARKET RISK</w:t>
              </w:r>
            </w:hyperlink>
          </w:p>
        </w:tc>
        <w:tc>
          <w:tcPr>
            <w:tcW w:w="2800" w:type="dxa"/>
            <w:vAlign w:val="bottom"/>
            <w:tcBorders>
              <w:top w:val="single" w:sz="8" w:color="0000EE"/>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818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LEGAL PROCEEDINGS</w:t>
              </w:r>
            </w:hyperlink>
          </w:p>
        </w:tc>
        <w:tc>
          <w:tcPr>
            <w:tcW w:w="74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1A.</w:t>
            </w:r>
          </w:p>
        </w:tc>
        <w:tc>
          <w:tcPr>
            <w:tcW w:w="9240" w:type="dxa"/>
            <w:vAlign w:val="bottom"/>
            <w:gridSpan w:val="1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2.</w:t>
            </w:r>
          </w:p>
        </w:tc>
        <w:tc>
          <w:tcPr>
            <w:tcW w:w="924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3.</w:t>
            </w:r>
          </w:p>
        </w:tc>
        <w:tc>
          <w:tcPr>
            <w:tcW w:w="3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3"/>
          </w:tcPr>
          <w:p>
            <w:pPr>
              <w:spacing w:after="0"/>
              <w:rPr>
                <w:sz w:val="17"/>
                <w:szCs w:val="17"/>
                <w:color w:val="auto"/>
              </w:rPr>
            </w:pPr>
          </w:p>
        </w:tc>
        <w:tc>
          <w:tcPr>
            <w:tcW w:w="332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1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SUBMISSION OF MATTERS TO A VOTE OF SECURITY HOLDERS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5.</w:t>
            </w:r>
          </w:p>
        </w:tc>
        <w:tc>
          <w:tcPr>
            <w:tcW w:w="5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408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46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740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304"/>
        </w:trPr>
        <w:tc>
          <w:tcPr>
            <w:tcW w:w="146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146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 INDEX</w:t>
              </w:r>
            </w:hyperlink>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83"/>
        </w:trPr>
        <w:tc>
          <w:tcPr>
            <w:tcW w:w="10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9"/>
          </w:tcPr>
          <w:p>
            <w:pPr>
              <w:ind w:left="422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160" w:type="dxa"/>
            <w:vAlign w:val="bottom"/>
          </w:tcPr>
          <w:p>
            <w:pPr>
              <w:jc w:val="center"/>
              <w:ind w:left="1452"/>
              <w:spacing w:after="0"/>
              <w:rPr>
                <w:sz w:val="20"/>
                <w:szCs w:val="20"/>
                <w:color w:val="auto"/>
              </w:rPr>
            </w:pPr>
            <w:r>
              <w:rPr>
                <w:rFonts w:ascii="Arial" w:cs="Arial" w:eastAsia="Arial" w:hAnsi="Arial"/>
                <w:sz w:val="18"/>
                <w:szCs w:val="18"/>
                <w:b w:val="1"/>
                <w:bCs w:val="1"/>
                <w:color w:val="auto"/>
                <w:w w:val="99"/>
              </w:rPr>
              <w:t>PART I. FINANCIAL INFORMATION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160" w:type="dxa"/>
            <w:vAlign w:val="bottom"/>
          </w:tcPr>
          <w:p>
            <w:pPr>
              <w:jc w:val="center"/>
              <w:ind w:left="1452"/>
              <w:spacing w:after="0"/>
              <w:rPr>
                <w:sz w:val="20"/>
                <w:szCs w:val="20"/>
                <w:color w:val="auto"/>
              </w:rPr>
            </w:pPr>
            <w:r>
              <w:rPr>
                <w:rFonts w:ascii="Arial" w:cs="Arial" w:eastAsia="Arial" w:hAnsi="Arial"/>
                <w:sz w:val="18"/>
                <w:szCs w:val="18"/>
                <w:b w:val="1"/>
                <w:bCs w:val="1"/>
                <w:color w:val="auto"/>
                <w:w w:val="90"/>
              </w:rPr>
              <w:t>Luna Innovations Incorporated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160" w:type="dxa"/>
            <w:vAlign w:val="bottom"/>
          </w:tcPr>
          <w:p>
            <w:pPr>
              <w:jc w:val="center"/>
              <w:ind w:left="1452"/>
              <w:spacing w:after="0"/>
              <w:rPr>
                <w:sz w:val="20"/>
                <w:szCs w:val="20"/>
                <w:color w:val="auto"/>
              </w:rPr>
            </w:pPr>
            <w:r>
              <w:rPr>
                <w:rFonts w:ascii="Arial" w:cs="Arial" w:eastAsia="Arial" w:hAnsi="Arial"/>
                <w:sz w:val="18"/>
                <w:szCs w:val="18"/>
                <w:b w:val="1"/>
                <w:bCs w:val="1"/>
                <w:color w:val="auto"/>
                <w:w w:val="84"/>
              </w:rPr>
              <w:t>Consolidated Balance Sheets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22,442,016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12,514,839</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5,194,447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5,129,911</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Refundable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396,062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514,797</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681,559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448,475</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535,076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227,409</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29,249,160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18,835,431</w:t>
            </w:r>
          </w:p>
        </w:tc>
      </w:tr>
      <w:tr>
        <w:trPr>
          <w:trHeight w:val="218"/>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3,831,631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2,972,287</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1,425,852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999,544</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710,018</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600,000</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8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16,550</w:t>
            </w:r>
          </w:p>
        </w:tc>
      </w:tr>
      <w:tr>
        <w:trPr>
          <w:trHeight w:val="223"/>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0"/>
              </w:rPr>
              <w:t>Total assets</w:t>
            </w:r>
          </w:p>
        </w:tc>
        <w:tc>
          <w:tcPr>
            <w:tcW w:w="8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35,120,090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24,133,830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91,507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98,820</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214,955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1,639,717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3,647,505</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2,554,166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1,788,162</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credits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1,076,549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1,458,393</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5,576,894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6,992,880</w:t>
            </w:r>
          </w:p>
        </w:tc>
      </w:tr>
      <w:tr>
        <w:trPr>
          <w:trHeight w:val="218"/>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capital lease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117,134</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Long-term debt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5,214,955</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10,981,528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12,774,969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Class B common stock, 308,216 shares at December 31, 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504,984</w:t>
            </w:r>
          </w:p>
        </w:tc>
      </w:tr>
      <w:tr>
        <w:trPr>
          <w:trHeight w:val="222"/>
        </w:trPr>
        <w:tc>
          <w:tcPr>
            <w:tcW w:w="90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Preferred Stock, par value $0.001, 5,000,000 shares authorized at September 30, 2006, no shares issued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outstanding at September 30, 2006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Common stock, par value $0.001, 100,000,000 and 23,257,094 shares authorized at September 30, 2006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2005, respectively, 9,858,806 shares issued and outstanding at September 30, 2006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Class A voting common stock, par value $0.001, 7,164,463 shares authorized at December 31, 2005,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160" w:type="dxa"/>
            <w:vAlign w:val="bottom"/>
          </w:tcPr>
          <w:p>
            <w:pPr>
              <w:ind w:left="220"/>
              <w:spacing w:after="0"/>
              <w:rPr>
                <w:sz w:val="20"/>
                <w:szCs w:val="20"/>
                <w:color w:val="auto"/>
              </w:rPr>
            </w:pPr>
            <w:r>
              <w:rPr>
                <w:rFonts w:ascii="Arial" w:cs="Arial" w:eastAsia="Arial" w:hAnsi="Arial"/>
                <w:sz w:val="18"/>
                <w:szCs w:val="18"/>
                <w:color w:val="auto"/>
              </w:rPr>
              <w:t>2,834,814 shares issued and outstanding at December 31, 2005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2,835</w:t>
            </w:r>
          </w:p>
        </w:tc>
      </w:tr>
      <w:tr>
        <w:trPr>
          <w:trHeight w:val="209"/>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Class B non-voting common stock, par value $0.001, 13,707,297 shares authorized at December 31, 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734,427 shares issued and outstanding at December 31, 2005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w:t>
            </w:r>
          </w:p>
        </w:tc>
      </w:tr>
      <w:tr>
        <w:trPr>
          <w:trHeight w:val="20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Class C voting common stock, par value $0.001, 5,656,472 shares authorized at December 31, 2005,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160" w:type="dxa"/>
            <w:vAlign w:val="bottom"/>
          </w:tcPr>
          <w:p>
            <w:pPr>
              <w:ind w:left="220"/>
              <w:spacing w:after="0"/>
              <w:rPr>
                <w:sz w:val="20"/>
                <w:szCs w:val="20"/>
                <w:color w:val="auto"/>
              </w:rPr>
            </w:pPr>
            <w:r>
              <w:rPr>
                <w:rFonts w:ascii="Arial" w:cs="Arial" w:eastAsia="Arial" w:hAnsi="Arial"/>
                <w:sz w:val="18"/>
                <w:szCs w:val="18"/>
                <w:color w:val="auto"/>
              </w:rPr>
              <w:t>2,131,474 shares issued and outstanding at December 31, 2005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2,131</w:t>
            </w:r>
          </w:p>
        </w:tc>
      </w:tr>
      <w:tr>
        <w:trPr>
          <w:trHeight w:val="218"/>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30,970,277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10,935,049</w:t>
            </w:r>
          </w:p>
        </w:tc>
      </w:tr>
      <w:tr>
        <w:trPr>
          <w:trHeight w:val="223"/>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w w:val="95"/>
              </w:rPr>
              <w:t>(6,841,574)</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(86,872)</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24,138,562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10,853,877</w:t>
            </w:r>
          </w:p>
        </w:tc>
        <w:tc>
          <w:tcPr>
            <w:tcW w:w="80" w:type="dxa"/>
            <w:vAlign w:val="bottom"/>
            <w:shd w:val="clear" w:color="auto" w:fill="CCEEFF"/>
          </w:tcPr>
          <w:p>
            <w:pPr>
              <w:spacing w:after="0"/>
              <w:rPr>
                <w:sz w:val="18"/>
                <w:szCs w:val="18"/>
                <w:color w:val="auto"/>
              </w:rPr>
            </w:pPr>
          </w:p>
        </w:tc>
      </w:tr>
      <w:tr>
        <w:trPr>
          <w:trHeight w:val="223"/>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35,120,090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24,133,830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jc w:val="center"/>
              <w:ind w:left="535"/>
              <w:spacing w:after="0"/>
              <w:rPr>
                <w:sz w:val="20"/>
                <w:szCs w:val="20"/>
                <w:color w:val="auto"/>
              </w:rPr>
            </w:pPr>
            <w:r>
              <w:rPr>
                <w:rFonts w:ascii="Arial" w:cs="Arial" w:eastAsia="Arial" w:hAnsi="Arial"/>
                <w:sz w:val="14"/>
                <w:szCs w:val="14"/>
                <w:b w:val="1"/>
                <w:bCs w:val="1"/>
                <w:color w:val="auto"/>
                <w:w w:val="85"/>
              </w:rPr>
              <w:t>September 30,</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w w:val="73"/>
              </w:rPr>
              <w:t>(unaudited)</w:t>
            </w: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left="496"/>
              <w:spacing w:after="0" w:line="142" w:lineRule="exact"/>
              <w:rPr>
                <w:sz w:val="20"/>
                <w:szCs w:val="20"/>
                <w:color w:val="auto"/>
              </w:rPr>
            </w:pPr>
            <w:r>
              <w:rPr>
                <w:rFonts w:ascii="Arial" w:cs="Arial" w:eastAsia="Arial" w:hAnsi="Arial"/>
                <w:sz w:val="14"/>
                <w:szCs w:val="14"/>
                <w:b w:val="1"/>
                <w:bCs w:val="1"/>
                <w:color w:val="auto"/>
                <w:w w:val="86"/>
              </w:rPr>
              <w:t>(unaudited)</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Contract research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4,885,854</w:t>
            </w:r>
          </w:p>
        </w:tc>
        <w:tc>
          <w:tcPr>
            <w:tcW w:w="4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3,942,195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12,977,066</w:t>
            </w:r>
          </w:p>
        </w:tc>
        <w:tc>
          <w:tcPr>
            <w:tcW w:w="2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11,111,721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revenues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1,163,663</w:t>
            </w: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6,049,517</w:t>
            </w:r>
          </w:p>
        </w:tc>
        <w:tc>
          <w:tcPr>
            <w:tcW w:w="4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3,942,195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15,498,469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11,111,721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Contract research costs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3,587,280</w:t>
            </w:r>
          </w:p>
        </w:tc>
        <w:tc>
          <w:tcPr>
            <w:tcW w:w="4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3,068,372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9,600,404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8,539,567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costs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520,699</w:t>
            </w: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1,194,969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Total cost of revenues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4,107,979</w:t>
            </w:r>
          </w:p>
        </w:tc>
        <w:tc>
          <w:tcPr>
            <w:tcW w:w="4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3,068,372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10,795,373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8,539,567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1,941,538</w:t>
            </w:r>
          </w:p>
        </w:tc>
        <w:tc>
          <w:tcPr>
            <w:tcW w:w="4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873,823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4,703,096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2,572,154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Operating expense</w:t>
            </w:r>
          </w:p>
        </w:tc>
        <w:tc>
          <w:tcPr>
            <w:tcW w:w="14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4,110,926</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1,040,235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9"/>
              <w:spacing w:after="0"/>
              <w:rPr>
                <w:sz w:val="20"/>
                <w:szCs w:val="20"/>
                <w:color w:val="auto"/>
              </w:rPr>
            </w:pPr>
            <w:r>
              <w:rPr>
                <w:rFonts w:ascii="Arial" w:cs="Arial" w:eastAsia="Arial" w:hAnsi="Arial"/>
                <w:sz w:val="18"/>
                <w:szCs w:val="18"/>
                <w:color w:val="auto"/>
                <w:w w:val="90"/>
              </w:rPr>
              <w:t>11,805,277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2,952,666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(2,169,388)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(166,412)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w w:val="95"/>
              </w:rPr>
              <w:t>(7,102,181)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(380,512)</w:t>
            </w:r>
          </w:p>
        </w:tc>
        <w:tc>
          <w:tcPr>
            <w:tcW w:w="0" w:type="dxa"/>
            <w:vAlign w:val="bottom"/>
          </w:tcPr>
          <w:p>
            <w:pPr>
              <w:spacing w:after="0"/>
              <w:rPr>
                <w:sz w:val="1"/>
                <w:szCs w:val="1"/>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4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Interest income / (expense),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232,649</w:t>
            </w: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(9,893)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345,794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233,583</w:t>
            </w:r>
          </w:p>
        </w:tc>
        <w:tc>
          <w:tcPr>
            <w:tcW w:w="4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(75,298)</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(1,935,805)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(177,087)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9"/>
              <w:spacing w:after="0"/>
              <w:rPr>
                <w:sz w:val="20"/>
                <w:szCs w:val="20"/>
                <w:color w:val="auto"/>
              </w:rPr>
            </w:pPr>
            <w:r>
              <w:rPr>
                <w:rFonts w:ascii="Arial" w:cs="Arial" w:eastAsia="Arial" w:hAnsi="Arial"/>
                <w:sz w:val="18"/>
                <w:szCs w:val="18"/>
                <w:color w:val="auto"/>
                <w:w w:val="95"/>
              </w:rPr>
              <w:t>(6,746,056)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(455,810)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48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(126,396)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(187,273)</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(1,948,634)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(50,691)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9"/>
              <w:spacing w:after="0"/>
              <w:rPr>
                <w:sz w:val="20"/>
                <w:szCs w:val="20"/>
                <w:color w:val="auto"/>
              </w:rPr>
            </w:pPr>
            <w:r>
              <w:rPr>
                <w:rFonts w:ascii="Arial" w:cs="Arial" w:eastAsia="Arial" w:hAnsi="Arial"/>
                <w:sz w:val="18"/>
                <w:szCs w:val="18"/>
                <w:color w:val="auto"/>
                <w:w w:val="95"/>
              </w:rPr>
              <w:t>(6,758,885)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(268,537)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(0.20)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9"/>
              <w:spacing w:after="0"/>
              <w:rPr>
                <w:sz w:val="20"/>
                <w:szCs w:val="20"/>
                <w:color w:val="auto"/>
              </w:rPr>
            </w:pPr>
            <w:r>
              <w:rPr>
                <w:rFonts w:ascii="Arial" w:cs="Arial" w:eastAsia="Arial" w:hAnsi="Arial"/>
                <w:sz w:val="18"/>
                <w:szCs w:val="18"/>
                <w:color w:val="auto"/>
              </w:rPr>
              <w:t>(0.87)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9,842,265</w:t>
            </w:r>
          </w:p>
        </w:tc>
        <w:tc>
          <w:tcPr>
            <w:tcW w:w="48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3,839,512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7,743,885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3,229,683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9,842,265</w:t>
            </w:r>
          </w:p>
        </w:tc>
        <w:tc>
          <w:tcPr>
            <w:tcW w:w="4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3,839,512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7,743,885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3,229,683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(6,758,885)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792,725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Share-based compensation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1,164,709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137,829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assets and liabilities: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(64,536)</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(509,743)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Refundable income taxes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(524,201)</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(406,035)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(545,211)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Deferred revenues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(477,426)</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(154,341)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(6,294,090)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(455,592)</w:t>
            </w: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(1,377,466)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Intangible property costs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(282,840)</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(159,749)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from acquisition of Luna Technologies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Capitalized software development costs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(1,660,306)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(593,266)</w:t>
            </w: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 obligations</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Proceeds from the issuance of common stock,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17,866,241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7,000,000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options and warrants</w:t>
            </w:r>
          </w:p>
        </w:tc>
        <w:tc>
          <w:tcPr>
            <w:tcW w:w="1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89,561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280"/>
              <w:spacing w:after="0"/>
              <w:rPr>
                <w:sz w:val="20"/>
                <w:szCs w:val="20"/>
                <w:color w:val="auto"/>
              </w:rPr>
            </w:pPr>
            <w:r>
              <w:rPr>
                <w:rFonts w:ascii="Arial" w:cs="Arial" w:eastAsia="Arial" w:hAnsi="Arial"/>
                <w:sz w:val="18"/>
                <w:szCs w:val="18"/>
                <w:color w:val="auto"/>
              </w:rPr>
              <w:t>Net cash from financing activities</w:t>
            </w:r>
          </w:p>
        </w:tc>
        <w:tc>
          <w:tcPr>
            <w:tcW w:w="1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17,881,573</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7,003,232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9,927,177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5,954,374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Cash—beginning of period</w:t>
            </w:r>
          </w:p>
        </w:tc>
        <w:tc>
          <w:tcPr>
            <w:tcW w:w="1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12,514,839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Cash—end of period</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22,442,016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6,564,010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12,829</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financed by capital leases</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right="6680" w:firstLine="8"/>
        <w:spacing w:after="0" w:line="347" w:lineRule="auto"/>
        <w:tabs>
          <w:tab w:leader="none" w:pos="44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Nature of Operations</w:t>
      </w:r>
    </w:p>
    <w:p>
      <w:pPr>
        <w:spacing w:after="0" w:line="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Luna Innovations Incorporated (“Luna Innovations”) was incorporated in the Commonwealth of Virginia in 1990 and subsequently reincorporated in the State of Delaware in April 2003. We are engaged in the research, development and commercialization of innovative technologies in the areas of molecular technology solutions and sensing solutions. We identify technology that can fulfill identified market needs, and we then take these solutions from the applied research stage through commercialization.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(US GAAP) and with the instructions to Form 10-Q and Article 10 of Regulation S-X of the Securities Exchange Act of 1934. Accordingly, they do not include all of the information and footnotes required by US GAAP for audited financial statements. The unaudited consolidated financial statements have been prepared on the same basis as the annual financial statements and in the opinion of management reflect all adjustments, consisting of only normal recurring accruals, considered necessary to present fairly our financial position at September 30, 2006 and results of operations and cash flows for the three and nine months ended September 30, 2006 and 2005. The results of the operations for the three and nine months ended September 30, 2006, are not necessarily indicative of the results that may be expected for the year ending December 31,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year-end consolidated balance sheet data was derived from the audited December 31, 2005, balance sheet.</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consolidated financial statements, including the Company’s significant accounting policies, should be read in conjunction with the audited Consolidated Financial Statements and the notes thereto included in the Company’s Registration Statement on Form S-1 (No. 333-131764) as amended and filed with the Securities and Exchange Commission on June 2, 2006. As used herein, the terms “Luna”, “Company”, “we”, “our” and “us” mean Luna Innovations Incorporated and its consolidated subsidiaries.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prior period amounts to conform with current year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Policy</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consolidated financial statements are prepared in accordance with US GAAP and include the accounts of the Company, its wholly owned subsidiaries and other entities in which the Company has a controlling financial interest. We eliminate from our financial results all significant intercompany transactions. The Company does not have any investments in entities it believes are variable interest entities for which the Company is the primary beneficiary.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accordance with US GAAP requires us to make estimates and assumptions that affect the reported amounts of assets, liabilities, revenues and expenses and the disclosure of contingent assets and liabilities in our consolidated financial statements and accompanying notes. Although these estimates are based on our knowledge of current events and actions we may undertake in the future, actual results may differ from such estimates and assumptions.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We compute net loss per share in accordance with Statement of Financial Accounting Standards (SFAS) No. 128, </w:t>
      </w:r>
      <w:r>
        <w:rPr>
          <w:rFonts w:ascii="Arial" w:cs="Arial" w:eastAsia="Arial" w:hAnsi="Arial"/>
          <w:sz w:val="15"/>
          <w:szCs w:val="15"/>
          <w:i w:val="1"/>
          <w:iCs w:val="1"/>
          <w:color w:val="auto"/>
        </w:rPr>
        <w:t>Earnings Per Share</w:t>
      </w:r>
      <w:r>
        <w:rPr>
          <w:rFonts w:ascii="Arial" w:cs="Arial" w:eastAsia="Arial" w:hAnsi="Arial"/>
          <w:sz w:val="15"/>
          <w:szCs w:val="15"/>
          <w:color w:val="auto"/>
        </w:rPr>
        <w:t>. Basic per share data is computed by dividing loss available to common shareholders by the weighted average number of shares outstanding during the period. Diluted per share data is computed by dividing loss available to common shareholders by the weighted average shares outstanding during the period increased to include, if dilutive, the number of additional common share equivalents that would have been outstanding if potential common shares had been issued using the treasury stock method. Diluted per share data would also include the potential common share equivalents relating to convertible securities by application of the if-converted method.</w:t>
      </w:r>
    </w:p>
    <w:p>
      <w:pPr>
        <w:spacing w:after="0" w:line="10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Per share amounts for all periods presented in this report have been adjusted to reflect the 1-for-1.7691911 reverse stock split of our common stock effected on May 23, 2006. All applicable share and per share amounts in the financial statements give pro forma effect to such split. The following information presents the pro forma effect of such split on basic and diluted net loss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(1,948,634)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(6,758,885)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(268,537)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Weighted average shares—basic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9,842,265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3,839,512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7,743,885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3,229,683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Dilutive effect of common stock equivalents: Shares issued upon the exercise of stock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and warrants</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Weighted averages shares—diluted</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9,842,265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3,839,512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7,743,885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3,229,683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effect of 3,800,510 and 2,813,097 common stock equivalents are ignored for the three months ended September 30, 2006 and 2005, as they are antidilutive to earnings per share. The effect of 3,842,338 and 2,589,076 common stock equivalents are ignored for the nine months ended September 30, 2006 and 2005, as they are antidilutive to earnings per share. In addition, the conversion of the $5.0 million in senior convertible promissory notes would have been antidilutive for such periods.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We have a stock-based compensation plan, which is described further in Note 9 to the Financial Statements in the Company’s Registration Statement on Form S-1 (No. 333-131764) as amended and filed with the Securities and Exchange Commission on June 2, 2006. Effective January 1, 2006, we adopted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using the modified prospective transition method. Under this transition method, our financial statements for the periods prior to January 1, 2006 have not been restated. However, new awards and awards modified, repurchased or cancelled after January 1, 2006, result in compensation expense based on the fair value of the stock option as determined by the Black-Scholes option pricing model. We amortize share-based compensation for such awards on a straight-line basis over the related service period of the awards taking into account the effects of the employees’ expected exercise and post-vesting employment termination behavior.</w:t>
      </w:r>
    </w:p>
    <w:p>
      <w:pPr>
        <w:spacing w:after="0" w:line="118"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 xml:space="preserve">The adoption of SFAS No. 123R has increased the net loss by approximately $440 thousand and $535 thousand for the three and nine months ended September 30, 2006, as compared to what our net loss would have been if we had continued to account for share-based compensation under Accounting Principles 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No. 25).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For the periods prior to 2006, we accounted for share-based employee compensation arrangements using the intrinsic value method in accordance with the provisions of APB No. 25, and related amendments and interpretations. We complied with the disclosure provisions of Statement of Financial Accounting Standards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as amended by SFAS No. 148, </w:t>
      </w:r>
      <w:r>
        <w:rPr>
          <w:rFonts w:ascii="Arial" w:cs="Arial" w:eastAsia="Arial" w:hAnsi="Arial"/>
          <w:sz w:val="16"/>
          <w:szCs w:val="16"/>
          <w:i w:val="1"/>
          <w:iCs w:val="1"/>
          <w:color w:val="auto"/>
        </w:rPr>
        <w:t>Accounting for Stock Based Compensation—Transition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w:t>
      </w:r>
      <w:r>
        <w:rPr>
          <w:rFonts w:ascii="Arial" w:cs="Arial" w:eastAsia="Arial" w:hAnsi="Arial"/>
          <w:sz w:val="16"/>
          <w:szCs w:val="16"/>
          <w:color w:val="auto"/>
        </w:rPr>
        <w:t>, which requires fair value recognition for employee stock-based compensation. We account for equity instruments issued to non-employees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provisions of SFAS No. 123 and Emerging Issues Task Force (EITF) Issue No. 96-18.</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Generally, we award options to employees and directors with exercise prices equal to or greater than the estimated fair value of our common stock on the date of grant. In September 2003, we entered into an option exchange with our employees that resulted in the new option grant being considered a re-pricing in accordance with FASB Interpretation No. (FIN) 44, </w:t>
      </w:r>
      <w:r>
        <w:rPr>
          <w:rFonts w:ascii="Arial" w:cs="Arial" w:eastAsia="Arial" w:hAnsi="Arial"/>
          <w:sz w:val="18"/>
          <w:szCs w:val="18"/>
          <w:i w:val="1"/>
          <w:iCs w:val="1"/>
          <w:color w:val="auto"/>
        </w:rPr>
        <w:t>Accounting for Certain Transactions Involving Stock Compensation</w:t>
      </w:r>
      <w:r>
        <w:rPr>
          <w:rFonts w:ascii="Arial" w:cs="Arial" w:eastAsia="Arial" w:hAnsi="Arial"/>
          <w:sz w:val="18"/>
          <w:szCs w:val="18"/>
          <w:color w:val="auto"/>
        </w:rPr>
        <w:t xml:space="preserve"> (FIN 44). We apply variable plan accounting to outstanding options related to this award and measure compensation expense at each reporting period equal to an amount that reflects the change in the fair value of the underlying security.</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Had compensation expense been measured under the fair value method prescribed by SFAS No. 123, our pro forma net loss, and pro forma net loss per share would have been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Nine months ended</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2005</w:t>
            </w:r>
          </w:p>
        </w:tc>
        <w:tc>
          <w:tcPr>
            <w:tcW w:w="5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2005</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(50,691)</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(268,537)</w:t>
            </w:r>
          </w:p>
        </w:tc>
        <w:tc>
          <w:tcPr>
            <w:tcW w:w="0" w:type="dxa"/>
            <w:vAlign w:val="bottom"/>
          </w:tcPr>
          <w:p>
            <w:pPr>
              <w:spacing w:after="0"/>
              <w:rPr>
                <w:sz w:val="1"/>
                <w:szCs w:val="1"/>
                <w:color w:val="auto"/>
              </w:rPr>
            </w:pPr>
          </w:p>
        </w:tc>
      </w:tr>
      <w:tr>
        <w:trPr>
          <w:trHeight w:val="208"/>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Add—share-based employee compensation expense in reported net loss,</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of related tax effects</w:t>
            </w: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62,785</w:t>
            </w: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940" w:type="dxa"/>
            <w:vAlign w:val="bottom"/>
          </w:tcPr>
          <w:p>
            <w:pPr>
              <w:ind w:left="440"/>
              <w:spacing w:after="0"/>
              <w:rPr>
                <w:sz w:val="20"/>
                <w:szCs w:val="20"/>
                <w:color w:val="auto"/>
              </w:rPr>
            </w:pPr>
            <w:r>
              <w:rPr>
                <w:rFonts w:ascii="Arial" w:cs="Arial" w:eastAsia="Arial" w:hAnsi="Arial"/>
                <w:sz w:val="18"/>
                <w:szCs w:val="18"/>
                <w:color w:val="auto"/>
              </w:rPr>
              <w:t>Deduct—total share-based employee compensation expense determined</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660"/>
              <w:spacing w:after="0"/>
              <w:rPr>
                <w:sz w:val="20"/>
                <w:szCs w:val="20"/>
                <w:color w:val="auto"/>
              </w:rPr>
            </w:pPr>
            <w:r>
              <w:rPr>
                <w:rFonts w:ascii="Arial" w:cs="Arial" w:eastAsia="Arial" w:hAnsi="Arial"/>
                <w:sz w:val="18"/>
                <w:szCs w:val="18"/>
                <w:color w:val="auto"/>
              </w:rPr>
              <w:t>under Black-Scholes method for all awards, net of related tax effects</w:t>
            </w:r>
          </w:p>
        </w:tc>
        <w:tc>
          <w:tcPr>
            <w:tcW w:w="320" w:type="dxa"/>
            <w:vAlign w:val="bottom"/>
          </w:tcPr>
          <w:p>
            <w:pPr>
              <w:spacing w:after="0"/>
              <w:rPr>
                <w:sz w:val="19"/>
                <w:szCs w:val="19"/>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(100,227)</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(328,981)</w:t>
            </w:r>
          </w:p>
        </w:tc>
        <w:tc>
          <w:tcPr>
            <w:tcW w:w="0" w:type="dxa"/>
            <w:vAlign w:val="bottom"/>
          </w:tcPr>
          <w:p>
            <w:pPr>
              <w:spacing w:after="0"/>
              <w:rPr>
                <w:sz w:val="1"/>
                <w:szCs w:val="1"/>
                <w:color w:val="auto"/>
              </w:rPr>
            </w:pPr>
          </w:p>
        </w:tc>
      </w:tr>
      <w:tr>
        <w:trPr>
          <w:trHeight w:val="28"/>
        </w:trPr>
        <w:tc>
          <w:tcPr>
            <w:tcW w:w="69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net loss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(88,133)</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(463,387)</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Basic net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(0.01)</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(0.02)</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granted is estimated as of the grant date using the Black-Scholes option pricing model with the following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7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83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 2006</w:t>
            </w:r>
          </w:p>
        </w:tc>
        <w:tc>
          <w:tcPr>
            <w:tcW w:w="78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2006</w:t>
            </w: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range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4.77%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 5.20%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Expected life of option—range of years</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7.5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660" w:type="dxa"/>
            <w:vAlign w:val="bottom"/>
          </w:tcPr>
          <w:p>
            <w:pPr>
              <w:ind w:left="40"/>
              <w:spacing w:after="0"/>
              <w:rPr>
                <w:sz w:val="20"/>
                <w:szCs w:val="20"/>
                <w:color w:val="auto"/>
              </w:rPr>
            </w:pPr>
            <w:r>
              <w:rPr>
                <w:rFonts w:ascii="Arial" w:cs="Arial" w:eastAsia="Arial" w:hAnsi="Arial"/>
                <w:sz w:val="18"/>
                <w:szCs w:val="18"/>
                <w:color w:val="auto"/>
              </w:rPr>
              <w:t>– 7.5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64%</w:t>
            </w:r>
          </w:p>
        </w:tc>
        <w:tc>
          <w:tcPr>
            <w:tcW w:w="19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64%</w:t>
            </w:r>
          </w:p>
        </w:tc>
      </w:tr>
      <w:tr>
        <w:trPr>
          <w:trHeight w:val="222"/>
        </w:trPr>
        <w:tc>
          <w:tcPr>
            <w:tcW w:w="8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center"/>
              <w:ind w:right="392"/>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risk-free interest rate is based on US Treasury interest rates, the terms of which are consistent with the expected life of the stock options. Expected volatility is based upon an average volatility of comparable public companies due to the limited time our shares have been publicly traded. The expected life and estimated post employment termination behavior is based upon historical experience of homogeneous groups within our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status of our 2003 Stock Plan and 2006 Equity Incentive Plan is presented below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6"/>
              </w:rPr>
              <w:t>Options Outstanding</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6"/>
              </w:rPr>
              <w:t>Options Exercisable</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Number</w:t>
            </w: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3"/>
              </w:rPr>
              <w:t>Price per Share</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2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Weighted</w:t>
            </w: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Aggregate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18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106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6"/>
                <w:szCs w:val="6"/>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200" w:type="dxa"/>
            <w:vAlign w:val="bottom"/>
          </w:tcPr>
          <w:p>
            <w:pPr>
              <w:spacing w:after="0"/>
              <w:rPr>
                <w:sz w:val="6"/>
                <w:szCs w:val="6"/>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9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5"/>
                <w:szCs w:val="15"/>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Range</w:t>
            </w:r>
          </w:p>
        </w:tc>
        <w:tc>
          <w:tcPr>
            <w:tcW w:w="22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Average</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 (1)</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 (1)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3,975,555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$0.35 - $1.77</w:t>
            </w:r>
          </w:p>
        </w:tc>
        <w:tc>
          <w:tcPr>
            <w:tcW w:w="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0.65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3,962,864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1,519,397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981,946</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$1.77</w:t>
            </w:r>
          </w:p>
        </w:tc>
        <w:tc>
          <w:tcPr>
            <w:tcW w:w="5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1.77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(128,633)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w:t>
            </w:r>
          </w:p>
        </w:tc>
        <w:tc>
          <w:tcPr>
            <w:tcW w:w="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0.35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44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(16,501)</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$0.35</w:t>
            </w:r>
          </w:p>
        </w:tc>
        <w:tc>
          <w:tcPr>
            <w:tcW w:w="5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0.35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4,812,367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$0.35 - $1.77</w:t>
            </w:r>
          </w:p>
        </w:tc>
        <w:tc>
          <w:tcPr>
            <w:tcW w:w="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0.89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39,028,605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1,505,850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13,025,603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186,685</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$6.00 - $7.08</w:t>
            </w:r>
          </w:p>
        </w:tc>
        <w:tc>
          <w:tcPr>
            <w:tcW w:w="5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6.31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(94,712)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w:t>
            </w:r>
          </w:p>
        </w:tc>
        <w:tc>
          <w:tcPr>
            <w:tcW w:w="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0.35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44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(17,211)</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$0.35 - $1.77</w:t>
            </w:r>
          </w:p>
        </w:tc>
        <w:tc>
          <w:tcPr>
            <w:tcW w:w="5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0.61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4,887,129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$0.35 - $7.08</w:t>
            </w:r>
          </w:p>
        </w:tc>
        <w:tc>
          <w:tcPr>
            <w:tcW w:w="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23,899,988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1,754,088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189,750</w:t>
            </w:r>
          </w:p>
        </w:tc>
        <w:tc>
          <w:tcPr>
            <w:tcW w:w="2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$5.47</w:t>
            </w:r>
          </w:p>
        </w:tc>
        <w:tc>
          <w:tcPr>
            <w:tcW w:w="5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5.47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(29,768)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w:t>
            </w:r>
          </w:p>
        </w:tc>
        <w:tc>
          <w:tcPr>
            <w:tcW w:w="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0.35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440"/>
              <w:spacing w:after="0"/>
              <w:rPr>
                <w:sz w:val="20"/>
                <w:szCs w:val="20"/>
                <w:color w:val="auto"/>
              </w:rPr>
            </w:pPr>
            <w:r>
              <w:rPr>
                <w:rFonts w:ascii="Arial" w:cs="Arial" w:eastAsia="Arial" w:hAnsi="Arial"/>
                <w:sz w:val="18"/>
                <w:szCs w:val="18"/>
                <w:color w:val="auto"/>
              </w:rPr>
              <w:t>Canceled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(48,436)</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$0.35 - $1.77</w:t>
            </w:r>
          </w:p>
        </w:tc>
        <w:tc>
          <w:tcPr>
            <w:tcW w:w="5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0.81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4,998,675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$0.35 - $7.08</w:t>
            </w:r>
          </w:p>
        </w:tc>
        <w:tc>
          <w:tcPr>
            <w:tcW w:w="5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12,771,610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2,045,215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right="180" w:hanging="332"/>
        <w:spacing w:after="0" w:line="25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intrinsic value of an option represents the amount by which the market value of the stock exceeds the exercise price of the option of in-money options only. The aggregate intrinsic value is based on the price of $9.00, $6.00, and $3.67 for the Company’s stock on March 31, 2006, June 30, 2006, and September 30, 2006, respectively. The price on June 30, 2006 and September 30, 2006 represent the closing price of the Company’s Common Stock on the NASD Global Market on the respective dates.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September 30, 2006, our 5.0 million outstanding stock options (including fully vested options and options that are expected to vest) had a weighted average remaining contractual term of 8.4 years, and our 2.0 million outstanding and exercisable stock options had a weighted average remaining contractual term of 7.7 years.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the three and nine months ended September 30, 2006, we recognized $403,427 and $1,164,709 in share-based payment expense. We will recognize approximately $5,616,000 over the remaining requisite service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effective quarterly tax rate is estimated based upon the effective tax to be applicable to the full fiscal year. A deferred tax asset of $600,000 was recorded at December 31, 2005, and September 30, 2006, based upon management’s assessment that more likely than not the benefit will be realized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clarifies the principle that fair value should be based on the assumptions market participants would use when pricing an asset or liability and establishes a fair value hierarchy that prioritizes the information used to develop those assumptions. SFAS No. 157 is effective for the fiscal year beginning January 1, 2007. The Company is currently evaluating the potential impact of the adoption of SFAS No. 157 on its future consolidated financial statements.</w:t>
      </w:r>
    </w:p>
    <w:p>
      <w:pPr>
        <w:spacing w:after="0" w:line="14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 xml:space="preserve">In September 2006, the Securities and Exchange Commission (“SEC”) issued Staff Accounting Bulletin No. 108, </w:t>
      </w:r>
      <w:r>
        <w:rPr>
          <w:rFonts w:ascii="Arial" w:cs="Arial" w:eastAsia="Arial" w:hAnsi="Arial"/>
          <w:sz w:val="15"/>
          <w:szCs w:val="15"/>
          <w:i w:val="1"/>
          <w:iCs w:val="1"/>
          <w:color w:val="auto"/>
        </w:rPr>
        <w:t>Considering the Effects of Prior Year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Misstatements when Quantifying Misstatements in Current Year Financial Statements </w:t>
      </w:r>
      <w:r>
        <w:rPr>
          <w:rFonts w:ascii="Arial" w:cs="Arial" w:eastAsia="Arial" w:hAnsi="Arial"/>
          <w:sz w:val="15"/>
          <w:szCs w:val="15"/>
          <w:color w:val="auto"/>
        </w:rPr>
        <w:t>(“SAB 108”). SAB 108 provides interpretive guidance on how the effects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carryover or reversal of prior year misstatements should be considered in quantifying a current year misstatement. The SEC staff believes that registrants should quantify errors using both a balance sheet and an income statement approach and evaluate whether either approach results in quantifying a misstatement that, when all relevant quantitative and qualitative factors are considered, is material. SAB 108 is effective for the fiscal year ending December 31, 2006.</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June 2006, the FASB issued FIN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which is an interpretation of SFAS No. 109, </w:t>
      </w:r>
      <w:r>
        <w:rPr>
          <w:rFonts w:ascii="Arial" w:cs="Arial" w:eastAsia="Arial" w:hAnsi="Arial"/>
          <w:sz w:val="18"/>
          <w:szCs w:val="18"/>
          <w:i w:val="1"/>
          <w:iCs w:val="1"/>
          <w:color w:val="auto"/>
        </w:rPr>
        <w:t>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 FIN 48 clarifies the accounting for uncertainty in income taxes recognized in accordance with SFAS No. 109 by prescribing a recognition threshold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process for recording in the financial statements uncertain tax positions taken or expected to be taken on a tax return. Additionally, FIN 48 provides guidance on the derecognition, classification, accounting in interim periods and disclosure requirements for uncertain tax positions. FIN 48 will be effective for the Company beginning January 1, 2007. The Company is in the process of determining the effect, if any, the adoption of FIN 48 will have on its financial statements.</w:t>
      </w:r>
    </w:p>
    <w:p>
      <w:pPr>
        <w:spacing w:after="0" w:line="26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were no outstanding balances on our $2.5 million line of credit with First National Bank (FNB) at September 30, 2006 and at December 31, 2005, and no borrowings during the nine month period ended September 30, 2006. In May 2006, we obtained a modification to allow a $1.0 million sub-limit under the line of credit for the issuance of letters of credit, and FNB issued a $719,500 letter of credit on our behalf to the Industrial Development Authority of Montgomery County, Virginia, in conjunction with the execution of an office lease.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covenants under this line of credit agreement are reviewed annually at December 31. At December 31, 2005, we were not in compliance with the minimum interest coverage covenant. We requested and received a waiver from FNB for fiscal 2005.</w:t>
      </w:r>
    </w:p>
    <w:p>
      <w:pPr>
        <w:spacing w:after="0" w:line="24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 and Capital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May 23, 2006, we effected a 1-for-1.7691911 reverse stock split of our common stock in anticipation of our initial public offering. In connection with our June 2, 2006 initial public offering, we sold 3,500,000 shares of common stock at $6.00 per share resulting in gross proceeds of $21.0 million. In connection with this offering, we paid $1.47 million in underwriting discounts and commissions and incurred estimated other offering expenses of approximately $1.66 million. The net proceeds from the offering were approximately $17.87 million.</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Concurrent with the initial public offering, all outstanding shares of our Class A voting Common Stock, Class B non-voting Common Stock, and Class C voting Common Stock were converted to shares of common stock on a one-for-one basis. All outstanding shares of our Redeemable Class B Common Stock converted to common stock on a one-for-one basis as the successful initial public offering eliminated the redeemable feature of such shares. We also issued 96,724 shares of common stock to Carilion Health System in accordance with the anti-dilution provisions of our previous amended and restated certificate of incorporation, which was adopted in connection with our Class C Common Stock financing in December 2005. Upon the closing of our initial public offering the total authorized shares of our capital stock increased to 100,000,000 shares of common stock and 5,000,000 shares of preferred stock.</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September 30, 2006, our capital structure changed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960" w:type="dxa"/>
            <w:vAlign w:val="bottom"/>
            <w:gridSpan w:val="2"/>
          </w:tcPr>
          <w:p>
            <w:pPr>
              <w:ind w:left="500"/>
              <w:spacing w:after="0"/>
              <w:rPr>
                <w:sz w:val="20"/>
                <w:szCs w:val="20"/>
                <w:color w:val="auto"/>
              </w:rPr>
            </w:pPr>
            <w:r>
              <w:rPr>
                <w:rFonts w:ascii="Arial" w:cs="Arial" w:eastAsia="Arial" w:hAnsi="Arial"/>
                <w:sz w:val="14"/>
                <w:szCs w:val="14"/>
                <w:b w:val="1"/>
                <w:bCs w:val="1"/>
                <w:color w:val="auto"/>
                <w:w w:val="85"/>
              </w:rPr>
              <w:t>Class A</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ind w:left="380"/>
              <w:spacing w:after="0"/>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C</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Additional</w:t>
            </w:r>
          </w:p>
        </w:tc>
      </w:tr>
      <w:tr>
        <w:trPr>
          <w:trHeight w:val="161"/>
        </w:trPr>
        <w:tc>
          <w:tcPr>
            <w:tcW w:w="4100" w:type="dxa"/>
            <w:vAlign w:val="bottom"/>
          </w:tcPr>
          <w:p>
            <w:pPr>
              <w:spacing w:after="0"/>
              <w:rPr>
                <w:sz w:val="14"/>
                <w:szCs w:val="14"/>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auto"/>
              </w:rPr>
              <w:t>Common Stock</w:t>
            </w:r>
          </w:p>
        </w:tc>
        <w:tc>
          <w:tcPr>
            <w:tcW w:w="1480" w:type="dxa"/>
            <w:vAlign w:val="bottom"/>
            <w:gridSpan w:val="5"/>
          </w:tcPr>
          <w:p>
            <w:pPr>
              <w:ind w:left="160"/>
              <w:spacing w:after="0"/>
              <w:rPr>
                <w:sz w:val="20"/>
                <w:szCs w:val="20"/>
                <w:color w:val="auto"/>
              </w:rPr>
            </w:pPr>
            <w:r>
              <w:rPr>
                <w:rFonts w:ascii="Arial" w:cs="Arial" w:eastAsia="Arial" w:hAnsi="Arial"/>
                <w:sz w:val="14"/>
                <w:szCs w:val="14"/>
                <w:b w:val="1"/>
                <w:bCs w:val="1"/>
                <w:color w:val="auto"/>
              </w:rPr>
              <w:t>Common Stock</w:t>
            </w: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r>
      <w:tr>
        <w:trPr>
          <w:trHeight w:val="142"/>
        </w:trPr>
        <w:tc>
          <w:tcPr>
            <w:tcW w:w="410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4"/>
              </w:rPr>
              <w:t>Shares</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r>
      <w:tr>
        <w:trPr>
          <w:trHeight w:val="142"/>
        </w:trPr>
        <w:tc>
          <w:tcPr>
            <w:tcW w:w="4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December 31, 2005</w:t>
            </w:r>
          </w:p>
        </w:tc>
        <w:tc>
          <w:tcPr>
            <w:tcW w:w="68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w w:val="83"/>
              </w:rPr>
              <w:t>2,834,814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2,835</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w w:val="82"/>
              </w:rPr>
              <w:t>734,429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734</w:t>
            </w:r>
          </w:p>
        </w:tc>
        <w:tc>
          <w:tcPr>
            <w:tcW w:w="9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2,131,474</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2,131</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   —</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10,935,049</w:t>
            </w: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2"/>
              </w:rPr>
              <w:t>139,049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139</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114,071</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89,310</w:t>
            </w:r>
          </w:p>
        </w:tc>
        <w:tc>
          <w:tcPr>
            <w:tcW w:w="60" w:type="dxa"/>
            <w:vAlign w:val="bottom"/>
          </w:tcPr>
          <w:p>
            <w:pPr>
              <w:spacing w:after="0"/>
              <w:rPr>
                <w:sz w:val="12"/>
                <w:szCs w:val="12"/>
                <w:color w:val="auto"/>
              </w:rPr>
            </w:pPr>
          </w:p>
        </w:tc>
      </w:tr>
      <w:tr>
        <w:trPr>
          <w:trHeight w:val="138"/>
        </w:trPr>
        <w:tc>
          <w:tcPr>
            <w:tcW w:w="41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Issuance of warrants and options in connection with Luna</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41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Technologies acquisition</w:t>
            </w:r>
          </w:p>
        </w:tc>
        <w:tc>
          <w:tcPr>
            <w:tcW w:w="96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418,073</w:t>
            </w:r>
          </w:p>
        </w:tc>
        <w:tc>
          <w:tcPr>
            <w:tcW w:w="60" w:type="dxa"/>
            <w:vAlign w:val="bottom"/>
            <w:shd w:val="clear" w:color="auto" w:fill="CCEEFF"/>
          </w:tcPr>
          <w:p>
            <w:pPr>
              <w:spacing w:after="0"/>
              <w:rPr>
                <w:sz w:val="13"/>
                <w:szCs w:val="13"/>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Share-based payment expense</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1,164,709</w:t>
            </w: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Initial Public Offering, net of costs</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3,500,000</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17,862,741</w:t>
            </w: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Carilion anti-dilution shares</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96,724</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w:t>
            </w:r>
          </w:p>
        </w:tc>
      </w:tr>
      <w:tr>
        <w:trPr>
          <w:trHeight w:val="138"/>
        </w:trPr>
        <w:tc>
          <w:tcPr>
            <w:tcW w:w="41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8"/>
              </w:rPr>
              <w:t>Conversion of Class A, Class B, and Class C Common Stock to</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41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Common Stock</w:t>
            </w:r>
          </w:p>
        </w:tc>
        <w:tc>
          <w:tcPr>
            <w:tcW w:w="96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(2,834,814)</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0"/>
              </w:rPr>
              <w:t>(2,835)</w:t>
            </w:r>
          </w:p>
        </w:tc>
        <w:tc>
          <w:tcPr>
            <w:tcW w:w="840" w:type="dxa"/>
            <w:vAlign w:val="bottom"/>
            <w:gridSpan w:val="2"/>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90"/>
              </w:rPr>
              <w:t>(873,478)</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(873)</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(2,131,474)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4"/>
              </w:rPr>
              <w:t>(2,131)</w:t>
            </w: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5,839,766</w:t>
            </w:r>
          </w:p>
        </w:tc>
        <w:tc>
          <w:tcPr>
            <w:tcW w:w="6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5,839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r>
      <w:tr>
        <w:trPr>
          <w:trHeight w:val="138"/>
        </w:trPr>
        <w:tc>
          <w:tcPr>
            <w:tcW w:w="4100" w:type="dxa"/>
            <w:vAlign w:val="bottom"/>
          </w:tcPr>
          <w:p>
            <w:pPr>
              <w:ind w:left="220"/>
              <w:spacing w:after="0" w:line="138" w:lineRule="exact"/>
              <w:rPr>
                <w:sz w:val="20"/>
                <w:szCs w:val="20"/>
                <w:color w:val="auto"/>
              </w:rPr>
            </w:pPr>
            <w:r>
              <w:rPr>
                <w:rFonts w:ascii="Arial" w:cs="Arial" w:eastAsia="Arial" w:hAnsi="Arial"/>
                <w:sz w:val="14"/>
                <w:szCs w:val="14"/>
                <w:color w:val="auto"/>
                <w:w w:val="97"/>
              </w:rPr>
              <w:t>Conversion of Redeemable Class B Common Stock to Common</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4100" w:type="dxa"/>
            <w:vAlign w:val="bottom"/>
          </w:tcPr>
          <w:p>
            <w:pPr>
              <w:ind w:left="440"/>
              <w:spacing w:after="0" w:line="159" w:lineRule="exact"/>
              <w:rPr>
                <w:sz w:val="20"/>
                <w:szCs w:val="20"/>
                <w:color w:val="auto"/>
              </w:rPr>
            </w:pPr>
            <w:r>
              <w:rPr>
                <w:rFonts w:ascii="Arial" w:cs="Arial" w:eastAsia="Arial" w:hAnsi="Arial"/>
                <w:sz w:val="14"/>
                <w:szCs w:val="14"/>
                <w:color w:val="auto"/>
              </w:rPr>
              <w:t>Stock</w:t>
            </w:r>
          </w:p>
        </w:tc>
        <w:tc>
          <w:tcPr>
            <w:tcW w:w="96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308,216</w:t>
            </w:r>
          </w:p>
        </w:tc>
        <w:tc>
          <w:tcPr>
            <w:tcW w:w="6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308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504,676</w:t>
            </w:r>
          </w:p>
        </w:tc>
        <w:tc>
          <w:tcPr>
            <w:tcW w:w="60" w:type="dxa"/>
            <w:vAlign w:val="bottom"/>
          </w:tcPr>
          <w:p>
            <w:pPr>
              <w:spacing w:after="0"/>
              <w:rPr>
                <w:sz w:val="13"/>
                <w:szCs w:val="13"/>
                <w:color w:val="auto"/>
              </w:rPr>
            </w:pPr>
          </w:p>
        </w:tc>
      </w:tr>
      <w:tr>
        <w:trPr>
          <w:trHeight w:val="149"/>
        </w:trPr>
        <w:tc>
          <w:tcPr>
            <w:tcW w:w="41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Rounding of Fractional Shares and par value effect of Stock Split</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(4,184)</w:t>
            </w:r>
          </w:p>
        </w:tc>
      </w:tr>
      <w:tr>
        <w:trPr>
          <w:trHeight w:val="156"/>
        </w:trPr>
        <w:tc>
          <w:tcPr>
            <w:tcW w:w="4100" w:type="dxa"/>
            <w:vAlign w:val="bottom"/>
          </w:tcPr>
          <w:p>
            <w:pPr>
              <w:spacing w:after="0" w:line="155" w:lineRule="exact"/>
              <w:rPr>
                <w:sz w:val="20"/>
                <w:szCs w:val="20"/>
                <w:color w:val="auto"/>
              </w:rPr>
            </w:pPr>
            <w:r>
              <w:rPr>
                <w:rFonts w:ascii="Arial" w:cs="Arial" w:eastAsia="Arial" w:hAnsi="Arial"/>
                <w:sz w:val="14"/>
                <w:szCs w:val="14"/>
                <w:color w:val="auto"/>
              </w:rPr>
              <w:t>Balances, September 30, 2006</w:t>
            </w:r>
          </w:p>
        </w:tc>
        <w:tc>
          <w:tcPr>
            <w:tcW w:w="68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9,858,806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$ 9,859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30,970,277</w:t>
            </w:r>
          </w:p>
        </w:tc>
        <w:tc>
          <w:tcPr>
            <w:tcW w:w="60" w:type="dxa"/>
            <w:vAlign w:val="bottom"/>
          </w:tcPr>
          <w:p>
            <w:pPr>
              <w:spacing w:after="0"/>
              <w:rPr>
                <w:sz w:val="13"/>
                <w:szCs w:val="13"/>
                <w:color w:val="auto"/>
              </w:rPr>
            </w:pPr>
          </w:p>
        </w:tc>
      </w:tr>
    </w:tbl>
    <w:p>
      <w:pPr>
        <w:spacing w:after="0" w:line="2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Our operations are divided into two operating segments—Contract Research and Product and Licensing.</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Contract Research segment provides applied research to customers in our areas of focus.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Contract Research segment derives its revenue primarily from services.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Product and Licensing segment develops and sells products or licenses technologies based on commercially viable concepts developed by the Contract Research segment. The Product and Licensing segment derives its revenue from product sales, funded product development and technology licenses.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Chief Executive Officer and his direct reports collectively represent our chief operating decision makers, and they evaluate segment performance based primarily on revenue and operating income or loss. The accounting policies of our segments are the same as those described in the summary of significant accounting policies (see Note 1 to our Financial Statements presented in the Registration Statement on Form S-1 filed with the Securities and Exchange Commission on June 2,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revenues and operating loss for reportable segments: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Revenue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4,885,854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3,942,195</w:t>
            </w: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5"/>
              </w:rPr>
              <w:t>$12,977,066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11,111,721</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Product and License Revenue from External Customers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1,163,663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2,521,403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6,049,517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3,942,195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15,498,469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11,111,721</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Contract Research Operating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(715,563)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(166,412)</w:t>
            </w:r>
          </w:p>
        </w:tc>
        <w:tc>
          <w:tcPr>
            <w:tcW w:w="1480" w:type="dxa"/>
            <w:vAlign w:val="bottom"/>
            <w:gridSpan w:val="3"/>
          </w:tcPr>
          <w:p>
            <w:pPr>
              <w:ind w:left="180"/>
              <w:spacing w:after="0"/>
              <w:rPr>
                <w:sz w:val="20"/>
                <w:szCs w:val="20"/>
                <w:color w:val="auto"/>
              </w:rPr>
            </w:pPr>
            <w:r>
              <w:rPr>
                <w:rFonts w:ascii="Arial" w:cs="Arial" w:eastAsia="Arial" w:hAnsi="Arial"/>
                <w:sz w:val="18"/>
                <w:szCs w:val="18"/>
                <w:color w:val="auto"/>
              </w:rPr>
              <w:t>$ (2,629,963)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(380,512)</w:t>
            </w:r>
          </w:p>
        </w:tc>
        <w:tc>
          <w:tcPr>
            <w:tcW w:w="0" w:type="dxa"/>
            <w:vAlign w:val="bottom"/>
          </w:tcPr>
          <w:p>
            <w:pPr>
              <w:spacing w:after="0"/>
              <w:rPr>
                <w:sz w:val="1"/>
                <w:szCs w:val="1"/>
                <w:color w:val="auto"/>
              </w:rPr>
            </w:pPr>
          </w:p>
        </w:tc>
      </w:tr>
      <w:tr>
        <w:trPr>
          <w:trHeight w:val="21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Product and License Operating Loss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(1,453,825)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(4,472,218)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Total Operating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(2,169,388)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(166,412)</w:t>
            </w:r>
          </w:p>
        </w:tc>
        <w:tc>
          <w:tcPr>
            <w:tcW w:w="1480" w:type="dxa"/>
            <w:vAlign w:val="bottom"/>
            <w:gridSpan w:val="3"/>
          </w:tcPr>
          <w:p>
            <w:pPr>
              <w:ind w:left="180"/>
              <w:spacing w:after="0"/>
              <w:rPr>
                <w:sz w:val="20"/>
                <w:szCs w:val="20"/>
                <w:color w:val="auto"/>
              </w:rPr>
            </w:pPr>
            <w:r>
              <w:rPr>
                <w:rFonts w:ascii="Arial" w:cs="Arial" w:eastAsia="Arial" w:hAnsi="Arial"/>
                <w:sz w:val="18"/>
                <w:szCs w:val="18"/>
                <w:color w:val="auto"/>
              </w:rPr>
              <w:t>$ (7,102,181)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(380,512)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segment information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8060" w:type="dxa"/>
            <w:vAlign w:val="bottom"/>
          </w:tcPr>
          <w:p>
            <w:pPr>
              <w:spacing w:after="0"/>
              <w:rPr>
                <w:sz w:val="14"/>
                <w:szCs w:val="14"/>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2005</w:t>
            </w: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segment assets: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Contract Research</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$ 31,545,230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21,583,007</w:t>
            </w: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and License Revenue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3,574,860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2,550,823</w:t>
            </w:r>
          </w:p>
        </w:tc>
      </w:tr>
      <w:tr>
        <w:trPr>
          <w:trHeight w:val="222"/>
        </w:trPr>
        <w:tc>
          <w:tcPr>
            <w:tcW w:w="8060" w:type="dxa"/>
            <w:vAlign w:val="bottom"/>
          </w:tcPr>
          <w:p>
            <w:pPr>
              <w:ind w:left="8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$ 35,120,090</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24,133,830</w:t>
            </w: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material inter-segment revenues for any period presented.</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United States Government accounted for approximately 72% and 81% of revenues for the three months ended September 30, 2006 and 2005, and 74% and 64% of revenues for the nine months ended September 30, 2006 and 2005.</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International revenues (customers outside of the United States) accounted for 4.0% and 2.8% of total revenues for the three months ended September 30, 2006 and 2005, and 3.5% and 1.3% for the nine months ended September 30, 2006 and 2005.</w:t>
      </w:r>
    </w:p>
    <w:p>
      <w:pPr>
        <w:spacing w:after="0" w:line="2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Guarantees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is from time to time involved in certain legal proceedings in the ordinary course of conducting its business. While the ultimate liability pursuant to these actions cannot currently be determined, the Company believes these legal proceedings will not have a material adverse effect on its financial position or results of operations.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has an outstanding letter of credit at September 30, 2006, of $719,500 to the Industrial Development Authority of Montgomery County, Virginia, to support a lease of office space. This letter of credit expires in 2011.</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has an agreement with a supplier to purchase inventory and estimates its noncancellable obligation to approximate $959,400 through October 2007.</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 leases its facilities in Blacksburg, Charlottesville, Danville, Hampton and Roanoke, Virginia, under non-cancellable operating leases that expire between 2006 and 2013. Certain of the leases are subject to fixed escalations. Future minimum lease payments for the remainder of 2006 and for each of the subsequent four years from 2007 through 2010 approximate $286,000, $1,483,000, $1,350,000, $1,199,000, and $1,178,000, respectively.</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has entered into indemnification agreements with its officers and directors, to the extent permitted by law, pursuant to which the Company has agreed to reimburse the officers and directors for legal expenses in the event of litigation and regulatory matters. The terms of these indemnification agreements provide for no limitation to the maximum potential future payments. The Company has a directors and officers insurance policy that may, in certain instances, mitigate the potential liability and payments.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to those statements included elsewhere in this Quarterly Report on Form 10-Q. In addition to historical financial information, this report contains forward-looking statements that involve risks, uncertainties and assumptions. These statements may relate to, but are not limited to, expectations of future operating results or financial performance, capital expenditures, introduction of new products, regulatory compliance, plans for growth and future operations, as well as assumptions relating to the foregoing. Forward-looking statements are inherently subject to risks and uncertainties, some of which cannot be predicted or quantified. These risks and other factors include, but are not limited to, those listed under the section entitled “Risk Factors” in Item 1A of Part II of this report. In some cases, you can identify forward-looking statements by terminology such as “may,” “will,” “should,” “could,” “expect,” “plan,” “anticipate,” “believe,” “estimate,” “predict,” “intend,” “potential,” “continue,” “seek” or the negative of these terms or other comparable terminology. These statements are only predictions. Actual events and/or results may differ materially.</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The forward-looking statements contained in this report are made pursuant to the safe harbor protection provided by the Private Securities Litigation Reform Act of 1995 and Section 27A of the Securities Act of 1933, as amended. Except as required by applicable law, including the rules and regulations of the SEC, we do not plan to publicly update or revise any forward-looking statements, whether as a result of any new information, future events or otherwise, other than through the filing of periodic reports in accordance with the Securities Exchange Act of 1934,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research, develop and commercialize innovative technologies in two primary areas: molecular technology solutions and sensing solutions. We have a disciplined and integrated business model that is designed to accelerate the process of bringing new and innovative products to market. We identify technologies that can fulfill large and unmet market needs and then take these technologies from the applied research stage through commercialization in our two areas of focus:</w:t>
      </w:r>
    </w:p>
    <w:p>
      <w:pPr>
        <w:spacing w:after="0" w:line="56" w:lineRule="exact"/>
        <w:rPr>
          <w:sz w:val="20"/>
          <w:szCs w:val="20"/>
          <w:color w:val="auto"/>
        </w:rPr>
      </w:pPr>
    </w:p>
    <w:p>
      <w:pPr>
        <w:ind w:left="780" w:right="160" w:hanging="326"/>
        <w:spacing w:after="0" w:line="25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Molecular Technology Solutions. </w:t>
      </w:r>
      <w:r>
        <w:rPr>
          <w:rFonts w:ascii="Arial" w:cs="Arial" w:eastAsia="Arial" w:hAnsi="Arial"/>
          <w:sz w:val="18"/>
          <w:szCs w:val="18"/>
          <w:color w:val="auto"/>
        </w:rPr>
        <w:t>We develop molecular technology solutions, which are substances and materials with enhanced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characteristics obtained by harnessing chemical, physical and biological properties of novel combinations of matter. We focus on substances and materials at the molecular level, including nanomaterials, which are materials whose size can be measured in nanometers, or one billionth of a meter. Examples of our product candidates in this area include flame retardants, protective coatings, and materials that can help physicians identify diseased tissues using magnetic resonance imaging, or MRI.</w:t>
      </w:r>
    </w:p>
    <w:p>
      <w:pPr>
        <w:spacing w:after="0" w:line="57" w:lineRule="exact"/>
        <w:rPr>
          <w:rFonts w:ascii="Arial" w:cs="Arial" w:eastAsia="Arial" w:hAnsi="Arial"/>
          <w:sz w:val="18"/>
          <w:szCs w:val="18"/>
          <w:color w:val="auto"/>
        </w:rPr>
      </w:pPr>
    </w:p>
    <w:p>
      <w:pPr>
        <w:ind w:left="780" w:hanging="326"/>
        <w:spacing w:after="0" w:line="25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Sensing Solutions. </w:t>
      </w:r>
      <w:r>
        <w:rPr>
          <w:rFonts w:ascii="Arial" w:cs="Arial" w:eastAsia="Arial" w:hAnsi="Arial"/>
          <w:sz w:val="18"/>
          <w:szCs w:val="18"/>
          <w:color w:val="auto"/>
        </w:rPr>
        <w:t>We develop integrated sensing solutions, which are products that combine sensors, software and hardware to measure, monitor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chemical, physical and biological properties. We have particular expertise in optical, acoustic and wireless technologies. Examples of our solutions in this area include medical monitoring products and industrial instrumentation for aerospace, energy generation and distribution, and defense applications.</w:t>
      </w:r>
    </w:p>
    <w:p>
      <w:pPr>
        <w:spacing w:after="0" w:line="14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have a successful track record in executing our market-driven business model. Since our inception, we have developed products serving various industries including energy, telecommunications, life sciences and defense.</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annual revenues were $16.5 million in 2005 and $15.5 million during the nine months ended September 30, 2006. We generate revenues through contract research, product sales and license fees. We had net losses of $2.0 million and $6.8 million for the year ended December 31, 2005 and the nine months ended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September 30, 2006, respectively, and we expect to incur significant additional expenses as we expand our business. We also expect losses to continue for the foreseeable future primarily due to increased expenditures related to our nanomaterial and medical device product development efforts.</w:t>
      </w:r>
    </w:p>
    <w:p>
      <w:pPr>
        <w:spacing w:after="0" w:line="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Historically, our contract research revenues have accounted for a large proportion of our total revenues, and we expect that they will continue to grow and will represent a significant portion of our total revenues for the foreseeable future. Our contract research revenue was $15.4 million in 2005. We generated contract research revenues of $4.9 million and $13.0 million for the three and nine months ended September 30, 2006, respectively. As of September 30, 2006, our Contract Research Group was working on 94 contracts. In addition to these contracts, we regularly have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The approximate value of our backlog was $24.1 million as of September 30, 2006.</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Revenues from product sales currently represent a small proportion of our total revenues, and, historically, we have derived most of these revenues from the sales of our sensing systems and products that make use of light-transmitting optical fibers, or fiber optics. License revenues were significant in 2004 primarily due to the Luna Energy transactions described in our Registration Statement on Form S-1. Although we have been successful in licensing certain technology, we do not expect license revenues to represent a significant portion of future revenues. However, over time we do intend to gradually increase such revenues. For the full year, we expect revenues from product sales to increase because of our acquisition of Luna Technologies, Inc. (“Luna Technologies”) on September 30, 2005. We also expect to increase our investments in product development and commercialization, which we anticipate will lead to increased product sales growth. In the future, we expect that revenues from product sales will represent a larger proportion of our total revenues and that as we develop and commercialize new products, these revenues will reflect a broader and more diversified mix of products.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June 2005, prior to its acquisition by Luna Innovations, Luna Technologies entered into a Joint Cooperation Agreement with Luna Energy, an independent company which is no longer affiliated with us. Under this agreement, both parties have agreed to cooperate to develop a fiber optic sensing system product and have agreed to contribute materials, intellectual property, personnel and other resources to the development effort. Upon successful completion of product development, Luna Energy will receive a license to certain of Luna Technologies’ intellectual property and will be required beginning in 2007 and continuing through December 31, 2017 to make payments to Luna Technologies with respect to revenues derived from products sold that utilize this intellectual property. As of September 30, 2006, Luna Energy had not yet sold products that would entitle Luna Technologies to royalty payments under this joint cooperation agreement. Luna Technologies had received aggregate development milestone payments of $320 thousand as of that date under this agreement and is entitled to receive additional development milestone payments of up to $105 thousand in the aggregate, subject to the satisfaction of certain conditions. Luna Technologies also has the right to receive royalty payments from sales of products in the future. The license of certain of the intellectual property from Luna Technologies to Luna Energy shall be an exclusive license if Luna Energy makes certain minimum royalty payments of $420 thousand in the aggregate between 2007 and 2017, and shall be a non-exclusive license if Luna Energy fails to make these minimum royalty payments. Since December 2004, we have not held an ownership interest in Luna Energy. Luna Technologies continues to operate as part of our products group.</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becoming a public company in June 2006, we have incurred and will continue to incur significant additional expenses such as audit fees, professional fees, increased directors’ and officers’ insurance premiums, advisory board and board of directors compensation, and expenses related to hiring additional personnel and expanding our administrative functions. Many of these expenses were not incurred by us in prior periods. We began to incur these expenses during the second half of 2005 and we expect that these expenses will continue to increase. In addition, using the net proceeds from our initial public offering, we have begun to implement our strategy for expansion that have significantly increased our operating expenses and will likely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create substantial losses. We incurred consolidated net losses of approximately $2.0 million and $6.8 million for the year ended December 31, 2005 and the nine months ended September 30, 2006, respectively. We expect to continue to incur significant additional expenses as we expand our business, including increased expenses for research and development, sales and marketing, manufacturing, finance and accounting personnel and expenses associated with being a public company.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expect that we will likely continue to incur losses for the foreseeable future, and these losses could be substantial.</w:t>
      </w:r>
    </w:p>
    <w:p>
      <w:pPr>
        <w:spacing w:after="0" w:line="120"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 xml:space="preserve">Our operating expenses to date for fiscal year 2006 have also increased as a result of the adoption of the provisions of the Financial Accounting Standards Board’s revised Statement of Financial Accounting Standards No. 123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(SFAS No. 123R). We recorded stock-based compensation charges of $403 thousand and $1,165 thousand for the three and nine months ended September 30, 2006, respectively. We also expect to record an aggregate stock-based compensation charge for stock options granted through September 30, 2006 of $5.6 million to be recognized over years 2006 through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Revenues, Costs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generate revenues from contract research, product sales and license payments. We derive contract research revenues from providing research and development services to third parties, including government entities and corporations, and from achieving milestones established by some of these contracts and collaboration agreements. In general, we complete contracted research over periods ranging from six months to three years, and recognize these revenues over the life of the contract as costs are incurred or upon the achievement of certain milestones specified in the contracts.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product revenues reflect amounts that we receive from sales of our products and development fees paid by third-parties to complete development or create customized applications of products that we anticipate will lead to product sales or licensing revenues. Such product revenues currently represent a small but growing portion of our total revenues. Revenues from product sales that require no ongoing obligations are recognized as revenues when the product has shipped to the customer, title has passed and collection is reasonably assured. In transactions where a right-of-return exists, revenues are deferred until acceptance has occurred and the period for the right-of-return has lapsed.</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license revenues comprise up-front license fees paid to us in connection with licenses or sublicenses of certain patents and other intellectual property as well as royalties, which currently represent an insignificant portion of our license revenues. Amounts received from third parties for licenses to our intellectual property are recognized when earned under the terms of the agreements. Revenues are recognized upon transfer of the license unless we have continuing obligations for which fair value cannot be established, in which case the revenues are recognized over the period of the obligation. If there are extended payment terms, license fees are recognized as these payments become due and collectibility is probable. We consider all arrangements with payment terms beyond twelve months not to be fixed and determinable.</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Certain of our agreements also involve research and development activities. We apply the guidance from the Emerging Taskforce Consensus on Issue 00-21, </w:t>
      </w:r>
      <w:r>
        <w:rPr>
          <w:rFonts w:ascii="Arial" w:cs="Arial" w:eastAsia="Arial" w:hAnsi="Arial"/>
          <w:sz w:val="16"/>
          <w:szCs w:val="16"/>
          <w:i w:val="1"/>
          <w:iCs w:val="1"/>
          <w:color w:val="auto"/>
        </w:rPr>
        <w:t>Revenue Arrangements with Multiple-Deliverables</w:t>
      </w:r>
      <w:r>
        <w:rPr>
          <w:rFonts w:ascii="Arial" w:cs="Arial" w:eastAsia="Arial" w:hAnsi="Arial"/>
          <w:sz w:val="16"/>
          <w:szCs w:val="16"/>
          <w:color w:val="auto"/>
        </w:rPr>
        <w:t xml:space="preserve"> (EITF 00-21). Accordingly, we will allocate our arrangement fees to the various elements based upon objective reliable evidence of fair value, if available. For those arrangements in which evidence of fair value is not available, we will defer revenues from any upfront payments and recognize them over the service period in the arrangement. Certain of these arrangements also include the payment of performance bonuses based upon the achievement of specific milestones. Generally, there are no assurances at the onset of these arrangements that the milestones will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be achieved. As such, fees related to such milestones are excluded from the initial allocation of the arrangement fee in accordance with EITF 00-21 and are recognized upon achievement of the milestone provided that such fees are non-refundable and collection is probable.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Cost of revenues associated with contract research revenues consists of research contract costs, including direct labor, amounts paid to subcontractors and overhead allocated to contract research activities.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Cost of revenues associated with product sales and license revenues consists of license fees for use of certain technologies; product manufacturing costs including all direct material and direct labor costs; amounts paid to our contract manufacturers; manufacturing, shipping and handling; provisions for product warranty; and inventory obsolescence, as well as overhead allocated to these activities. Product manufacturing activity has historically been and continues to be a relatively insignificant element of our cost of revenues due to our relatively low product sales activity in comparison with our other activities, however, we anticipate this element will grow over time as we expand our manufacturing capabilities.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Operating expense consists of selling, general and administrative expenses, as well as expenses related to research and development, depreciation of fixed assets and amortization of intangible assets. These expenses also include: compensation for employees in executive and operational functions including certain non-cash charges related to expenses from option grants and other equity-based compensation; facilities costs to the extent not allocable to cost of revenues; professional fees; salaries, commissions, travel expense and related benefits of personnel engaged in sales, product management and marketing activities; costs of marketing programs and promotional materials; salaries, bonuses and related benefits of personnel engaged in our own research and development beyond the scope and activities of our Contract Research Group; product development activities not covered by contracted research; and overhead costs related to these activities.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anticipate our operating expenses will continue to increase over time due to dedication of resources to product development and increased administrative costs for insurance, professional fees, external reporting requirements, Sarbanes-Oxley compliance and investor relations activities associated with operating as a public company. These increases will also include the hiring of additional personnel.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 Expense, Net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Interest expense historically related primarily to interest we paid under our senior secured revolving credit facility. As of September 30, 2006, there was no amount outstanding on our credit facility, and we do not expect to draw on that facility in the near term. Beginning December 2005, interest expense also included interest accrued on the outstanding aggregate principal of the senior convertible promissory notes issued to Carilion Health System on December 30, 2005.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of amounts earned at money market rates on our available cash balances.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(US GAAP). The preparation of these financial statements requires us to make estimates, assumptions and judgments that affect the amounts reported in our financial statements and the accompanying notes. We base our estimates on historical experience and on various other assumptions that we</w:t>
      </w:r>
    </w:p>
    <w:p>
      <w:pPr>
        <w:spacing w:after="0" w:line="1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believe to be reasonable under the circumstances. Actual results may differ from these estimates under different assumptions or judgments. Our significant accounting policies are described in the notes to our audited consolidated financial statements previously included in our Registration Statement on Form S-1 (No. 333-131764), as amended and filed with the Securities and Exchange Commission on June 2, 2006.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2006 Compared to Three Months Ended September 30,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Total revenues increased 53% to $6.0 million for the three months ended September 30, 2006, from $3.9 million for the three months ended September 30, 2005. The increase was due in part to increased product sales related to our Luna Technologies Division, which was not acquired until September 30, 2005 and thus was not yet reflected in the results of our consolidated operations for the third quarter of 2005. Our acquisition of Luna Technologies and the subsequent product sales by that division are key elements of our strategic transition towards our goal of increased product sales revenues. We generated approximately $1.2 million in product sales in the third quarter of 2006 as compared with no such product sales revenues in the third quarter of 2005.</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Growth in our contract research revenues also contributed to our overall growth in revenues for the third quarter of 2006 as compared with the third quarter of 2005. Contract research revenues increased 24% to $4.9 million for the three months ended September 30, 2006 from $3.9 million for the same period in 2005. This increase was primarily a result of a continued strong success in obtaining research contracts, an increase in the size of certain awards, and the addition of direct contract personnel. The increase was driven in part by application of proceeds from the Carilion financing activities in the second half of 2005, which enabled us to devote more resources to pursuing contract awards.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revenues increased 34% to $4.1 million for the three months ended September 30, 2006 from $3.1 million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2005. This increase was consistent with our overall increase in revenues. The main component of this overall increase was the inclusion of product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sales costs due to the operations of our Luna Technologies Division during the third quarter of 2006; these costs were not previously a component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the third quarter of 2005. New product sales costs accounted for approximately $521 thousand, or approximately half, of the overall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 of revenues.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Contract research costs increased 17% to $3.6 million for the three months ended September 30, 2006 from $3.1 million in the same period in 2005. This increase was lower than the increase in our contract research revenues due in part to a higher direct labor utilization.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the inclusion of product sales in the third quarter of 2006, our overall gross margin improved significantly as compared with the third quarter of 2005. Our overall gross margin during the three months ended September 30, 2006 was 32% compared to 22% during the same period in 2005. During the three months ended September 30, 2006, contract research activity returned a gross margin of approximately 27% compared to 22% in the same period of 2005. Product sales activity returned a higher gross margin of 55% for the three months ended September 30, 2006. One of our objectives in seeking greater relative product sales is based on the goal of achieving higher margins to improve our overall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expense increased 295% to $4.1 million for the three months ended September 30, 2006 from $1.0 million for the corresponding quarter in 2005. Much of the increase in the third quarter of 2006 as compared to the same period in 2005 was due to significant indirect expenses in connection with implementing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business plan relating to commercializing new products and increasing our product sales capabilities, as well as the costs associated with becoming a public company. Consistent with our strategy of building a growing portfolio of businesses and products, we were and are actively hiring additional staff with related recruitment and relocation charges, incurring legal and professional fees and implementing various internal changes to prepare and to strengthen our existing infrastructure and management resources as a result of becoming a public company. With the completion of our financing with Carilion Health System in December 2005, we gained the necessary resources to begin implementing many of these important changes to our business. We expect that our operating expenses will remain at these increased levels in the coming months due to our continued growth and development as well as the indirect costs of our initial public offering and compliance with the various regulatory requirements associated with being a public company.</w:t>
      </w:r>
    </w:p>
    <w:p>
      <w:pPr>
        <w:spacing w:after="0" w:line="118"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Another factor in the increase in our operating expense between the third quarter of 2006 and the third quarter in 2005 was our adoption of SFAS No. 123R, which required us to record expense related to the fair value of unvested option grants. We recorded share-based compensation expense of approximately $403 thousand during the three months ended September 30,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Net interest income (expense) increased from a net expense during the three months ended September 30, 2005 to net income during the same period in 2006. Nearly all of the interest expense during the three months ended September 30, 2006, was incurred on our senior convertible promissory notes issued to Carilion Health System on December 30, 2005, which were not previously outstanding during the third quarter of 2005. These notes have an aggregate outstanding principal of approximately $5.0 million and accrue simple interest at a rate of 6.0% per year. During the three month period ended September 30, 2006, interest expense on such notes was approximately $75 thousand. At the same time, the proceeds from the issuance of the senior convertible promissory notes and the proceeds from the sale of our Class C Common Stock received at the beginning of the first quarter in 2006 continued to provide a cash surplus for us. Additionally, the net proceeds of $17.87 million from the initial public offering were received in the first week of June 2006. The proceeds from these financing transactions resulted in our holding significantly greater interest-bearing balances in the three months ended September 30, 2006, than during the same period in 2005. Interest income for the three months ended September 30, 2006, totaled $318 thousand. Finally, during the third quarter of 2006, we did not have an outstanding balance on our $2.5 million line of credit. As such, we did not incur interest expense on that line of credit in 2006 compared to interest expense of $23 thousand incurred in the third quarter of 2005. We do not anticipate a need to draw on that line of credit in the near term given the funds raised from our August and December 2005 financing with Carilion Health System and from our initial public offering in June 2006.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2006 Compared to Nine months ended September 30,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revenues increased 39% to $15.5 million for the nine months ended September 30, 2006 from $11.1 million for the nine months ended September 30,</w:t>
      </w:r>
    </w:p>
    <w:p>
      <w:pPr>
        <w:spacing w:after="0" w:line="50" w:lineRule="exact"/>
        <w:rPr>
          <w:sz w:val="20"/>
          <w:szCs w:val="20"/>
          <w:color w:val="auto"/>
        </w:rPr>
      </w:pPr>
    </w:p>
    <w:p>
      <w:pPr>
        <w:ind w:right="180"/>
        <w:spacing w:after="0" w:line="320" w:lineRule="auto"/>
        <w:rPr>
          <w:sz w:val="20"/>
          <w:szCs w:val="20"/>
          <w:color w:val="auto"/>
        </w:rPr>
      </w:pPr>
      <w:r>
        <w:rPr>
          <w:rFonts w:ascii="Arial" w:cs="Arial" w:eastAsia="Arial" w:hAnsi="Arial"/>
          <w:sz w:val="15"/>
          <w:szCs w:val="15"/>
          <w:color w:val="auto"/>
        </w:rPr>
        <w:t>2005. The increase was due in part to increased product sales related to our Luna Technologies Division, which was not acquired until September 30, 2005 and thus was not yet reflected in the results of our consolidated operations for the first, second and third quarters of 2005. Our acquisition of Luna Technologies and the subsequent product sales by that division is a key element of our strategic transition towards our goal of increased product sales revenues. We generated approximately $2.5 million in product sales in the first nine months of 2006 as compared with no such product sales revenues in the same period of 2005.</w:t>
      </w:r>
    </w:p>
    <w:p>
      <w:pPr>
        <w:spacing w:after="0" w:line="10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Growth in our contract research revenues also contributed to our overall growth in revenues for the first nine months of 2006 as compared with the same period of 2005. Contract research revenues increased 17% to $13.0 million for the nine months ended September 30, 2006, from $11.1 million for the same period in 2005. This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increase was primarily a result of a continued strong success rate in obtaining research contracts, an increase in the size of certain awards, and the addition of direct contract personnel. The increase in the success rate was driven in part by application of proceeds from the Carilion financings in the second half of 2005, which enabled us to devote more resources to pursuing new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revenues increased 26% to $10.8 million for the nine months ended September 30, 2006 from $8.5 million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2005. This increase was consistent with our overall increase in revenues and our product mix. The main component of this overall increase was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inclusion of product sales costs due to the operations of our Luna Technologies Division during the first nine months of 2006 resulting from our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Luna Technologies in September, 2005. New product sales costs accounted for approximately $1.2 million, or more than half, of the overall increase in costs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Contract research costs increased 12% to $9.6 million for the nine months ended September 30, 2006 from $8.5 million in the same period in 2005. This increase was consistent with the overall increase in contract research revenues.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the inclusion of product sales in the first nine months of 2006, our overall gross margin improved as compared with the first nine months of 2005. Our overall gross margin during the nine months ended September 30, 2006 was 30% compared to 23% during the same period in 2005. During the nine months ended September 30, 2006, contract research activity returned a gross margin of approximately 26% compared to 23% in the first nine months of 2005. Product sales activity returned a higher gross margin of 53% during the nine months ended September 30, 2006. Our objective of seeking greater relative product sales is based on the goal of achieving higher margins to improve our overall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Operating expense increased 300% to $11.8 million for the nine months ended September 30, 2006 from $3.0 million for the corresponding period of 2005. Much of the increase in the first nine months of 2006 as compared to the same period in 2005 was due to significant indirect expenses in connection with implementing our business plan relating to increasing our product portfolio and product sales capabilities, as well as costs associated with becoming a public company. Consistent with our strategy of building a growing portfolio of businesses and products, we were and are actively hiring additional staff with related recruitment and relocation charges, incurring legal and professional fees and implementing various internal changes to prepare and to strengthen our existing infrastructure and management resources during and after our transition to being a public company. With the completion of our financing with Carilion Health System in December 2005, we gained the necessary resources to begin implementing many of these important changes to our business. We expect that our operating expenses will remain at these increased levels in the coming months due to our continued growth and development as well as the costs of compliance with the various regulatory requirements of being a public company.</w:t>
      </w:r>
    </w:p>
    <w:p>
      <w:pPr>
        <w:spacing w:after="0" w:line="120"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Another factor in the increase in our operating expense for the nine months ended September 30, 2006 compared to the same period in 2005 was our adoption of SFAS No. 123R, which required us to record expense related to the fair value of unvested option grants. We recorded share-based compensation expense of approximately $1.2 million during the nine months ended September 30,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Net interest income (expense) increased from a net expense during the nine months ended September 30, 2005 to net income during the same period in 2005. Nearly all of the interest expense during the nine months ended September 30, 2006 was incurred on our senior convertible promissory notes issued to Carilion Health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System on December 30, 2005 which were not previously outstanding during the first nine months of 2005. These notes have an aggregate outstanding principal of approximately $5.0 million and accrue simple interest at a rate of 6.0% per year. During the nine month period ended September 30, 2006, interest expense on such notes was approximately $225 thousand. At the same time, the proceeds from the issuance of the senior convertible promissory notes and the proceeds from the sale of our Class C Common Stock received at the beginning of the first quarter in 2006 continued to provide a cash surplus for us. Additionally, the proceeds of the initial public offering were received in the first week of June. The proceeds from these financing transactions resulted in our holding significantly greater interest-bearing balances in the nine months ended September 30, 2006, compared to the same period in 2005. Interest income for the nine months ended September 30, 2006, totaled $612 thousand. Finally, during the first nine months of 2006, we did not have an outstanding balance on our $2.5 million line of credit. As such, we did not incur interest expense on that line of credit in 2006 as compared to interest expense of $67 thousand incurred in 2005. We do not anticipate the need to draw on that line of credit in the near term given the funds raised from our August and December 2005 financing rounds with Carilion Health System and our initial public offering.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August 2005, our primary source of liquidity had been cash provided by operations, financing from the revolving credit facility, and divestitures of certain assets and businesses. In August 2005, we completed our first outside equity financing and raised $7.0 million through an equity investment by Carilion Health System. Carilion Health System invested an additional $8.0 million in December 2005 in the form of $5.0 million in senior convertible promissory notes and $3.0 million in additional equity. Our principal uses of cash have been to fund our expansion, including facilities, personnel, working capital and other capital expenditures, and to fund our costs of transition to a public company.</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a $2.5 million senior secured revolving credit facility with First National Bank that is collateralized by a security interest in substantially all of our assets. The interest rate on borrowings under our secured revolving credit facility is equal to the prime rate, limited to no less than 6.0% and no greater than</w:t>
      </w:r>
    </w:p>
    <w:p>
      <w:pPr>
        <w:spacing w:after="0" w:line="286" w:lineRule="auto"/>
        <w:rPr>
          <w:sz w:val="20"/>
          <w:szCs w:val="20"/>
          <w:color w:val="auto"/>
        </w:rPr>
      </w:pPr>
      <w:r>
        <w:rPr>
          <w:rFonts w:ascii="Arial" w:cs="Arial" w:eastAsia="Arial" w:hAnsi="Arial"/>
          <w:sz w:val="16"/>
          <w:szCs w:val="16"/>
          <w:color w:val="auto"/>
        </w:rPr>
        <w:t>10.0% per annum, with interest payable monthly. This agreement was modified in May 2006, to allow a $1.0 million sub-limit for letters of credit and to extend the expiration date to November 30, 2006. Under the terms of the senior secured revolving credit facility, the outstanding principal is payable in full on demand or at maturity on November 30, 2006. The senior secured revolving credit facility contains covenants which require us to maintain $1.0 to $2.0 million in liquidity depending on our outstanding balance. Additionally, without First National Bank’s prior approval, we may not make a direct loan to an affiliate or subsidiary of ours exceeding $500 thousand annually, guaranty the debt of our affiliate or subsidiary or incur debt in excess of $200 thousand other than First National Bank debt annually. Finally, we are obligated to continue to provide First National Bank an assignment of life insurance in a minimum amount of $1.0 million on the life of Kent A. Murphy, covering all of our indebtedness to First National Bank. As of December 31, 2005, we had repaid the outstanding balance on our secured revolving credit facility, and we do not anticipate the need to draw on that line of credit in the near term given the funds raised from our August and December 2005 financing rounds with Carilion Health System as well as the proceeds from our initial public offering. With the exception of our obligations under the senior convertible promissory notes, the senior secured revolving credit facility and our capital lease, we have no other debt outstanding.</w:t>
      </w:r>
    </w:p>
    <w:p>
      <w:pPr>
        <w:spacing w:after="0" w:line="12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June 2, 2006, the effective date of our initial public offering, we sold 3,500,000 shares of common stock at $6.00 per share resulting in gross proceeds of $21.0 million. In connection with this offering, we paid $1.47 million in underwriting discounts and commissions and incurred other offering expenses of approximately $1.66 million. The net proceeds from the offering were approximately $17.87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Activity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2006, we used approximately $6.3 million of net cash from operations. This was a substantial change over the activity in the corresponding nine months of 2005. Most of this change was due to the addition of operations from the Luna Technologies Division, which was not reflected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in the cash flows from operations in the first nine months of 2005, and the general increase in cash outflows that resulted from our expenditures increase to achieve a greater relative amount of product sales, fund new product development activities, and our preparation to become a public company.</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Cash used in investing activities for the nine months ended September 30, 2006, related primarily to the purchase of property and equipment and legal fees associated with securing patent rights to certain technology. Our overall cash used in investing activities was $1.7 million representing an increase of $1.1 million in the first nine months of 2006 as compared with the first nine months of 2005 due primarily to capital expenditures to support our increase in personnel and test equipment requirements. In future months, we expect an increase in net cash used in investing activities as we now have the necessary resources to begin and complete a number of longer-term investments in our growth.</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Cash flows from financing activities for the nine months ended September 30, 2006, increased significantly compared to the first nine months of 2005 due to the net proceeds of $17.9 million from our initial public offering. As a result of our increased cash position through the initial public offering and our Carilion financing at the end of 2005, we did not need to draw additional financing from our line of credit or other sources in the first nine months of 2006 as we had previously done in the first nine months of 2005.</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September 30, 2006, total cash and cash equivalents were approximately $22.4 million. We believe that our current cash on hand and cash available under our line of credit agreement will be sufficient to fund operations for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 our facilities in Blacksburg, Charlottesville, Danville, Hampton, McLean and Roanoke, Virginia under operating leases that expire on various dates through December 2013 or under a month-to-month arrangement. Upon expiration of the leases, we may exercise certain renewal options as specified in the leases.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also lease certain computer equipment and software under capital lease agreements that expire through January 2010. The assets subject to these obligations are included in property and equipment on our consolidated balance sheet.</w:t>
      </w:r>
    </w:p>
    <w:p>
      <w:pPr>
        <w:spacing w:after="0" w:line="132"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Our Luna Technologies Division has an agreement with a supplier to purchase tunable lasers and estimates its noncancellable obligation to be approximately $959 thousand through 2007.</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2004, we received a grant of $900 thousand from the City of Danville, Virginia under a Grant Agreement to support the expansion of economic and commercial growth within the City. Under the Grant Agreement, we agreed to locate a nanomaterials manufacturing and research facility and maintain its operations in Danville until March 25, 2009. As of September 25, 2006, we had not fully met the capital expenditures and job milestones under this agreement, and, as a result, we may be obligated to repay the City of Danville a portion of the $900 thousand in funds based on a formula of the pro rata shortfall of such expenditures and jobs falling below such required levels. Because of the failure to meet these milestones and the continuing obligation to maintain our investment and employees at this location through March 25, 2009, we currently have classified the full amount of the grant as a liability on our balance sheet in anticipation of potentially returning the funds.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material off-balance sheet arrangements as defined in Regulation S-K 303(a)(4)(ii).</w:t>
      </w:r>
    </w:p>
    <w:p>
      <w:pPr>
        <w:spacing w:after="0" w:line="3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QUANTITATIVE AND QUALITATIVE DISCLOSURE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 available liquidity or short-term nature of these financial instruments. As of September 30, 2006, we had $22.3 million deposited in cash and cash equivalents bearing a weighted-average interest rate of 4.8%.</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product sales to foreign customers are denominated in U.S. dollars and we do not receive payments in foreign currency. As such, we are not directly exposed to currency gains or losses resulting from fluctuations in foreign exchange rates.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after evaluating the effectiveness of our disclosure controls and procedures (as defined in Securities Exchange Act of 1934 (the “Exchange Act”) Rules 13a-15(e) and 15d-15(e)) as of the end of the period covered by this report, have concluded that as of September 30, 2006, our disclosure controls and procedures were effective to ensure that information required to be disclosed in the reports that we file or submit under the Exchange Act (i) is recorded, processed, summarized and reported within the time periods specified in the rules and forms of the Securities and Exchange Commission and (ii) is accumulated and communicated to our management, including our Chief Executive Officer and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Within the past nine months, we have hired a new Chief Financial Officer, a Chief Accounting Officer as well as an additional senior accountant. These individuals have prior experience with external financial reporting in a public company environment and should improve our ability to prepare timely consolidated financial statements as well as to address more complex accounting matters, such as business combinations and share-based payments.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also intend to continue to establish new and enhanced systems of internal control that we believe will be necessary to allow management to report on, and our independent auditors to attest to, our internal controls. To improve the timeliness of our financial reporting, we instituted a detailed closing schedule to enhance overall completeness and quality of our reporting. The closing schedule was first implemented in March 2006 and provides guidance on routine processes, such as procedures for handling key account reconciliations, month end cutoff procedures for accounts payable and accrued expenses as well as cutoff procedures for revenue and related receivables. The documentation will be expanded in later periods to provide detailed guidance of our entire closing process including preparation of interim and year-end consolidated financial statements and related notes.</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also taken measures to improve our cutoff and accrual procedures. Specifically, during the past nine months we have implemented a process to improve our estimation of subcontractor expenses to ensure completeness of our direct costs and related revenue. We will continue to review this process to monitor the sufficiency of such policies and procedures.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believe we have material weaknesses or significant deficiencies related to our policies and procedures that pertain to maintenance of records, authorizations of receipts and expenditures, or prevention or timely detection of unauthorized acquisition, use, or disposition of our assets. However, we have not performed specific tests to determine the effectiveness of key controls within these policies and procedures. We intend to monitor those policies and procedures in connection with the establishment of a formally documented system of internal control. We are continuing documentation of our internal controls processes in order to identify additional areas for improvement as well as in anticipation of our future requirements under the Sarbanes-Oxley Act of 2002.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LEGAL PROCEEDINGS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From time to time, we may become involved in litigation in relation to claims arising out of our operations in the normal course of business. While management currently believes the amount of ultimate liability, if any, with respect to these actions will not materially affect our financial position, results of operations, or liquidity, the ultimate outcome of any litigation is uncertain. Were an unfavorable outcome to occur, or if protracted litigation were to ensue, the impact could be material to us.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July 2005, we received a letter from legal counsel retained by a former employee and consultant that such law firm is investigating whether such former employee has any claims against us, including breaches of contract, fiduciary duty, implied covenants of good faith and fair dealing as well as potential violations of minority stockholder rights that such former employee may have as a stockholder in one of our subsidiaries. On May 30, 2006, we were served process of a complaint filed by the former employee in the Circuit Court for the City of Roanoke, Virginia, alleging that we breached our consulting contract with the former employee, and that we are indebted to the former employee in an unspecified amount of at least $100 thousand. We have answered the complaint and intend to defend the company vigorously in this matter. While we believe the former employee’s claims are without merit, counsel for such former employee has indicated that it may file additional claims against us. We cannot predict whether such former employee will file additional litigation against us or our subsidiaries or the ultimate outcome of any such litigation.</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Securities and Exchange Commission also contain forward-looking statements that involve risks or uncertainties. Our actual results could differ materially from those anticipated in these forward-looking statements as a result of certain factors, including the risks we face described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Technologies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effectively, our revenues and profits could be adversely affected.</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While historically we have developed and commercialized only a few products at a time, we plan to grow by developing and commercializing multiple products concurrently across many industries, technologies and markets. Our ability to grow by developing and commercializing multiple products simultaneously requires that we manage a diverse range of projects, and expand our personnel resources. Our inability to do any of these could prevent us from successfully implementing our growth strategy, and our revenues and profits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advance the development of multiple promising potential products concurrently, we need to manage effectively the logistics of maintaining the requisite corporate, operational, administrative and financing functions for each of these product opportunities. Potentially expanding our operations into new geographic areas and relying on multiple facilities to develop and manufacture different products concurrently pose additional challenges. We have little experience in managing these functions simultaneously for multiple projects in development or in building new infrastructure and integrating the operations of various facilities. If we cannot manage this process successfully, we may be subject to operating difficulties, additional expenditures and limited revenue growth.</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need to expand our personnel resources to grow our business effectively. We believe that sustained growth at a higher rate will place a strain on our management, as well as on our other human resources.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manage this growth, we must continue to attract and retain qualified management, professional, scientific and technical and operating personnel. During the quarter ended September 30, 2006, the labor market, particularly for highly-specialized scientists and engineers remained tight. If we are unable to recruit a sufficient number of qualified personnel, we may be unable to staff and manage projects adequately, which may slow the rate of growth of our contract research revenue or our product development efforts.</w:t>
      </w:r>
    </w:p>
    <w:p>
      <w:pPr>
        <w:spacing w:after="0" w:line="22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have incurred recent losses, and because our strategy for expansion may be costly to implement, we may experience continuing losses which may be significant.</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incurred consolidated net losses of approximately $2.0 million and $6.8 million for the year ended December 31, 2005 and the nine months ended September 30, 2006, respectively. We expect to continue to incur significant additional expenses as we expand our business, including increased expenses for research and development, sales and marketing, manufacturing, finance and accounting personnel and expenses associated with being a public company.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expect that we may likely continue to incur losses for the foreseeable future, and these losses could be substantial.</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Because of the numerous risks and uncertainties associated with our business and our expansion strategy, we are unable to predict when or if we will be able to achieve profitability again. If our revenues do not increase, or if our expenses increase at a greater rate than our revenues, we will continue to experience losses. Even if we do achieve profitability, we may not be able to sustain or increase our profitability on a quarterly or annual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train and retain skilled employees would adversely affect our business and operating results.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availability of highly trained and skilled technical and professional personnel is critical to our future growth and profitability. Competition for scientists, engineers, technicians and professional personnel is intense and competitors aggressively recruit key employees. We have recently experienced difficulties in recruiting and hiring these personnel as a result of the tight labor market in certain fields. This fact, combined with our growth strategy and future needs for additional experienced personnel, particularly in highly specialized areas such as nanomaterial manufacturing and innovative ultrasound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where the supply of experienced qualified candidates is limited. Any failure to do so would have an adverse effect on our business.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our future success depends in a large part upon the continued service of key members of our senior management team. In particular, our Chairman, CEO and founder, Kent A. Murphy, Ph.D., is essential to our overall management as well as the development of our technologies, our culture and our strategic direction. All of our executive officers and key employees are at-will employees, and, except with respect to Kent A. Murphy, Ph.D., we do not maintain any key-person life insurance policies. The loss of any of our management or key personnel could seriously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and developing new products to meet those needs.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success of our business model depends on our ability to identify correctly market needs for new technologies. We intend to identify new market needs, but we may not always have success in doing so, in part, because our contract research largely centers on identification and development of unproven technologies, often for new or emerging markets. Furthermore, we must identify the most promising technologies from a sizable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growth strategy requires that we not only identify new technologies that meet market needs, but that we also develop successful commercial products that address those needs. We face several challenges in developing successful new products. Many of our existing products and those currently under development—including our Trimetasphere™ carbon nanomaterials, which are nanomaterials in the form of a carbon sphere with three metal atoms enclosed inside—are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20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rely and will continue to rely on contract research for a significant portion of our revenues. Any decrease in these revenues, including Small Business Innovation Research, or SBIR, revenues, could adversely affect our business.</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derive a significant portion of our revenues from contract research that we perform for third parties. Contract research accounted for approximately 93.5% and 83.7% of our consolidated total revenues for the year ended December 31, 2005 and the nine months ended September 30, 2006, respectively. SBIR revenues accounted for approximately 59.8% and 65.2% of our consolidated total revenues for the year ended December 31, 2005 and the nine months ended September 30, 2006, respectively, and 52.8% of our pro forma consolidated total revenues, which include the operations of Luna Technologies for the year ended December 31, 2005. Contract research will remain a significant portion of our consolidated total revenues for the foreseeable future. Our strategy for developing innovative technologies and products depends in large part on our ability to continue to enter into and generate revenues from contract research, including in the near term SBIR contracts, for which we must comply with certain eligibility criteria. Our contract research customer base includes government agencies, corporations and academic institutions. Our customers are not obligated to extend their agreements with us. In addition, our contracts with government agencies, which accounted for approximately 93.3% and 88.6% of our contract research revenues for the year ended December 31, 2005 and the nine months ended September 30, 2006, respectively, provide that the U.S. government may terminate funding prior to the expiration of these contracts, regardless of whether we have demonstrated technological feasibility or have met specified milestones. In addition, we may not be successful in securing future contracts. Our customers’ priorities regarding funding for certain projects may change and funding resources may no longer be available at previous levels.</w:t>
      </w:r>
    </w:p>
    <w:p>
      <w:pPr>
        <w:spacing w:after="0" w:line="20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We rely and will continue to rely on contracts and grants awarded under the SBIR program for a significant portion of our revenues. A finding by the Small Business Administration, or SBA, that we no longer qualify to receive SBIR funding could adversely affect our business.</w:t>
      </w:r>
    </w:p>
    <w:p>
      <w:pPr>
        <w:spacing w:after="0" w:line="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may not qualify to participate in the Small Business Administration’s, or SBA’s, SBIR program or receive new SBIR awards from federal agencies in the future. In order to qualify for SBIR contracts and grants,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least 51% of our equity must be owned and controlled by U.S. citizens or permanent resident aliens, or by another entity that is at least 51% owned or controlled by U.S. citizens or permanent resident aliens, and we must have 500 or fewer employees. These eligibility criteria are applied as of the time of the award of a contract or grant. In determining whether we satisfy the 51% equity ownership requirement, agreements to merge, stock options, convertible debt and other similar instruments are given “present effect” by the SBA, as though the underlying securities were actually issued unless the exercisability or conversion of such securities is speculative, remote or beyond the control of the security holder. We therefore believe our outstanding options and warrants held by eligible individuals may be counted as, and our convertible debt may be excluded from, outstanding equity for purposes of meeting the 51% equity ownership requirement.</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that we are currently in compliance with the SBIR eligibility criteria but we cannot provide assurance that the SBA will interpret its regulations in our favor. We must be able to certify that we meet the SBIR ownership and size requirements as of the time we enter into each SBIR contract or grant, and SBA may review our size status in connection with each SBIR contract or grant. As we grow our business, it is foreseeable that we will eventually exceed the SBIR eligibility limitations and we may need to find other sources to fund our research and development efforts. If we are unsuccessful in obtaining additional contracts or funding grants because we cannot meet the eligibility requirements or if our customers decide to reduce or discontinue support of our products, we may be required to seek alternative sources of revenues or capital.</w:t>
      </w:r>
    </w:p>
    <w:p>
      <w:pPr>
        <w:spacing w:after="0" w:line="20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The SBA could determine that, as a result of Carilion Health System’s equity ownership, the number of our employees exceeds the size limitation placed on SBA contract and SBIR grant recipients, and therefore we will not be eligible to receive future SBA contracts and SBIR grants.</w:t>
      </w:r>
    </w:p>
    <w:p>
      <w:pPr>
        <w:spacing w:after="0" w:line="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the U.S. ownership eligibility criteria discussed above, to be eligible for SBA contracts and SBIR grants, the number of our employees including those of any entities that are considered to be affiliated with us, cannot exceed 500. As of September 30, 2006, we, including all of our divisions, had 184 full-time and 17 part-time employees. However, in determining whether we are affiliated with any other entity, the SBA analyzes whether another entity controls or has the power to control us. If the SBA determines that another entity controls or has the power to control us, it will aggregate that entity’s employees (and the employees of its subsidiaries and affiliates) with our own for purposes of applying the 500 employee test.</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SBA may make an affiliation determination based on stock ownership. For example, the SBA may presume that two or more entities have the power to control a company if the entities each own, control or has the power to control, less than 50 percent of the company’s stock, such minority holdings are equal or approximately equal in size, and the aggregate of the minority holdings is large as compared to any other stock holding. However, this presumption may be rebutted by showing that such control or power to control does not in fact exist. As of September 30, 2006, Carilion Health System held approximately 22.6% of our common stock, and Dr. Kent Murphy held approximately 26.7% of our common stock. Thus, applying the criteria stated above, the SBA could find that both Carilion Health System and Dr. Murphy own less than 50% of the stock, their percentages are roughly equal, and their respective percentages are large compared to any other stock holding. We believe that the relative beneficial ownership of our individual stockholders rebuts the presumption of control by Carilion Health System because the shares held by our executive officers and directors constitute the controlling interest in us. However, if the SBA were to make a determination that we are affiliated with Carilion Health System, we would exceed the size limitations as Carilion Health System has over 500 employees, and we therefore would lose eligibility for new SBA contracts, public contracts, grants and other awards that are set aside for small businesses, including SBIR grants.</w:t>
      </w:r>
    </w:p>
    <w:p>
      <w:pPr>
        <w:spacing w:after="0" w:line="20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depend on government-funded research contracts for most of our contract research revenues, and a decline in government funding of existing or future government research contracts could adversely affect our revenues and cash flows and our ability to fund our growth.</w:t>
      </w:r>
    </w:p>
    <w:p>
      <w:pPr>
        <w:spacing w:after="0" w:line="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Government-funded research accounted for approximately 93.3% and 88.6% of our contract research revenues and 87.2% and 74.2% of our consolidated total revenues for the year ended December 31, 2005 and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nine months ended September 30, 2006, respectively. On a pro forma consolidated basis, which includes the results of operations of Luna Technologies as if acquired on January 1, 2005, government-funded research accounted for 76.9% of our pro forma consolidated total revenues for the year ended December 31, 2005. As a result, we are vulnerable to adverse changes in our revenues and cash flows if a significant number of our government research contracts and subcontracts are simultaneously delayed or canceled for budgetary, performance or other reasons. The U.S. government may cancel these contracts at any time without cause and without penalty or may change its requirements, programs or contract budget, any of which could reduce our revenues and cash flows from U.S. government research contracts. Our revenues and cash flows from U.S. government research 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contract cancellations and changes in agency budgets, our future financial results may be adversely affected by curtailment of the U.S. government’s use of contract research providers, including curtailment due to government budget reductions and related fiscal matters. These or other factors could cause U.S. defense and other federal agencies to conduct research internally rather than through commercial research organizations, to reduce their overall contract research requirements or to exercise their rights to terminate contracts. Any of these actions could limit our ability to obtain new contract awards and adversely affect our revenues and cash flows and our ability to fund our growth.</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cannot successfully transition our revenues mix from contract research revenues to product sales and license revenues, we may not be able to fully execute our business model or grow our business.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model and future growth depend on our ability to transition to a revenues mix that contains significantly larger product sales and license revenues components. Product sales and license revenues potentially offer greater scalability than services-based contract research revenues. Our current plan is to increase our portfolio of commercial products and, accordingly, we expect that our future product sales and license revenues will represent a larger percentage of total revenues. However, if we are unable to develop and grow our product sales and license revenues to augment our contract research revenues, our ability to execute our business model or grow our business could suffer.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products or enhance our existing products, enhance our operating infrastructure, complete our development activities, build our commercial scale manufacturing facilities and acquire complementary businesses and technologies. Accordingly, we may need to engage in equity or debt financings to secure additional funds for these investments. In addition, we were contacted during the third quarter 2006 by counsel representing two former investors in our Luna Technologies subsidiary who assert that they have a contractual right to put a portion of their stock in Luna Innovations back to us. Such investors have stated that they intend to file litigation against us unless we recognize their alleged claim. Based on the advice of counsel, we believe that such right was extinguished in connection with our initial public offering and that such claim is without legal basis. We cannot, however, predict whether such former investors will file litigation against us or the ultimate outcome of such litigation. Any repurchase of outstanding shares of our common stock would result in a reduction in our cash position and could accelerate our need to engage in equity or debt financings.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we raise additional funds through issuances of equity or convertible debt securities, our existing stockholders could suffer significant dilution, and any new equity securities we issue could have rights, preferences and privileges superior to those of holders of our common stock, including shares of common stock sold in our initial public offering. Furthermore, such financings may jeopardize our ability to apply for SBIR grants or qualify for SBIR contracts or grants, and our dependence on SBIR grants may restrict our ability to</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raise additional outside capital. In addition, we may not be able to obtain continued SBIR funding, or other additional financing on terms favorable to us, if at all. In order to retain SBIR eligibility, we may be restricted in our ability to raise certain forms of equity capital from institutional investors. For example, in connection with the closing of our financing with Carilion Health System on December 30, 2005, we were not able to raise all proceeds through the issuance of equity without potentially jeopardizing our SBIR eligibility. We therefore elected to issue debt in the amount of $5.0 million of the total $8.0 million raised in such financing to maintain SBIR eligibility. Under the terms of these notes, we agreed that we will not draw down any amount under our existing senior secured credit facility with First National Bank or incur additional indebtedness other than under certain limited conditions. If we are unable to obtain adequate financing or financing on terms satisfactory to us, when we require it, our ability to continue to support our business growth and to respond to business challenges could be significantly limited.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face or will face substantial competition from a variety of companies in several different markets. Our competitors in contract research include, but are not limited to, companies such as General Dynamics Corporation, Lockheed Martin Corporation, SAIC, Inc. and SRA International, Inc. In the molecular technology solutions products market, our competitors include, but are not limited to, large public manufacturers such as The Dow Chemical Company, E.I. du Pont de Nemours and Company, Rohm and Haas Company and 3M Company, as well as emerging companies. In addition, in the MRI contrast agent market our competitors include Amersham Plc, Berlex Laboratories, Inc., Bracco Diagnostics, Inc., and Mallinckrodt Inc. In the sensor solutions products market, our competitors include, but are not limited to, large companies such as Agilent Technologies, Inc., Analog Devices, Inc., Freescale Semiconductor, Inc., JDS Uniphase Corp., Robert Bosch GmbH and Silicon Sensing, as well as emerging companies.</w:t>
      </w:r>
    </w:p>
    <w:p>
      <w:pPr>
        <w:spacing w:after="0" w:line="118"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products that we have developed or are currently developing will compete with other technologically innovative products as well as products incorporating conventional materials and technologies. We expect that our products will compete with companies in a wide range of industries, including semiconductors, electronics, biotechnology, textiles, alternative energy, military, defense, healthcare, telecommunications, industrial measurement, security applications and consumer electronics.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net revenues may fail to increase or may decline.</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51" w:lineRule="exact"/>
        <w:rPr>
          <w:sz w:val="20"/>
          <w:szCs w:val="20"/>
          <w:color w:val="auto"/>
        </w:rPr>
      </w:pPr>
    </w:p>
    <w:p>
      <w:pPr>
        <w:jc w:val="both"/>
        <w:ind w:firstLine="456"/>
        <w:spacing w:after="0" w:line="252" w:lineRule="auto"/>
        <w:rPr>
          <w:sz w:val="20"/>
          <w:szCs w:val="20"/>
          <w:color w:val="auto"/>
        </w:rPr>
      </w:pPr>
      <w:r>
        <w:rPr>
          <w:rFonts w:ascii="Arial" w:cs="Arial" w:eastAsia="Arial" w:hAnsi="Arial"/>
          <w:sz w:val="18"/>
          <w:szCs w:val="18"/>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w:t>
      </w:r>
    </w:p>
    <w:p>
      <w:pPr>
        <w:spacing w:after="0" w:line="1" w:lineRule="exact"/>
        <w:rPr>
          <w:sz w:val="20"/>
          <w:szCs w:val="20"/>
          <w:color w:val="auto"/>
        </w:rPr>
      </w:pPr>
    </w:p>
    <w:p>
      <w:pPr>
        <w:ind w:right="3700"/>
        <w:spacing w:after="0" w:line="361" w:lineRule="auto"/>
        <w:rPr>
          <w:sz w:val="20"/>
          <w:szCs w:val="20"/>
          <w:color w:val="auto"/>
        </w:rPr>
      </w:pPr>
      <w:r>
        <w:rPr>
          <w:rFonts w:ascii="Arial" w:cs="Arial" w:eastAsia="Arial" w:hAnsi="Arial"/>
          <w:sz w:val="15"/>
          <w:szCs w:val="15"/>
          <w:color w:val="auto"/>
        </w:rPr>
        <w:t>our licensors retain certain rights under the licenses, including the right to grant additional licenses to a substantial portion of our core technology to third parties for noncommercial academic and research use. It is</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difficult to monitor and enforce such noncommercial academic and research uses, and we cannot predict whether the third party licensees would comply with the use restrictions of such licenses. We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that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have succeeded in our efforts to retain title in patents, maintain ownership of intellectual property or in limiting the U.S. government’s rights in our proprietary technologies and intellectual property whether such intellectual property was developed in the performance of a federal funding agreement or developed at private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7"/>
          <w:szCs w:val="17"/>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this intellectual property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Furthermore, the degree of future protection of our proprietary rights is uncertain because legal means afford only limited protection and may not adequately protect our rights or permit us to gain or keep our competitive advantage. The degree of future protection of our proprietary rights is also uncertain for products that are currently in the early stages of development—such as the Trimetasphere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carbon nanomaterials products—because we cannot predict which of these products will ultimately reach the commercial market or whether the commercial versions of these products will incorporate proprietary technologies.</w:t>
      </w:r>
    </w:p>
    <w:p>
      <w:pPr>
        <w:spacing w:after="0" w:line="13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5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and issued patents;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it is possible that none of our pending patent applications or the pending patent applications of our licensors will result in issued patents;</w:t>
      </w:r>
    </w:p>
    <w:p>
      <w:pPr>
        <w:spacing w:after="0" w:line="113" w:lineRule="exact"/>
        <w:rPr>
          <w:rFonts w:ascii="Arial" w:cs="Arial" w:eastAsia="Arial" w:hAnsi="Arial"/>
          <w:sz w:val="16"/>
          <w:szCs w:val="16"/>
          <w:color w:val="auto"/>
        </w:rPr>
      </w:pPr>
    </w:p>
    <w:p>
      <w:pPr>
        <w:ind w:left="780" w:right="4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certain of our products—including our Trimetasphere™ carbon nanomaterials products—do not have foreign patent protection.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Although we are not currently involved in any legal proceedings related to intellectual property, we could incur substantial costs to bring suits in which we may assert our patent rights against others or defend ourselves in suits brought against us. An unfavorable outcome of any such litigation could have a material adverse effect on our business and results of operations.</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vigorously pursue confidentiality agreements and contractual provisions with our collaborators, employees, and consultants to protect our trade secrets and proprietary know-how. These agreements may be breached and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118"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development of our technologies and to achieve or maintain profitability.</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We also rely on trademarks to establish a market identity for Luna and Luna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may claim that we infringe their intellectual property, and we could suffer significant litigation or licensing expense as a result.</w:t>
      </w:r>
    </w:p>
    <w:p>
      <w:pPr>
        <w:spacing w:after="0" w:line="11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If third parties assert claims against us alleging that we infringe their patents or other intellectual property rights—including third parties that have asserted claims against businesses that we have acquired prior to our acquisition of these businesses—we could incur substantial costs and diversion of management resources in defending these claims, and the defense of these claims could have a material adverse effect on our business, financial condition, and results of operations.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 For example, we acquired a business that had received a letter in 2002 from a competitor alleging infringement of certain patents. The competitor sent an additional letter on January 14, 2004 to the business that we acquired, again alleging infringement of the competitor’s patents. Neither we nor the business that we acquired have received any further communications from this third party. We cannot currently predict whether this third party, or any other third party, will assert a claim against us, or whether any third parties that have asserted such claims against businesses that we have acquired will assert claims or pursue infringement litigation against us; nor can we predict the ultimate outcome of any such potential claims or litigation.</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example, we are a party to an exclusive license agreement with NASA for certain patented ultrasound technology. The field of this license is limited to measurement of intracranial pressure and compartment syndrome. We currently engage in ultrasound product development activities in bone strength measurement, embolus detection and detection of concealed weapons. To the extent that these activities are covered by the licensed NASA patents, we may be required to modify our existing license or acquire an additional license from NASA. Although we are in discussions with NASA to potentially modify the field, we cannot currently predict whether NASA will be willing to modify our existing license or grant an additional license to us for these fields of use, or the terms of any such modifications or additional licenses.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w:t>
      </w:r>
    </w:p>
    <w:p>
      <w:pPr>
        <w:spacing w:after="0" w:line="15"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contracts. Government contract laws and regulations affect how we do business with our government customers and, in some instances, impose added costs on our business. A violation of specific laws and regulations could result in the imposition of fines and penalties or the termination of our contracts or debarment from bidding on contracts. 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their convenience, as well as for default based on performance.</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1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March 2003, the Office of Inspector General of the Department of Commerce advised us that the government was investigating anonymous allegations of contract improprieties. We have cooperated fully and extensively with that investigation through interviews and document production. In April 2003, the government advised our regulatory counsel that to date no wrongdoing had been identified, although the government indicated that we may not have fully complied with contractual reporting requirements in one or two instances, which the government did not specify. We believe that the investigation has been resolved favorably, based on statements by the government investigator to our employees in June 2003, and that this matter effectively is at an end absent any advice or communication from the government to the contrary. However, there can be no assurance as to how or whether our relationships, business, financial condition or results of operations will ultimately be affected, if at all, by the investigation.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March 2006, our senior management became aware that seven foreign national citizens who were working for us had access to International Traffic in Arms Regulations, or ITAR, controlled technical data. Such data may be deemed to have been exported/disclosed to certain of these individuals without the required export licenses. We do not believe that exports of ITAR-controlled technical data occurred to any other unauthorized parties. In addition, we do not believe that any disclosures to foreign nationals involved technology related to classified contracts. Following this discovery, in an effort to ensure full compliance with ITAR we submitted voluntary disclosure of these circumstances to the U.S. Department of State (the “Department of State”) in April 2006, and provided additional information regarding the matter to the Department of State in June and September 2006. While the Department of State encourages such voluntary disclosure, we nevertheless could be subject to potential investigation and may be exposed to potential regulatory consequences ranging from a no-action letter, government oversight of facilities and export transactions, monetary penalties, and in extreme cases, debarment from government contracting, denial of export privileges and criminal sanctions.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ranging from monetary fines, assessments, loss of the ability to do business with the U.S. government and certain other criminal penalties.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also be prohibited from commercially selling certain products that we develop under our Contract Research Group or related products based on the same core technologies if the U.S. government determines that</w:t>
      </w:r>
    </w:p>
    <w:p>
      <w:pPr>
        <w:spacing w:after="0" w:line="255" w:lineRule="auto"/>
        <w:rPr>
          <w:sz w:val="20"/>
          <w:szCs w:val="20"/>
          <w:color w:val="auto"/>
        </w:rPr>
      </w:pPr>
      <w:r>
        <w:rPr>
          <w:rFonts w:ascii="Arial" w:cs="Arial" w:eastAsia="Arial" w:hAnsi="Arial"/>
          <w:sz w:val="18"/>
          <w:szCs w:val="18"/>
          <w:color w:val="auto"/>
        </w:rPr>
        <w:t>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subject to significant foreign and domestic government regulations, including environmental and health and safety regulations, and failure to comply with these regulations could harm our business.</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 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to incur potentially significant costs to comply with environmental regulations.</w:t>
      </w:r>
    </w:p>
    <w:p>
      <w:pPr>
        <w:spacing w:after="0" w:line="12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European Union Directive 2002/96/EC on Waste Electrical and Electronic Equipment, known as the “WEEE Directive,” requires producers of certain electrical and electronic equipment, including monitoring instruments, to be financially responsible for specified collection, recycling, treatment and disposal of past and present covered products placed on the market in the European Union. As a manufacturer of covered products, we may be required to register as a producer in some European Union countries, and we may incur some financial responsibility for the collection, recycling, treatment and disposal of both new product sold, and product already sold prior to the WEEE Directive’s enforcement date, including the products of other manufacturers where these are replaced by our own products. European Union Directive 2002/95/EC on the Restriction of the use of Hazardous Substances in electrical and electronic equipment, known as the “RoHS Directive,” restricts the use of certain hazardous substances, including mercury, lead and cadmium in specified covered products; however, the RoHS Directive currently exempts monitoring instruments from its requirements. If the European Commission were to remove this exemption in the future, we would be required to change our manufacturing processes and redesign products regulated under the RoHS Directive in order to be able to continue to offer them for sale within the European Union. For some products, substituting certain components containing regulated hazardous substances may be difficult, costly or result in production delays. We will continue to review the applicability and impact of both directives on the sale of our products within the European Union, and although we cannot currently estimate the extent of such impact, they are likely to result in additional costs and could require us to redesign or change how we manufacture our products, any of which could adversely affect our operating results. Failure to comply with the directives could result in the imposition of fines and penalties, inability to sell covered products in the European Union and loss of revenues.</w:t>
      </w:r>
    </w:p>
    <w:p>
      <w:pPr>
        <w:spacing w:after="0" w:line="12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are committed to complying with and, to our knowledge, are in compliance with, all governmental regulations. We cannot predict the extent to which future legislation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regulation could cause us to incur additional operating expenses, capital expenditures, or restrictions and delays in the development of our products and properties.</w:t>
      </w:r>
    </w:p>
    <w:p>
      <w:pPr>
        <w:spacing w:after="0" w:line="2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ability to develop and market certain of our current and potential products may be hindered as a result of FDA regulatory requirements and a lengthy and expensive approval process.</w:t>
      </w:r>
    </w:p>
    <w:p>
      <w:pPr>
        <w:spacing w:after="0" w:line="51" w:lineRule="exact"/>
        <w:rPr>
          <w:sz w:val="20"/>
          <w:szCs w:val="20"/>
          <w:color w:val="auto"/>
        </w:rPr>
      </w:pPr>
    </w:p>
    <w:p>
      <w:pPr>
        <w:ind w:firstLine="456"/>
        <w:spacing w:after="0" w:line="262" w:lineRule="auto"/>
        <w:rPr>
          <w:sz w:val="20"/>
          <w:szCs w:val="20"/>
          <w:color w:val="auto"/>
        </w:rPr>
      </w:pPr>
      <w:r>
        <w:rPr>
          <w:rFonts w:ascii="Arial" w:cs="Arial" w:eastAsia="Arial" w:hAnsi="Arial"/>
          <w:sz w:val="17"/>
          <w:szCs w:val="17"/>
          <w:color w:val="auto"/>
        </w:rPr>
        <w:t xml:space="preserve">Certain of our current and potential products will require regulatory clearances or approvals prior to commercialization. In particular, our Trimetasphere </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nanomaterial-based MRI contrast agent and our EDAC</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and EN-TACT</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ultrasound diagnostic devices for measuring certain medical conditions will be considered a drug and medical devices, respectively, under the Federal Food, Drug &amp; Cosmetic Act, or FDC Act. Drugs and some medical devices are subject to rigorous preclinical testing and other approval requirements by the Food and Drug Administration, or FDA, pursuant to the FDC Act, and regulations under the FDC Act, as well as by similar health authorities in foreign countries. Various federal statutes and regulations also govern or influence the testing, manufacturing, safety, labeling, packaging, advertising, storage, registration, listing and recordkeeping related to marketing of these products. The process of obtaining these clearances or approvals and the subsequent compliance with appropriate federal statutes and regulations require the expenditure of substantial resources. We cannot be certain that any required FDA or other regulatory approval will be granted or, if granted, will not be withdrawn. Our failure to obtain the necessary regulatory approvals, or our failure to obtain them in a timely manner, will prevent or delay our commercialization of new products and our business or our stock price could be adversely affected.</w:t>
      </w:r>
    </w:p>
    <w:p>
      <w:pPr>
        <w:spacing w:after="0" w:line="22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be obligated to repay part of the proceeds received in connection with a grant from the City of Danville, Virginia, for failing make certain agreed upon expenditures and failing to meet certain employment obligations.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2004, we received a grant of $900 thousand from the City of Danville, Virginia under a Grant Agreement to support the expansion of economic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commercial growth within the City. Under the Grant Agreement, we agreed to locate a nanomaterials manufacturing and research facility and maintain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Danville until March 25, 2009. Our obligations under this Grant Agreement require us to incur significant expenditures in order to retain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grant. Specifically, we agreed under the Grant Agreement to invest at least $5.2 million in capital equipment expenditures and $1.2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facilities by September 25, 2006 and to maintain such investments in our Danville facility until March 25, 2009. We also agreed to create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25, 2006 at least 54 new full-time jobs at the Danville facility at an average annual wage of at least $39 thousand plus benefits, and to maintain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jobs at such facility until March 25, 2009. These contractual requirements obligate us to an annual payroll obligation exceeding $2.0 million until March 25,</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2009. To the extent such hiring results in salaries in excess of the required minimum wages, our annual payroll obligation could be substantially greater than $2.0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As of September 25, 2006, we had not fully met these capital expenditures and job milestones, and, as a result, we may be obligated to repay the City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Danville a portion of the $900 thousand in funds based on a formula of the pro rata shortfall of such expenditures and jobs falling below such required levels.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Because of the failure to meet these milestones and the continuing obligation to maintain our investment and employees at this location through March 25,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classified the full amount of the grant as a liability on our balance sheet in anticipation of potentially returning the funds.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manufacturing our products in commercial quantities in a cost-effective manner, which could adversely impact our business.</w:t>
      </w:r>
    </w:p>
    <w:p>
      <w:pPr>
        <w:spacing w:after="0" w:line="12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produced most of our products on a custom order basis rather than pursuant to large contracts that require production on a large volume basis. Accordingly, other than the commercial manufacture of products by our Luna Technologies Division, we have no experience manufacturing products in large volume. Because our experience in large scale manufacturing is limited, we may encounter unforeseen difficulties in our efforts to manufacture other products or materials in commercial quantities. For example, we may need to develop or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in-license Trimetasphere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nanomaterial purification and isolation technology, which would result in manufacturing delays or shortfalls. We may also encounter difficulties and delays in manufacturing our products for the following reasons:</w:t>
      </w:r>
    </w:p>
    <w:p>
      <w:pPr>
        <w:spacing w:after="0" w:line="76"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plan to expand our manufacturing operations, and our production processes may have to change to accommodate this growth;</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increase our manufacturing output significantly, we will have to attract and retain qualified employees, who are in short supply, for the assembly and testing operations;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have to sub-contract to outside manufacturers which might limit our control of costs and processes;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manufacturing operations may have to comply with government specifications.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are unable to keep up with demand for our products, our revenues could be impaired, market acceptance for our products could be adversely affected and our customers might instead purchase our competitors’ products. Moreover, failure to develop and maintain a U.S. market for goods developed with U.S. government-licensed technology may result in the cancellation of the relevant U.S. government licenses. Our inability to manufacture our products successfully would have a material adverse effect on our revenues.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Even if we are able to manufacture our products on a commercial scale, the cost of manufacturing our products may be higher than we expect. If the costs associated with manufacturing are not significantly less than the prices at which we can sell our products, we may not be able to operate at a profit.</w:t>
      </w:r>
    </w:p>
    <w:p>
      <w:pPr>
        <w:spacing w:after="0" w:line="16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51"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We primarily rely on third-party vendors for the manufacture of the specialized components used in our products. Although we do not have any sole source suppliers of materials, the highly specialized nature of our supply requirements poses risks that we may not be able to locate additional sources of the specialized components required in our business. For example, we are aware of only two manufacturers that produce the special lasers used in our optical test equipment.</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Moreover, none of these third-party vendors is obligated to continue to supply us with components. Our reliance on these vendors subjects us to a number of risks that could impact our ability to manufacture our products and harm our business, including interruption of supply.</w:t>
      </w:r>
    </w:p>
    <w:p>
      <w:pPr>
        <w:spacing w:after="0" w:line="13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Any significant delay or interruption in the supply of components, or our inability to obtain substitute components or materials from alternate sources at acceptable prices in a timely manner, could impair our ability to meet the demand of our customers and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nanotechnology-enabled products are new and may be, or may be perceived as being, harmful to human health or the environment.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believe that none of our current products contain chemicals known by us to be hazardous or subject to environmental regulation, it is possible our current or future products, particularly carbon-based nanomaterials, may become subject to environmental regulation. We intend to develop and sell carbon-based nanomaterials as well as nanotechnology-enabled products, which are products that include nanomaterials as a component to enhance those products’ performance. Nanomaterials and nanotechnology-enabled products have a limited historical safety record. Because of their size or shape or because they may contain harmful elements, such as gadolinium and other rare-earth metals, our products could pose a safety risk to human health or the environment. These characteristics may also cause countries to adopt regulations in the future prohibiting or limiting the manufacture, distribution or use of nanomaterials or nanotechnology-enabled products. Such regulations may inhibit our ability to sell some products containing those materials and thereby harm our business or impair our ability to develop commercially viable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subject of nanotechnology has received negative publicity and has aroused public debate. Government authorities could, for social or other purposes, prohibit or regulate the use of nanotechnology. Ethical and other concerns about nanotechnology could adversely affect acceptance of our potential products or lead to government regulation of nanotechnology-enabled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Luna Technologies Division and our Luna nanoWorks Division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59" w:lineRule="exact"/>
        <w:rPr>
          <w:sz w:val="20"/>
          <w:szCs w:val="20"/>
          <w:color w:val="auto"/>
        </w:rPr>
      </w:pPr>
    </w:p>
    <w:p>
      <w:pPr>
        <w:ind w:left="780" w:right="5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Before our initial public offering, there was no public market for our common stock, and in the future, an active public trading market may not be sustained. The public trading price for our common stock will continue to be affected by a number of factors, including:</w:t>
      </w:r>
    </w:p>
    <w:p>
      <w:pPr>
        <w:spacing w:after="0" w:line="4"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earnings estimates, investors’ perceptions, recommendations by securities analysts or our failure to achieve analysts’ earning estimates;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other factors unrelated to our operating performance or the operating performance of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announcements by us, or our competitors, of acquisitions, new products, significant contracts, commercial relationships or capital commitments;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involvement in,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 and to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lack of, limited or negative industry or security analyst coverage;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our stock price could decline.</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our existing stockholders sell a large number of shares of our common stock or the public market perceives that these sales may occur, the market price of our common stock could decline. We intend to file a Registration Statement on Form S-8 to register approximately 8,491,210 shares of common stock issued, issuable or reserved for issuance under our 2003 Stock Plan and 2006 Equity Incentive Plan, thus permitting the resale of such shares. Once we register these shares, they can be freely sold if vested in the public market upon issuance, subject to the underwriter lock-up agreements, our stock purchase restriction agreements and restrictions on our affiliates. In addition, holders of warrants exercisable for up to 61,214 shares of common stock may exercise those rights and subsequently sell the underlying shares in the public market.</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ThinkEquity Partners LLC, on behalf of the underwriters of our June 2, 2006 initial public offering, may in its sole discretion, at any time without notice, release all or any portion of the shares subject to the lock-up agreements, which would result in more shares being available for sale in the public market at earlier dates. Sales of common stock by existing stockholders in the public market, the availability of these shares for sale, our issuance of securities or the perception that any of these events might occur could materially and adversely affect the market price of our common stock.</w:t>
      </w:r>
    </w:p>
    <w:p>
      <w:pPr>
        <w:spacing w:after="0" w:line="11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addition, employees and former employees holding approximately 1.8 million shares of our common stock or options exerciseable for our common stock have entered into an agreement not to sell more than 20.0% of such shares in any year during the five years following the effective date of our initial public offering, provided, any shares subject to such annual limit not sold in a year may be sold in subsequent years notwithstanding such limitation. Certain members of our management holding options exercisable for approximately 2.2 million shares of our common stock have entered into an agreement not to sell more than</w:t>
      </w:r>
    </w:p>
    <w:p>
      <w:pPr>
        <w:spacing w:after="0" w:line="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15.0% of such shares in any year during the five years following the effective date of our initial public offering, provided, any shares subject to such annual limit not sold in a year may be sold in subsequent years notwithstanding such limitation. We have the right to waive any of these resale restrictions for employees and management at our discretion, and in such instance, the shares would become freely tradable.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and will continue to incur increased costs as a result of being a public company.</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public company, we have and will continue to incur significant legal, accounting and other expenses. We have and will continue to incur costs associated with our public company reporting requirements. We also have and will continue to incur costs associated with corporate governance requirements, including requirements under the Sarbanes-Oxley Act of 2002, as well as rules implemented by the SEC and the National Association of Securities Dealers, Inc., or NASD. We expect these rules and regulations to increase our legal and financial compliance costs and to make some activities more time-consuming and costly. We cannot accurately predict or estimate the amount of additional costs we may incur or the timing of such costs.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of September 30, 2006, our directors and management collectively controlled approximately 49.9% of our outstanding common stock.</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September 30, 2006, our directors and executive officers and their affiliates collectively controlled approximately 49.9% of our outstanding common stock. As a result, these stockholders, if they act together, will be able to influence our management and affairs and all matters requiring stockholder approval, including the election of directors and approval of significant corporate transactions. You and other stockholders will have minimal influence over these actions. This concentration of ownership may have the effect of delaying or preventing a change in control of our company and might adversely affect the market price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period to period, which may reduce our stock price.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which may cause the market price of our common stock to fall. For these reasons, comparing our operating results on a period-to-period basis may not be meaningful, and you should not rely on our past results as an indication of our future performance. Our financial results may be negatively affected by any of the risk factors listed in this “Risk factors” section and, in particular, the following risks:</w:t>
      </w:r>
    </w:p>
    <w:p>
      <w:pPr>
        <w:spacing w:after="0" w:line="62"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reduction of contract research funding;</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by government agencies, academic institutions or corporations not to exercise contract options or to modify, curtail or terminate our major contracts;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estimate or control contract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related to acquisitions, mergers or joint ventures;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one-time financial charges.</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Investors could lose confidence in our financial reports, and our stock price may be adversely affected, if our internal controls over financial reporting are found not to be effective by management or by an independent registered public accounting firm or if we make disclosure of existing or potential significant deficiencies or material weaknesses in those controls.</w:t>
      </w:r>
    </w:p>
    <w:p>
      <w:pPr>
        <w:spacing w:after="0" w:line="5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Beginning with our Annual Report for the year ending December 31, 2007, Section 404 of the Sarbanes-Oxley Act of 2002 requires us to include an internal control report with our Annual Report on Form 10-K. That report must include management’s assessment of the effectiveness of our internal control over financial reporting as of the end of the fiscal year. Additionally, our independent registered public accounting firm will be required to issue a report on management’s assessment of our internal control over financial reporting and a report on their evaluation of the operating effectiveness of our internal control over financial reporting.</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continue to evaluate our existing internal control over financial reporting against the standards adopted by the Public Company Accounting Oversight Board, or PCAOB. During the course of our ongoing evaluation of the internal controls, we may identify areas requiring improvement, and may have to design enhanced processes and controls to address issues identified through this review. Remedying any deficiencies, significant deficiencies or material weaknesses that we or our independent registered public accounting firm may identify, may require us to incur significant costs and expend significant time and management resources. We cannot assure you that any of the measures we implement to remedy any such deficiencies will effectively mitigate or remedy such deficiencies. Investors could lose confidence in our financial reports, and our stock price may be adversely affected, if our internal controls over financial reporting are found not to be effective by management or by an independent registered public accounting firm or if we make disclosure of existing or potential significant deficiencies or material weaknesses in those controls.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b w:val="1"/>
          <w:bCs w:val="1"/>
          <w:i w:val="1"/>
          <w:iCs w:val="1"/>
          <w:color w:val="auto"/>
        </w:rPr>
        <w:t>Our independent auditors have previously identified material weaknesses and significant deficiencies in our internal controls, and if we are unable to develop, implement and maintain appropriate controls we will not be able to comply with applicable regulatory requirements imposed on reporting companies.</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audit of our financial statements for each of the three years in the period ended December 31, 2005, our independent registered public accounting firm identified certain weaknesses in our internal control over financial reporting, which they considered to be material weaknesses and significant deficiencies. Specifically, because we previously lacked appropriate resources and personnel with sufficient experience, our independent registered public accounting firm noted weaknesses in our ability to account for certain complex accounting transactions relating to business combinations and consolidation matters, to account for share-based payments to employees and consultants, as well as weaknesses in our ability to prepare timely consolidated financial statements in accordance with U.S. generally accepted accounting principles and Regulation S-X under the Securities Exchange Act of 1934, as amended. We also lacked adequate cutoff and accrual procedures which materially affected recognition of expenses and, in certain instances, related revenues. These weaknesses led to significant audit adjustments for each of the three years in the period ended December 31, 2005 which had a material effect on our financial statements.</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business operations were relatively small in previous years and, as a result, we have historically operated with very limited staffing of key accounting functions. Such limited staffing historically made it difficult for us to segregate certain accounting functions. Because of these circumstances, we have relied on outside consultants to supplement our internal accounting staff and to meet our financial reporting obligations.</w:t>
      </w:r>
    </w:p>
    <w:p>
      <w:pPr>
        <w:spacing w:after="0" w:line="10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Since December 31, 2005, we have hired a new Chief Financial Officer, a Chief Accounting Officer as well as an additional senior accountant. These individuals have prior experience handling external financial reporting in a public company environment and should improve our ability to prepare timely consolidated financial statements as well to address more complex accounting matters, such as business combinations and share-based payments.</w:t>
      </w:r>
    </w:p>
    <w:p>
      <w:pPr>
        <w:spacing w:after="0" w:line="107"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also intend to establish new and enhanced systems of internal control that we believe will be necessary to allow management to report on, and our independent auditors to attest to, our internal controls. To improve the timeliness of our financial reporting, we have instituted a detailed closing schedule to enhance overall completeness and quality of our reporting. This schedule was first implemented in March 2006 and provides guidance on routine processes, such as procedures for handling key account reconciliations, month end cutoff procedures for accounts payable and accrued expenses as well as cutoff procedures for revenue and related receivables. The documentation will be expanded in later periods to provide detailed guidance of our entire closing process including preparation of interim and year-end consolidated financial statements and related notes. We have also taken measures to improve our accrual procedures.</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Specifically, we have implemented a process to improve our estimation of subcontractor expenses to ensure completeness of our direct costs and related revenue. We will continue to review this process to monitor the sufficiency of such policies and procedures.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we do not believe we have material weaknesses or significant deficiencies related to our policies and procedures that pertain to maintenance of records, authorizations of receipts and expenditures, or prevention or timely detection of unauthorized acquisition, use, or disposition of our assets, we have not performed specific tests to determine the effectiveness of key controls within these policies and procedures. We intend to monitor those policies and procedures in connection with the establishment of a formally documented system of internal control. We are continuing documentation of our internal controls processes in order to identify additional areas for improvement as well as in anticipation of our future requirements under the Sarbanes-Oxley Act of 2002.</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we anticipate being able to implement fully the requirements relating to internal controls and all other applicable requirements of the Sarbanes-Oxley Act of 2002 in a timely fashion, we cannot be certain as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timing of the completion of our evaluation and testing and any necessary remediation or the impact of the same on our operations. Our development, implementation and maintenance of appropriate internal controls will depend materially both on our successful hiring and retention of key senior accounting personnel. If we are not able to complete the assessment required under Section 404 in a timely manner, we and our independent registered public accounting firm would be unable to conclude that our internal control over financial reporting is effective as of December 31, 2007.</w:t>
      </w:r>
    </w:p>
    <w:p>
      <w:pPr>
        <w:spacing w:after="0" w:line="113" w:lineRule="exact"/>
        <w:rPr>
          <w:sz w:val="20"/>
          <w:szCs w:val="20"/>
          <w:color w:val="auto"/>
        </w:rPr>
      </w:pPr>
    </w:p>
    <w:p>
      <w:pPr>
        <w:ind w:right="40" w:firstLine="456"/>
        <w:spacing w:after="0" w:line="251" w:lineRule="auto"/>
        <w:rPr>
          <w:sz w:val="20"/>
          <w:szCs w:val="20"/>
          <w:color w:val="auto"/>
        </w:rPr>
      </w:pPr>
      <w:r>
        <w:rPr>
          <w:rFonts w:ascii="Arial" w:cs="Arial" w:eastAsia="Arial" w:hAnsi="Arial"/>
          <w:sz w:val="18"/>
          <w:szCs w:val="18"/>
          <w:color w:val="auto"/>
        </w:rPr>
        <w:t>If we are unable to retain and attract qualified personnel, to implement and integrate financial reporting and accounting systems or if we are unable to scale these systems to our growth, we may not have adequate, accurate or timely financial information, and we may be unable to meet our reporting obligations or comply with the requirements of the SEC, the NASDAQ Global Market or the Sarbanes-Oxley Act of 2002, which could result in the imposition of sanctions, including the suspension or delisting of our common stock from the NASDAQ Global Market and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price of our class common stock. Further and continued</w:t>
      </w:r>
    </w:p>
    <w:p>
      <w:pPr>
        <w:spacing w:after="0" w:line="4" w:lineRule="exact"/>
        <w:rPr>
          <w:sz w:val="20"/>
          <w:szCs w:val="20"/>
          <w:color w:val="auto"/>
        </w:rPr>
      </w:pPr>
    </w:p>
    <w:p>
      <w:pPr>
        <w:jc w:val="both"/>
        <w:ind w:right="100"/>
        <w:spacing w:after="0" w:line="361" w:lineRule="auto"/>
        <w:rPr>
          <w:sz w:val="20"/>
          <w:szCs w:val="20"/>
          <w:color w:val="auto"/>
        </w:rPr>
      </w:pPr>
      <w:r>
        <w:rPr>
          <w:rFonts w:ascii="Arial" w:cs="Arial" w:eastAsia="Arial" w:hAnsi="Arial"/>
          <w:sz w:val="15"/>
          <w:szCs w:val="15"/>
          <w:color w:val="auto"/>
        </w:rPr>
        <w:t>determinations that there are significant deficiencies or material weaknesses in the effectiveness of our internal control over financial reporting could also reduce our ability to obtain financing or could increase the cost of any financing we obtain and require additional expenditures to comply with applicable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amended and restated certificate of incorporation and bylaws and Delaware law could discourage a takeover.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enable our management to resist a takeover. These provisions include:</w:t>
      </w:r>
    </w:p>
    <w:p>
      <w:pPr>
        <w:spacing w:after="0" w:line="51"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supermajority stockholder vote requirement for amending certain provisions of our amended and restated certificate of incorporation and bylaws; and</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right to issue preferred stock without stockholder approval, which could be used to dilute the stock ownership of a potential hostile acquirer.</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such as expensing of stock options, could result in unfavorable accounting charges or require us to change our compensation policies.</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Accounting methods and policies, including policies governing revenues recognition, expenses, and accounting for stock options are subject to further review, interpretation and guidance from relevant accounting authorities, including the SEC. Changes to, or interpretations of, accounting methods or policies in the future may require us to reclassify, restate or otherwise change or revise our financial statements, including those contained in this Quarterly Report on Form 10-Q. Prior to January 1, 2006, we were not required to record stock-based compensation charges if the employee’s stock option exercise price equals or exceeds the fair market value of our common stock at the date of grant.</w:t>
      </w:r>
    </w:p>
    <w:p>
      <w:pPr>
        <w:spacing w:after="0" w:line="116"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 xml:space="preserve">On December 16, 2004, the FASB issued SFAS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which is a revision of SFAS No. 123, </w:t>
      </w:r>
      <w:r>
        <w:rPr>
          <w:rFonts w:ascii="Arial" w:cs="Arial" w:eastAsia="Arial" w:hAnsi="Arial"/>
          <w:sz w:val="15"/>
          <w:szCs w:val="15"/>
          <w:i w:val="1"/>
          <w:iCs w:val="1"/>
          <w:color w:val="auto"/>
        </w:rPr>
        <w:t xml:space="preserve">Accounting for Stock-Based Compensation </w:t>
      </w:r>
      <w:r>
        <w:rPr>
          <w:rFonts w:ascii="Arial" w:cs="Arial" w:eastAsia="Arial" w:hAnsi="Arial"/>
          <w:sz w:val="15"/>
          <w:szCs w:val="15"/>
          <w:color w:val="auto"/>
        </w:rPr>
        <w:t>(SFAS No. 123R). SFAS No. 123R supersedes APB Opinion No. 25,</w:t>
      </w:r>
      <w:r>
        <w:rPr>
          <w:rFonts w:ascii="Arial" w:cs="Arial" w:eastAsia="Arial" w:hAnsi="Arial"/>
          <w:sz w:val="15"/>
          <w:szCs w:val="15"/>
          <w:i w:val="1"/>
          <w:iCs w:val="1"/>
          <w:color w:val="auto"/>
        </w:rPr>
        <w:t xml:space="preserve"> Accounting for Stock Issued to Employees </w:t>
      </w:r>
      <w:r>
        <w:rPr>
          <w:rFonts w:ascii="Arial" w:cs="Arial" w:eastAsia="Arial" w:hAnsi="Arial"/>
          <w:sz w:val="15"/>
          <w:szCs w:val="15"/>
          <w:color w:val="auto"/>
        </w:rPr>
        <w:t>, and amends SFAS No. 95,</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i w:val="1"/>
          <w:iCs w:val="1"/>
          <w:color w:val="auto"/>
        </w:rPr>
        <w:t xml:space="preserve">Statement of Cash Flows </w:t>
      </w:r>
      <w:r>
        <w:rPr>
          <w:rFonts w:ascii="Arial" w:cs="Arial" w:eastAsia="Arial" w:hAnsi="Arial"/>
          <w:sz w:val="16"/>
          <w:szCs w:val="16"/>
          <w:color w:val="auto"/>
        </w:rPr>
        <w:t>. Generally, the approach in SFAS No. 123R is similar to the approach described in SFAS No. 123. However, SFAS No. 123R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all share-based payments to employees, including grants of employee stock options, to be recognized in the income statement based on their fair values. Pro forma disclosure is no longer an alternative. We are required to adopt SFAS No. 123R on January 1, 2006, and have adopted it as of that date.</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permitted by SFAS No. 123, we accounted for share-based payments to employees through December 31, 2005 using APB Opinion No. 25’s intrinsic value method and, as such, generally recognized no compensation cost for employee stock options. Accordingly, the adoption of SFAS No. 123R’s fair value method will have a significant impact on the presentation of our results of operations, although it will have no impact on our overall financial position. The impact of adoption of SFAS No. 123R cannot be predicted at this time because it will depend on levels of share-based payments granted in the future and the assumptions for the variables which impact the computation.</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rely heavily on stock options to motivate existing employees and to attract new employees. When we are required to expense stock options, we may then choose to reduce our reliance on stock options as a motivation tool. If we reduce our use of stock options, it may be more difficult for us to attract and retain qualified employees. If we do not reduce our reliance on stock options, our reported earnings will be adversely affected.</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 during the Three Months Ended September 30, 3006</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the three months ended September 30, 2006, we issued and sold an aggregate of 29,768 shares of common stock to certain existing and former employees upon the exercise of options awarded prior to the completion of our initial public offering under our 2003 Stock Plan. We received aggregate proceeds of $10,533 as a result of the exercise of these options. The above shares numbers have been adjusted to reflect the 1-for-1.7691911 reverse stock split of our outstanding equity and the conversion of our Class B Common Stock into common stock, both of which were effected prior to or upon the completion of our initial public offering. We believe these transactions were exempt from registration pursuant to Rule 701 promulgated under the Securities Act of 1933, as amended (the “Securities Act”) or Section 4(2) of the Securities 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Sale of Registered Equity Securities</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On June 6, 2006, we completed the initial public offering of our common stock, $0.001 par value per share, pursuant to our Registration Statement on Form S-1, as amended (File No. 333-131764) that was declared effective on June 2, 2006. We sold 3,500,000 shares in the offering at a price to the public of $6.00 per share and received net proceeds of $17.87 million in the offering.</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using, or expect to use, the net proceeds of the offering principally to fund further development and expansion of our products and product candidates, in particular our nanomaterial and ultrasound-related medical product candidates, and for general working capital purposes. We may also use a portion of the net proceeds for the acquisition of, or investment in, companies, technologies, products or assets that complement our business. We have no present commitments or binding agreements to enter into any acquisitions or investments. Pending these uses, we intend to continue to invest the net proceeds of our initial public offering in short-term, investment-grade interest-bearing securities or guaranteed obligations of the U.S. government.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EXHIBITS</w:t>
      </w:r>
    </w:p>
    <w:p>
      <w:pPr>
        <w:spacing w:after="0" w:line="96"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The exhibits listed on the Exhibit Index hereto are filed or incorporated by reference (as stated therein) as part of this Quarterly Report on Form 10-Q. 42</w:t>
      </w:r>
    </w:p>
    <w:p>
      <w:pPr>
        <w:sectPr>
          <w:pgSz w:w="11900" w:h="16838" w:orient="portrait"/>
          <w:cols w:equalWidth="0" w:num="1">
            <w:col w:w="11000"/>
          </w:cols>
          <w:pgMar w:left="240" w:top="459" w:right="6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Luna Innovations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2006</w:t>
      </w:r>
    </w:p>
    <w:p>
      <w:pPr>
        <w:spacing w:after="0" w:line="219" w:lineRule="exact"/>
        <w:rPr>
          <w:sz w:val="20"/>
          <w:szCs w:val="20"/>
          <w:color w:val="auto"/>
        </w:rPr>
      </w:pPr>
    </w:p>
    <w:p>
      <w:pPr>
        <w:ind w:left="7760"/>
        <w:spacing w:after="0"/>
        <w:tabs>
          <w:tab w:leader="none" w:pos="80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ALE</w:t>
      </w:r>
      <w:r>
        <w:rPr>
          <w:rFonts w:ascii="Arial" w:cs="Arial" w:eastAsia="Arial" w:hAnsi="Arial"/>
          <w:sz w:val="16"/>
          <w:szCs w:val="16"/>
          <w:color w:val="auto"/>
        </w:rPr>
        <w:t xml:space="preserve"> E. M</w:t>
      </w:r>
      <w:r>
        <w:rPr>
          <w:rFonts w:ascii="Arial" w:cs="Arial" w:eastAsia="Arial" w:hAnsi="Arial"/>
          <w:sz w:val="13"/>
          <w:szCs w:val="13"/>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Dale E. Messick</w:t>
      </w:r>
    </w:p>
    <w:p>
      <w:pPr>
        <w:jc w:val="center"/>
        <w:ind w:left="60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060"/>
        <w:spacing w:after="0" w:line="222" w:lineRule="auto"/>
        <w:rPr>
          <w:sz w:val="20"/>
          <w:szCs w:val="20"/>
          <w:color w:val="auto"/>
        </w:rPr>
      </w:pPr>
      <w:r>
        <w:rPr>
          <w:rFonts w:ascii="Arial" w:cs="Arial" w:eastAsia="Arial" w:hAnsi="Arial"/>
          <w:sz w:val="14"/>
          <w:szCs w:val="14"/>
          <w:b w:val="1"/>
          <w:bCs w:val="1"/>
          <w:color w:val="auto"/>
        </w:rPr>
        <w:t>(Principal Financial and Accounting Officer</w:t>
      </w:r>
    </w:p>
    <w:p>
      <w:pPr>
        <w:jc w:val="center"/>
        <w:ind w:left="6060"/>
        <w:spacing w:after="0"/>
        <w:rPr>
          <w:sz w:val="20"/>
          <w:szCs w:val="20"/>
          <w:color w:val="auto"/>
        </w:rPr>
      </w:pPr>
      <w:r>
        <w:rPr>
          <w:rFonts w:ascii="Arial" w:cs="Arial" w:eastAsia="Arial" w:hAnsi="Arial"/>
          <w:sz w:val="14"/>
          <w:szCs w:val="14"/>
          <w:b w:val="1"/>
          <w:bCs w:val="1"/>
          <w:color w:val="auto"/>
        </w:rPr>
        <w:t>and duly authorized Officer)</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81"/>
        </w:trPr>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720" w:type="dxa"/>
            <w:vAlign w:val="bottom"/>
          </w:tcPr>
          <w:p>
            <w:pPr>
              <w:jc w:val="right"/>
              <w:ind w:right="15"/>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18"/>
                <w:szCs w:val="18"/>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Amended and Restated Certificate of Incorporation of the Registrant. (Exhibit 3.2)</w:t>
            </w:r>
          </w:p>
        </w:tc>
      </w:tr>
      <w:tr>
        <w:trPr>
          <w:trHeight w:val="316"/>
        </w:trPr>
        <w:tc>
          <w:tcPr>
            <w:tcW w:w="720" w:type="dxa"/>
            <w:vAlign w:val="bottom"/>
          </w:tcPr>
          <w:p>
            <w:pPr>
              <w:jc w:val="right"/>
              <w:ind w:right="15"/>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the Registrant. (Exhibit 3.4)</w:t>
            </w:r>
          </w:p>
        </w:tc>
      </w:tr>
      <w:tr>
        <w:trPr>
          <w:trHeight w:val="318"/>
        </w:trPr>
        <w:tc>
          <w:tcPr>
            <w:tcW w:w="720" w:type="dxa"/>
            <w:vAlign w:val="bottom"/>
          </w:tcPr>
          <w:p>
            <w:pPr>
              <w:jc w:val="right"/>
              <w:ind w:right="15"/>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Employment Agreement, dated July 14, 2006, by and between Dr. Kent A. Murphy and Luna Innovations Incorporated, and exhibits thereto.</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10.1)</w:t>
            </w:r>
          </w:p>
        </w:tc>
      </w:tr>
      <w:tr>
        <w:trPr>
          <w:trHeight w:val="318"/>
        </w:trPr>
        <w:tc>
          <w:tcPr>
            <w:tcW w:w="720" w:type="dxa"/>
            <w:vAlign w:val="bottom"/>
          </w:tcPr>
          <w:p>
            <w:pPr>
              <w:jc w:val="right"/>
              <w:ind w:right="15"/>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Employment Agreement, dated July 14, 2006, by and between John T. Goehrke and Luna Innovations Incorporated, and exhibits thereto. (Exhibit</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440"/>
              <w:spacing w:after="0"/>
              <w:rPr>
                <w:sz w:val="20"/>
                <w:szCs w:val="20"/>
                <w:color w:val="auto"/>
              </w:rPr>
            </w:pPr>
            <w:r>
              <w:rPr>
                <w:rFonts w:ascii="Arial" w:cs="Arial" w:eastAsia="Arial" w:hAnsi="Arial"/>
                <w:sz w:val="18"/>
                <w:szCs w:val="18"/>
                <w:color w:val="auto"/>
              </w:rPr>
              <w:t>10.2)</w:t>
            </w:r>
          </w:p>
        </w:tc>
      </w:tr>
      <w:tr>
        <w:trPr>
          <w:trHeight w:val="318"/>
        </w:trPr>
        <w:tc>
          <w:tcPr>
            <w:tcW w:w="720" w:type="dxa"/>
            <w:vAlign w:val="bottom"/>
          </w:tcPr>
          <w:p>
            <w:pPr>
              <w:jc w:val="right"/>
              <w:ind w:right="15"/>
              <w:spacing w:after="0"/>
              <w:rPr>
                <w:sz w:val="20"/>
                <w:szCs w:val="20"/>
                <w:color w:val="auto"/>
              </w:rPr>
            </w:pPr>
            <w:r>
              <w:rPr>
                <w:rFonts w:ascii="Arial" w:cs="Arial" w:eastAsia="Arial" w:hAnsi="Arial"/>
                <w:sz w:val="18"/>
                <w:szCs w:val="18"/>
                <w:color w:val="auto"/>
              </w:rPr>
              <w:t>10.3(4)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Employment Agreement, dated July 14, 2006, by and between Scott A. Graeff and Luna Innovations Incorporated, and exhibits thereto. (Exhibit</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440"/>
              <w:spacing w:after="0"/>
              <w:rPr>
                <w:sz w:val="20"/>
                <w:szCs w:val="20"/>
                <w:color w:val="auto"/>
              </w:rPr>
            </w:pPr>
            <w:r>
              <w:rPr>
                <w:rFonts w:ascii="Arial" w:cs="Arial" w:eastAsia="Arial" w:hAnsi="Arial"/>
                <w:sz w:val="18"/>
                <w:szCs w:val="18"/>
                <w:color w:val="auto"/>
              </w:rPr>
              <w:t>10.3)</w:t>
            </w:r>
          </w:p>
        </w:tc>
      </w:tr>
      <w:tr>
        <w:trPr>
          <w:trHeight w:val="318"/>
        </w:trPr>
        <w:tc>
          <w:tcPr>
            <w:tcW w:w="720" w:type="dxa"/>
            <w:vAlign w:val="bottom"/>
          </w:tcPr>
          <w:p>
            <w:pPr>
              <w:jc w:val="right"/>
              <w:ind w:right="15"/>
              <w:spacing w:after="0"/>
              <w:rPr>
                <w:sz w:val="20"/>
                <w:szCs w:val="20"/>
                <w:color w:val="auto"/>
              </w:rPr>
            </w:pPr>
            <w:r>
              <w:rPr>
                <w:rFonts w:ascii="Arial" w:cs="Arial" w:eastAsia="Arial" w:hAnsi="Arial"/>
                <w:sz w:val="18"/>
                <w:szCs w:val="18"/>
                <w:color w:val="auto"/>
              </w:rPr>
              <w:t>10.4(5)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Employment Agreement, dated August 29, 2006, by and between Dale E. Messick and Luna Innovations Incorporated, and exhibits thereto.</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10.1)</w:t>
            </w:r>
          </w:p>
        </w:tc>
      </w:tr>
      <w:tr>
        <w:trPr>
          <w:trHeight w:val="324"/>
        </w:trPr>
        <w:tc>
          <w:tcPr>
            <w:tcW w:w="720" w:type="dxa"/>
            <w:vAlign w:val="bottom"/>
          </w:tcPr>
          <w:p>
            <w:pPr>
              <w:jc w:val="right"/>
              <w:ind w:right="15"/>
              <w:spacing w:after="0"/>
              <w:rPr>
                <w:sz w:val="20"/>
                <w:szCs w:val="20"/>
                <w:color w:val="auto"/>
              </w:rPr>
            </w:pPr>
            <w:r>
              <w:rPr>
                <w:rFonts w:ascii="Arial" w:cs="Arial" w:eastAsia="Arial" w:hAnsi="Arial"/>
                <w:sz w:val="18"/>
                <w:szCs w:val="18"/>
                <w:color w:val="auto"/>
              </w:rPr>
              <w:t>10.5(6)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Amended Lease, dated July 20, 2006, by and between Carilion Medical Center and Luna Innovations Incorporated. (Exhibit 10.1)</w:t>
            </w:r>
          </w:p>
        </w:tc>
      </w:tr>
      <w:tr>
        <w:trPr>
          <w:trHeight w:val="324"/>
        </w:trPr>
        <w:tc>
          <w:tcPr>
            <w:tcW w:w="720" w:type="dxa"/>
            <w:vAlign w:val="bottom"/>
          </w:tcPr>
          <w:p>
            <w:pPr>
              <w:ind w:left="12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Co-Operation Agreement, dated August 10, 2006, by and between Luna Technologies, Inc. and Acterna France SAS.</w:t>
            </w:r>
          </w:p>
        </w:tc>
      </w:tr>
      <w:tr>
        <w:trPr>
          <w:trHeight w:val="318"/>
        </w:trPr>
        <w:tc>
          <w:tcPr>
            <w:tcW w:w="720" w:type="dxa"/>
            <w:vAlign w:val="bottom"/>
          </w:tcPr>
          <w:p>
            <w:pPr>
              <w:ind w:left="12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Certification of the Chief Executive Officer pursuant to Rule 13a-14(a) and Rule 15d-14(a) of the Securities Exchange Act of 1934, as adopted</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tcPr>
          <w:p>
            <w:pPr>
              <w:ind w:left="12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the Chief Financial Officer pursuant to Rule 13a-14(a) and Rule 15d-14(a) of the Securities Exchange Act of 1934, as adopted</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720" w:type="dxa"/>
            <w:vAlign w:val="bottom"/>
          </w:tcPr>
          <w:p>
            <w:pPr>
              <w:ind w:left="12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440"/>
              <w:spacing w:after="0"/>
              <w:rPr>
                <w:sz w:val="20"/>
                <w:szCs w:val="20"/>
                <w:color w:val="auto"/>
              </w:rPr>
            </w:pPr>
            <w:r>
              <w:rPr>
                <w:rFonts w:ascii="Arial" w:cs="Arial" w:eastAsia="Arial" w:hAnsi="Arial"/>
                <w:sz w:val="18"/>
                <w:szCs w:val="18"/>
                <w:color w:val="auto"/>
              </w:rPr>
              <w:t>2002.</w:t>
            </w:r>
          </w:p>
        </w:tc>
      </w:tr>
      <w:tr>
        <w:trPr>
          <w:trHeight w:val="318"/>
        </w:trPr>
        <w:tc>
          <w:tcPr>
            <w:tcW w:w="720" w:type="dxa"/>
            <w:vAlign w:val="bottom"/>
          </w:tcPr>
          <w:p>
            <w:pPr>
              <w:ind w:left="12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440"/>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32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June 2, 2006 (file No. 000-52008). The number given in parenthesis indicates the corresponding exhibit number in such Form 8-K.</w:t>
      </w:r>
    </w:p>
    <w:p>
      <w:pPr>
        <w:ind w:left="460" w:right="2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Registration Statement on Form S-1, as amended, dated June 2, 2006 (file No. 333-131764). The number given in parenthesis indicates the corresponding exhibit number in such Form S-1.</w:t>
      </w:r>
    </w:p>
    <w:p>
      <w:pPr>
        <w:ind w:left="460" w:right="2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July 14, 2006 (file No. 000-52008). The number given in parenthesis indicates the corresponding exhibit number in such Form 8-K.</w:t>
      </w:r>
    </w:p>
    <w:p>
      <w:pPr>
        <w:ind w:left="460" w:right="2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July 14, 2006 (file No. 000-52008), as amended by the Registrant’s Current Report on Form 8-K dated July 24, 2006 (file No. 000-52008). The number given in parenthesis indicates the corresponding exhibit number in such Form 8-K dated July 14, 2006.</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August 29, 2006 (file No. 000-52008). The number given in parenthesis indicates the corresponding exhibit number in such Form 8-K.</w:t>
      </w:r>
    </w:p>
    <w:p>
      <w:pPr>
        <w:ind w:left="460" w:right="2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Registrant’s Current Report on Form 8-K dated July 20, 2006 (file No. 000-52008). The number given in parenthesis indicates the corresponding exhibit number in such Form 8-K.</w:t>
      </w:r>
    </w:p>
    <w:p>
      <w:pPr>
        <w:spacing w:after="0" w:line="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Confidential treatment requested for this exhibit.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ind w:left="10520"/>
        <w:spacing w:after="0"/>
        <w:rPr>
          <w:sz w:val="20"/>
          <w:szCs w:val="20"/>
          <w:color w:val="auto"/>
        </w:rPr>
      </w:pPr>
      <w:r>
        <w:rPr>
          <w:rFonts w:ascii="Arial" w:cs="Arial" w:eastAsia="Arial" w:hAnsi="Arial"/>
          <w:sz w:val="16"/>
          <w:szCs w:val="16"/>
          <w:b w:val="1"/>
          <w:bCs w:val="1"/>
          <w:color w:val="auto"/>
        </w:rPr>
        <w:t>Exhibit 10.6</w:t>
      </w:r>
    </w:p>
    <w:p>
      <w:pPr>
        <w:spacing w:after="0" w:line="20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CONFIDENTIAL TREATMENT REQUESTED: Certain portions of this document have been omitted pursuant to a request for confidential treatment and, where applicable, have been marked with an asterisk ("[****]") to denote where omissions have been made. The confidential material has been filed separately with the Securities and Exchange Commission.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CO-OPERATION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made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Luna Technologies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Division of Luna Innovations 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2020 Kraft Dr. Suite 2000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Blacksburg, VA 24060</w:t>
      </w:r>
    </w:p>
    <w:p>
      <w:pPr>
        <w:spacing w:after="0" w:line="16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(hereafter referred to as „LUNA”)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Acterna France SAS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34, Rue Necker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42000 Saint Etienne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France</w:t>
      </w:r>
    </w:p>
    <w:p>
      <w:pPr>
        <w:spacing w:after="0" w:line="16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(hereafter referred to as „ACTERNA”)</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 LUNA is engaged in developing, designing, procuring, manufacturing, selling, marketing, distributing and maintaining the products set forth in Schedule 1 hereto, including spare parts and supply items therefore (in card form developed under this Agreement, the “Luna Products”)</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 ACTERNA is engaged in designing, procuring, manufacturing, selling, marketing, distributing and maintaining the products set forth in Schedule 2, including spare parts and supply items therefore (with custom software developed under this Agreement, the “Acterna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term “Products” shall include to both Luna Products and Acterna Products.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 The parties intend to collaborate on the development, marketing and sales of certain products, such products partially to be developed by LUNA on one side and partially to be developed by ACTERNA on the other side.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 Further, the parties intend to enter into an agreement regarding the marketing, distribution and sale of these products. The product being sold by each party will be a combination of the parties’ respective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THEREFORE IT IS HEREBY AGREED AS FOLLOWS:</w:t>
      </w:r>
    </w:p>
    <w:p>
      <w:pPr>
        <w:spacing w:after="0" w:line="36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Detail</w:t>
      </w:r>
    </w:p>
    <w:p>
      <w:pPr>
        <w:spacing w:after="0" w:line="96"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1.1</w:t>
        <w:tab/>
        <w:t>LUNA and ACTERNA agree to collaborate on the development, marketing and sales of an OFDR solution combining a highly integrated OFDR module to be developed by Luna and a mainframe belonging to the MTS/TB family of mainframes from ACTERNA, including [****]. The OFDR to be developed by LUNA can only be operated inside the MTS mainframe to be developed by ACTERNA.</w:t>
      </w:r>
    </w:p>
    <w:p>
      <w:pPr>
        <w:spacing w:after="0" w:line="59" w:lineRule="exact"/>
        <w:rPr>
          <w:sz w:val="20"/>
          <w:szCs w:val="20"/>
          <w:color w:val="auto"/>
        </w:rPr>
      </w:pPr>
    </w:p>
    <w:p>
      <w:pPr>
        <w:jc w:val="both"/>
        <w:ind w:left="460" w:right="200" w:hanging="445"/>
        <w:spacing w:after="0" w:line="306" w:lineRule="auto"/>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LUNA shall use commercially reasonable efforts to develop a highly integrated OFDR (Optical Frequency Domain Reflectometer) module according the specifications as set forth in Schedule 3. This includes the hardware development as well as the development of embedded application firmware. LUNA shall use commercially reasonable efforts to complete such development according to the roadmap as set forth in Schedule 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6" w:name="page47"/>
    <w:bookmarkEnd w:id="4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w:t>
      </w:r>
      <w:r>
        <w:rPr>
          <w:sz w:val="20"/>
          <w:szCs w:val="20"/>
          <w:color w:val="auto"/>
        </w:rPr>
        <w:tab/>
      </w:r>
      <w:r>
        <w:rPr>
          <w:rFonts w:ascii="Arial" w:cs="Arial" w:eastAsia="Arial" w:hAnsi="Arial"/>
          <w:sz w:val="16"/>
          <w:szCs w:val="16"/>
          <w:color w:val="auto"/>
        </w:rPr>
        <w:t>ACTERNA shall, for its [***], use commercially reasonable efforts to develop a new user interface according to the specifications as set forth in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 4 that will drive the OFDR application. This user interface software will also allow to configure the OFDR module and also display the traces and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 the measurement results. Acterna will also use commercially reasonable efforts to develop a new backplane board for the [****] enclosure if it 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decided to integrate the OFDR module inside the [****] platform. ACTERNA shall use commercially reasonable efforts to complete such development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 to the roadmap as set forth in Schedule 7.</w:t>
      </w:r>
    </w:p>
    <w:p>
      <w:pPr>
        <w:spacing w:after="0" w:line="84" w:lineRule="exact"/>
        <w:rPr>
          <w:sz w:val="20"/>
          <w:szCs w:val="20"/>
          <w:color w:val="auto"/>
        </w:rPr>
      </w:pPr>
    </w:p>
    <w:p>
      <w:pPr>
        <w:ind w:left="460" w:right="520" w:hanging="445"/>
        <w:spacing w:after="0" w:line="332" w:lineRule="auto"/>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parties shall co-operate regarding the respective developments on the basis of good faith. Each party undertakes to provide to the other party the information regarding its own products / developments such other party reasonably requires for its development.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avoidance of any doubt, the Non Disclosure Agreement concluded between the parties on February 13, 2006, shall apply to such information.</w:t>
      </w:r>
    </w:p>
    <w:p>
      <w:pPr>
        <w:spacing w:after="0" w:line="113"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1.5</w:t>
        <w:tab/>
        <w:t>The roadmap regarding the above described developments, including the provision of prototypes to the respective other party for testing purposes, is attached and bincorporated as Schedule 7 to this Agreement. Each party’s timely performance of development obligations under according to the roadmap is dependent on the other party’s timely and effective satisfaction of its responsibilities hereunder, and timely decisions and approvals by the other party. [****].</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units shall be provided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Title in such units /software shall transfer to the receiving party. The parties shall treat the respective other party’s units with a reasonable degree of care.</w:t>
      </w:r>
    </w:p>
    <w:p>
      <w:pPr>
        <w:spacing w:after="0" w:line="31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Costs</w:t>
      </w:r>
    </w:p>
    <w:p>
      <w:pPr>
        <w:spacing w:after="0" w:line="96" w:lineRule="exact"/>
        <w:rPr>
          <w:rFonts w:ascii="Arial" w:cs="Arial" w:eastAsia="Arial" w:hAnsi="Arial"/>
          <w:sz w:val="18"/>
          <w:szCs w:val="18"/>
          <w:b w:val="1"/>
          <w:bCs w:val="1"/>
          <w:u w:val="single" w:color="auto"/>
          <w:color w:val="auto"/>
        </w:rPr>
      </w:pPr>
    </w:p>
    <w:p>
      <w:pPr>
        <w:ind w:left="460" w:right="220"/>
        <w:spacing w:after="0" w:line="268"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Each party bears the costs for its developments as conducted according to this Agreement. Under no circumstances a party shall have a claim against the other party regarding the reimbursement of such costs.</w:t>
      </w:r>
    </w:p>
    <w:p>
      <w:pPr>
        <w:spacing w:after="0" w:line="24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DISTRIBUTION AND SALE</w:t>
      </w:r>
    </w:p>
    <w:p>
      <w:pPr>
        <w:spacing w:after="0" w:line="9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Grant of Distribution Rights</w:t>
      </w:r>
    </w:p>
    <w:p>
      <w:pPr>
        <w:spacing w:after="0" w:line="96" w:lineRule="exact"/>
        <w:rPr>
          <w:sz w:val="20"/>
          <w:szCs w:val="20"/>
          <w:color w:val="auto"/>
        </w:rPr>
      </w:pPr>
    </w:p>
    <w:p>
      <w:pPr>
        <w:ind w:left="460" w:right="340" w:hanging="445"/>
        <w:spacing w:after="0" w:line="268" w:lineRule="auto"/>
        <w:tabs>
          <w:tab w:leader="none" w:pos="440" w:val="left"/>
        </w:tabs>
        <w:rPr>
          <w:sz w:val="20"/>
          <w:szCs w:val="20"/>
          <w:color w:val="auto"/>
        </w:rPr>
      </w:pPr>
      <w:r>
        <w:rPr>
          <w:rFonts w:ascii="Arial" w:cs="Arial" w:eastAsia="Arial" w:hAnsi="Arial"/>
          <w:sz w:val="18"/>
          <w:szCs w:val="18"/>
          <w:color w:val="auto"/>
        </w:rPr>
        <w:t>3.1</w:t>
        <w:tab/>
        <w:t>The parties to this agreement will act as distributor for the respective other party’s Products developed under this agreement. Thus, the following terms shall be applied depending on which Product is concerned.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 Luna Products are concerned, the term MANUFACTURER shall refer to LUNA and the term DISTRIBUTOR shall refer to ACTERNA.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 Acterna Products are concerned, the term MANUFACTURER shall refer to ACTERNA and the term DISTRIBUTOR shall refer to LUNA.</w:t>
      </w:r>
    </w:p>
    <w:p>
      <w:pPr>
        <w:spacing w:after="0" w:line="113"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3.2</w:t>
        <w:tab/>
        <w:t>MANUFACTURER hereby grants to DISTRIBUTOR and DISTRIBUTOR hereby accepts the right to distribute through resale, in the case of hardware Products, and to distribute under sublicense, in the case of software Products, and generally to market such Products of the other party purchased hereunder as defined on p. 1, A and B, solely as part of a combination of the parties’ respective Products.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7" w:name="page48"/>
    <w:bookmarkEnd w:id="47"/>
    <w:p>
      <w:pPr>
        <w:ind w:left="460" w:hanging="445"/>
        <w:spacing w:after="0" w:line="291"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w:t>
      </w:r>
      <w:r>
        <w:rPr>
          <w:sz w:val="20"/>
          <w:szCs w:val="20"/>
          <w:color w:val="auto"/>
        </w:rPr>
        <w:tab/>
      </w:r>
      <w:r>
        <w:rPr>
          <w:rFonts w:ascii="Arial" w:cs="Arial" w:eastAsia="Arial" w:hAnsi="Arial"/>
          <w:sz w:val="16"/>
          <w:szCs w:val="16"/>
          <w:color w:val="auto"/>
        </w:rPr>
        <w:t>The Parties agree that DISTRIBUTOR’s distribution rights under this Agreement with respect to the other party’s Products shall be limited to the Territories and customer groups as set forth in Schedule 5 hereto. In certain Territories and amongst certain groups of customers (the “Customer Groups”), DISTRIBUTOR’s distribution rights shall be exclusive. These exclusive Territories and Customer Groups are identified in Schedule 5 hereto. Exclusivity shall mean that the MANUFACTURER shall neither use other third parties for the distribution of the Products in the respective Territories or amongst the respective Customer Groups (regardless of the form of such distribution, in particular but not limited to distributorship or agency), nor shall the MANUFACTURER make direct sales in the respective Territories or to the respective Customer Groups.</w:t>
      </w:r>
    </w:p>
    <w:p>
      <w:pPr>
        <w:spacing w:after="0" w:line="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DISTRIBUTOR shall have the right to distribute the Products through sub-distributors.</w:t>
      </w:r>
    </w:p>
    <w:p>
      <w:pPr>
        <w:spacing w:after="0" w:line="28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Term</w:t>
      </w:r>
    </w:p>
    <w:p>
      <w:pPr>
        <w:spacing w:after="0" w:line="96" w:lineRule="exact"/>
        <w:rPr>
          <w:rFonts w:ascii="Arial" w:cs="Arial" w:eastAsia="Arial" w:hAnsi="Arial"/>
          <w:sz w:val="18"/>
          <w:szCs w:val="18"/>
          <w:b w:val="1"/>
          <w:bCs w:val="1"/>
          <w:u w:val="single" w:color="auto"/>
          <w:color w:val="auto"/>
        </w:rPr>
      </w:pPr>
    </w:p>
    <w:p>
      <w:pPr>
        <w:ind w:left="460" w:right="60"/>
        <w:spacing w:after="0" w:line="323" w:lineRule="auto"/>
        <w:rPr>
          <w:rFonts w:ascii="Arial" w:cs="Arial" w:eastAsia="Arial" w:hAnsi="Arial"/>
          <w:sz w:val="18"/>
          <w:szCs w:val="18"/>
          <w:b w:val="1"/>
          <w:bCs w:val="1"/>
          <w:u w:val="single" w:color="auto"/>
          <w:color w:val="auto"/>
        </w:rPr>
      </w:pPr>
      <w:r>
        <w:rPr>
          <w:rFonts w:ascii="Arial" w:cs="Arial" w:eastAsia="Arial" w:hAnsi="Arial"/>
          <w:sz w:val="15"/>
          <w:szCs w:val="15"/>
          <w:color w:val="auto"/>
        </w:rPr>
        <w:t>The Agreement shall take effect on the latest date appearing on page 13, the signature page of this agreement (the „Commencement date”) notwithstanding the date hereof and shall endure for a period of 3 years from the Commencement Date. After the initial period of 3 years, this Agreement shall renew for further terms of 1 year until or unless terminated by either party giving to the other not less than six (6) months prior written notice. For the avoidance of doubt, the sections specified in 21.3 will survive the termination of this agreement according to conditions described in the respective Articles.</w:t>
      </w:r>
    </w:p>
    <w:p>
      <w:pPr>
        <w:spacing w:after="0" w:line="213" w:lineRule="exact"/>
        <w:rPr>
          <w:rFonts w:ascii="Arial" w:cs="Arial" w:eastAsia="Arial" w:hAnsi="Arial"/>
          <w:sz w:val="18"/>
          <w:szCs w:val="18"/>
          <w:b w:val="1"/>
          <w:bCs w:val="1"/>
          <w:u w:val="single" w:color="auto"/>
          <w:color w:val="auto"/>
        </w:rPr>
      </w:pPr>
    </w:p>
    <w:p>
      <w:pPr>
        <w:ind w:left="460" w:hanging="452"/>
        <w:spacing w:after="0"/>
        <w:tabs>
          <w:tab w:leader="none" w:pos="460" w:val="left"/>
        </w:tabs>
        <w:numPr>
          <w:ilvl w:val="0"/>
          <w:numId w:val="2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Technical Information</w:t>
      </w:r>
    </w:p>
    <w:p>
      <w:pPr>
        <w:spacing w:after="0" w:line="96" w:lineRule="exact"/>
        <w:rPr>
          <w:sz w:val="20"/>
          <w:szCs w:val="20"/>
          <w:color w:val="auto"/>
        </w:rPr>
      </w:pPr>
    </w:p>
    <w:p>
      <w:pPr>
        <w:ind w:left="460" w:right="140" w:hanging="445"/>
        <w:spacing w:after="0" w:line="259" w:lineRule="auto"/>
        <w:tabs>
          <w:tab w:leader="none" w:pos="440" w:val="left"/>
        </w:tabs>
        <w:rPr>
          <w:sz w:val="20"/>
          <w:szCs w:val="20"/>
          <w:color w:val="auto"/>
        </w:rPr>
      </w:pPr>
      <w:r>
        <w:rPr>
          <w:rFonts w:ascii="Arial" w:cs="Arial" w:eastAsia="Arial" w:hAnsi="Arial"/>
          <w:sz w:val="18"/>
          <w:szCs w:val="18"/>
          <w:color w:val="auto"/>
        </w:rPr>
        <w:t>5.1</w:t>
        <w:tab/>
        <w:t>Upon execution of this Agreement, MANUFACTURER immediately will step by step at its own cost furnish to DISTRIBUTOR reproducible copies in English of all available documentation, data and component lists that MANUFACTURER possesses and has the right to provide, and that are necessary to enable DISTRIBUTOR to sell the Products.</w:t>
      </w:r>
    </w:p>
    <w:p>
      <w:pPr>
        <w:spacing w:after="0" w:line="59" w:lineRule="exact"/>
        <w:rPr>
          <w:sz w:val="20"/>
          <w:szCs w:val="20"/>
          <w:color w:val="auto"/>
        </w:rPr>
      </w:pPr>
    </w:p>
    <w:p>
      <w:pPr>
        <w:ind w:left="460" w:right="240" w:hanging="445"/>
        <w:spacing w:after="0" w:line="268" w:lineRule="auto"/>
        <w:tabs>
          <w:tab w:leader="none" w:pos="440" w:val="left"/>
        </w:tabs>
        <w:rPr>
          <w:sz w:val="20"/>
          <w:szCs w:val="20"/>
          <w:color w:val="auto"/>
        </w:rPr>
      </w:pPr>
      <w:r>
        <w:rPr>
          <w:rFonts w:ascii="Arial" w:cs="Arial" w:eastAsia="Arial" w:hAnsi="Arial"/>
          <w:sz w:val="18"/>
          <w:szCs w:val="18"/>
          <w:color w:val="auto"/>
        </w:rPr>
        <w:t>5.2</w:t>
        <w:tab/>
        <w:t>MANUFACTURER undertakes also to keep DISTRIBUTOR fully informed of any material changes, additions or modifications to such documentation, data and component lists that have an effect on performance.</w:t>
      </w:r>
    </w:p>
    <w:p>
      <w:pPr>
        <w:spacing w:after="0" w:line="51"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DISTRIBUTOR has the right to buy [****] demonstration units per Product covered by this Agreement including such Products as added from time to time. The price for such demonstration units will be [****]. Any units that are not retained by DISTRIBUTOR for at least 12 months shall not be considered demonstration units.</w:t>
      </w:r>
    </w:p>
    <w:p>
      <w:pPr>
        <w:spacing w:after="0" w:line="25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Commercial and Technical Assistance</w:t>
      </w:r>
    </w:p>
    <w:p>
      <w:pPr>
        <w:spacing w:after="0" w:line="96" w:lineRule="exact"/>
        <w:rPr>
          <w:sz w:val="20"/>
          <w:szCs w:val="20"/>
          <w:color w:val="auto"/>
        </w:rPr>
      </w:pPr>
    </w:p>
    <w:p>
      <w:pPr>
        <w:ind w:left="460" w:right="320" w:hanging="445"/>
        <w:spacing w:after="0" w:line="335"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MANUFACTURER undertakes during the term of this Agreement, at the request of DISTRIBUTOR, to render from time to time to DISTRIBUTOR reasonable assistance in connection with the demonstration kits, initial demonstration to customers in the Territory, the assembly of spare parts, maintenance, support and marketing of the Products. The cost of such assistance and who shall pay for it will be agreed in advance between the parties.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8" w:name="page49"/>
    <w:bookmarkEnd w:id="48"/>
    <w:p>
      <w:pPr>
        <w:jc w:val="both"/>
        <w:ind w:left="460" w:right="400" w:hanging="445"/>
        <w:spacing w:after="0" w:line="25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6.2</w:t>
        <w:tab/>
        <w:t>DISTRIBUTOR shall continuously and vigorously promote, sell and support the Products through its marketing and sales organizations for sales and support in the Territory. DISTRIBUTOR names the contact persons for Market Development and Market Communication for MANUFACTURER’s Products.</w:t>
      </w:r>
    </w:p>
    <w:p>
      <w:pPr>
        <w:spacing w:after="0" w:line="25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Market Volumes. Purchase and Transfer Prices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Annual sales plans for the Products for the first year of contract duration are set forth on Schedule 5 of this Agreement.</w:t>
      </w:r>
    </w:p>
    <w:p>
      <w:pPr>
        <w:spacing w:after="0" w:line="90" w:lineRule="exact"/>
        <w:rPr>
          <w:sz w:val="20"/>
          <w:szCs w:val="20"/>
          <w:color w:val="auto"/>
        </w:rPr>
      </w:pPr>
    </w:p>
    <w:p>
      <w:pPr>
        <w:ind w:left="460" w:right="360" w:hanging="445"/>
        <w:spacing w:after="0" w:line="268" w:lineRule="auto"/>
        <w:tabs>
          <w:tab w:leader="none" w:pos="440" w:val="left"/>
        </w:tabs>
        <w:rPr>
          <w:sz w:val="20"/>
          <w:szCs w:val="20"/>
          <w:color w:val="auto"/>
        </w:rPr>
      </w:pPr>
      <w:r>
        <w:rPr>
          <w:rFonts w:ascii="Arial" w:cs="Arial" w:eastAsia="Arial" w:hAnsi="Arial"/>
          <w:sz w:val="18"/>
          <w:szCs w:val="18"/>
          <w:color w:val="auto"/>
        </w:rPr>
        <w:t>7.2</w:t>
        <w:tab/>
        <w:t>DISTRIBUTOR shall supply to MANUFACTURER formal quarterly rolling forecasts of the projected sales volume of the Products in the designated Territories. The due dates for such rolling forecasts are the 15th day in advance of each calendar quarter.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prices for the Products to be paid by DISTRIBUTOR are fixed Transfer Prices Ex Works MANUFACTURER.</w:t>
      </w:r>
    </w:p>
    <w:p>
      <w:pPr>
        <w:spacing w:after="0" w:line="90" w:lineRule="exact"/>
        <w:rPr>
          <w:sz w:val="20"/>
          <w:szCs w:val="20"/>
          <w:color w:val="auto"/>
        </w:rPr>
      </w:pPr>
    </w:p>
    <w:p>
      <w:pPr>
        <w:jc w:val="both"/>
        <w:ind w:left="460" w:right="280" w:hanging="445"/>
        <w:spacing w:after="0" w:line="306" w:lineRule="auto"/>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Prices will be as set forth in Schedule 6 to this Agreement and will be reviewed and updated (annually) always with the effective date of the respective anniversary of the Commencement Date. At such price review changes requested by either Party are always subject of prior written mutual agreements between the Parties. The new agreed prices become part of the Agreement with an amendment to the applicable schedule hereafter.</w:t>
      </w:r>
    </w:p>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Nothing in this Agreement shall constitute an obligation for DISTRIBUTOR to purchase goods from the MANUFACTURER.</w:t>
      </w:r>
    </w:p>
    <w:p>
      <w:pPr>
        <w:spacing w:after="0" w:line="28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Orders, Delivery, Invoicing</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DISTRIBUTOR may obtain Products by placing orders under this Agreement with MANUFACTURER.</w:t>
      </w:r>
    </w:p>
    <w:p>
      <w:pPr>
        <w:spacing w:after="0" w:line="90" w:lineRule="exact"/>
        <w:rPr>
          <w:sz w:val="20"/>
          <w:szCs w:val="20"/>
          <w:color w:val="auto"/>
        </w:rPr>
      </w:pPr>
    </w:p>
    <w:p>
      <w:pPr>
        <w:ind w:left="460" w:right="300" w:hanging="445"/>
        <w:spacing w:after="0" w:line="298"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MANUFACTURER shall send a written order acknowledgement to DISTRIBUTOR within five (5) working days after receipt of an order from DISTRIBUTOR confirming the delivery dates requested, or setting forth such other delivery dates that DISTRIBUTOR is able to meet (which shall be deemed accepted by MANUFACTURER unless rejected in writing within three (3) working days after the date of MANUFACTURER’s acknowledgement). In the absence of such acknowledgement, DISTRIBUTOR’s order shall be considered rejected.</w:t>
      </w:r>
    </w:p>
    <w:p>
      <w:pPr>
        <w:spacing w:after="0" w:line="32" w:lineRule="exact"/>
        <w:rPr>
          <w:sz w:val="20"/>
          <w:szCs w:val="20"/>
          <w:color w:val="auto"/>
        </w:rPr>
      </w:pPr>
    </w:p>
    <w:p>
      <w:pPr>
        <w:ind w:left="460" w:right="40" w:hanging="445"/>
        <w:spacing w:after="0" w:line="256" w:lineRule="auto"/>
        <w:tabs>
          <w:tab w:leader="none" w:pos="440" w:val="left"/>
        </w:tabs>
        <w:rPr>
          <w:sz w:val="20"/>
          <w:szCs w:val="20"/>
          <w:color w:val="auto"/>
        </w:rPr>
      </w:pPr>
      <w:r>
        <w:rPr>
          <w:rFonts w:ascii="Arial" w:cs="Arial" w:eastAsia="Arial" w:hAnsi="Arial"/>
          <w:sz w:val="18"/>
          <w:szCs w:val="18"/>
          <w:color w:val="auto"/>
        </w:rPr>
        <w:t>8.3</w:t>
        <w:tab/>
        <w:t>Delivery of the Products will be made to the DISTRIBUTOR sales and distribution centers Ex Works MANUFACTURER, and all costs of transportation, insurance, import or other duties shall be met by DISTRIBUTOR. MANUFACTURER will ship Products ordered by DISTRIBUTOR using a method and carrier selected by MANUFACTURER unless otherwise instructed in DISTRIBUTOR’s order. MANUFACTURER will ship freight collect, uninsured, unless otherwise instructed by DISTRIBUTOR’s order.</w:t>
      </w:r>
    </w:p>
    <w:p>
      <w:pPr>
        <w:spacing w:after="0" w:line="62" w:lineRule="exact"/>
        <w:rPr>
          <w:sz w:val="20"/>
          <w:szCs w:val="20"/>
          <w:color w:val="auto"/>
        </w:rPr>
      </w:pPr>
    </w:p>
    <w:p>
      <w:pPr>
        <w:ind w:left="460" w:hanging="445"/>
        <w:spacing w:after="0" w:line="298" w:lineRule="auto"/>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Distributor shall, at its own expense, obtain all import and export licenses and permits, pay customs charges and duty fees, and take all other actions required to accomplish the export and import of the Products purchased by DISTRIBUTOR. DISTRIBUTOR understands that MANUFACTURER is subject to regulation by agencies of the U.S. government, including the U.S. Department of Commerce, which prohibit export or diversion of certain technical products to certain countries. DISTRIBUTOR warrants that it will comply in all respects with the export and re-export restrictions set forth in the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49" w:name="page50"/>
    <w:bookmarkEnd w:id="49"/>
    <w:p>
      <w:pPr>
        <w:ind w:left="452"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export license for every Product delivered to DISTRIBUTOR. On the request of DISTRIBUTOR, MANUFACTURER shall assist DISTRIBUTOR in the process of obtaining such licenses and permits by providing such information about the Products as MANUFACTURER possesses as reasonably necessary for such purposes.</w:t>
      </w:r>
    </w:p>
    <w:p>
      <w:pPr>
        <w:spacing w:after="0" w:line="59" w:lineRule="exact"/>
        <w:rPr>
          <w:sz w:val="20"/>
          <w:szCs w:val="20"/>
          <w:color w:val="auto"/>
        </w:rPr>
      </w:pPr>
    </w:p>
    <w:p>
      <w:pPr>
        <w:ind w:left="452" w:right="280" w:hanging="445"/>
        <w:spacing w:after="0" w:line="286" w:lineRule="auto"/>
        <w:tabs>
          <w:tab w:leader="none" w:pos="432"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All delivery orders from DISTRIBUTOR to MANUFACTURER shall specify (i) the quantities of the Products, (ii) the prices to be invoiced by MANUFACTURER to DISTRIBUTOR according to Schedule 6, (iii) the shipping and invoice address, (iv) specific shipping instructions, if applicable,</w:t>
      </w:r>
    </w:p>
    <w:p>
      <w:pPr>
        <w:ind w:left="452" w:right="780" w:hanging="6"/>
        <w:spacing w:after="0" w:line="261" w:lineRule="auto"/>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requested delivery date, and (vi) such other information MANUFACTURER may reasonably request from time to time required to enable MANUFACTURER to fill the order.</w:t>
      </w:r>
    </w:p>
    <w:p>
      <w:pPr>
        <w:spacing w:after="0" w:line="57" w:lineRule="exact"/>
        <w:rPr>
          <w:sz w:val="20"/>
          <w:szCs w:val="20"/>
          <w:color w:val="auto"/>
        </w:rPr>
      </w:pPr>
    </w:p>
    <w:p>
      <w:pPr>
        <w:ind w:left="452" w:hanging="445"/>
        <w:spacing w:after="0" w:line="298" w:lineRule="auto"/>
        <w:tabs>
          <w:tab w:leader="none" w:pos="432"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The parties undertake to ensure continuity of supply as set forth under this subsection 8.6. Each party shall continue to sell reasonable quantities of its respective Products under this agreement to the other party for resale to any customers with which the other party has a written contract has been entered during the term of this Agreement, to the extent the other party has continuing supply obligations to its customer under such written contract, for a period of up to 5 years following the effective date of the written contract governing such customer relationship.</w:t>
      </w:r>
    </w:p>
    <w:p>
      <w:pPr>
        <w:spacing w:after="0" w:line="228"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Passing of Risk</w:t>
      </w:r>
    </w:p>
    <w:p>
      <w:pPr>
        <w:spacing w:after="0" w:line="96" w:lineRule="exact"/>
        <w:rPr>
          <w:rFonts w:ascii="Arial" w:cs="Arial" w:eastAsia="Arial" w:hAnsi="Arial"/>
          <w:sz w:val="18"/>
          <w:szCs w:val="18"/>
          <w:b w:val="1"/>
          <w:bCs w:val="1"/>
          <w:u w:val="single" w:color="auto"/>
          <w:color w:val="auto"/>
        </w:rPr>
      </w:pPr>
    </w:p>
    <w:p>
      <w:pPr>
        <w:ind w:left="452" w:right="780"/>
        <w:spacing w:after="0" w:line="268"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The risk for loss or damage to the Products passes from MANUFACTURER to DISTRIBUTOR when delivery of the Products has been made to DISTRIBUTOR Ex Works MANUFACTURER.</w:t>
      </w:r>
    </w:p>
    <w:p>
      <w:pPr>
        <w:spacing w:after="0" w:line="247"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3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Payment</w:t>
      </w:r>
    </w:p>
    <w:p>
      <w:pPr>
        <w:spacing w:after="0" w:line="96" w:lineRule="exact"/>
        <w:rPr>
          <w:rFonts w:ascii="Arial" w:cs="Arial" w:eastAsia="Arial" w:hAnsi="Arial"/>
          <w:sz w:val="18"/>
          <w:szCs w:val="18"/>
          <w:b w:val="1"/>
          <w:bCs w:val="1"/>
          <w:u w:val="single" w:color="auto"/>
          <w:color w:val="auto"/>
        </w:rPr>
      </w:pPr>
    </w:p>
    <w:p>
      <w:pPr>
        <w:ind w:left="452" w:right="560"/>
        <w:spacing w:after="0" w:line="332" w:lineRule="auto"/>
        <w:rPr>
          <w:rFonts w:ascii="Arial" w:cs="Arial" w:eastAsia="Arial" w:hAnsi="Arial"/>
          <w:sz w:val="18"/>
          <w:szCs w:val="18"/>
          <w:b w:val="1"/>
          <w:bCs w:val="1"/>
          <w:u w:val="single" w:color="auto"/>
          <w:color w:val="auto"/>
        </w:rPr>
      </w:pPr>
      <w:r>
        <w:rPr>
          <w:rFonts w:ascii="Arial" w:cs="Arial" w:eastAsia="Arial" w:hAnsi="Arial"/>
          <w:sz w:val="16"/>
          <w:szCs w:val="16"/>
          <w:color w:val="auto"/>
        </w:rPr>
        <w:t>Payment for each Products ordered by DISTRIBUTOR shall be made forty-five (45) days following receipt of the MANUFACTURER’s invoice by DISTRIBUTOR, but in no even earlier than forty-five (45) days following delivery Ex Works MANUFACTURER.</w:t>
      </w:r>
    </w:p>
    <w:p>
      <w:pPr>
        <w:spacing w:after="0" w:line="200"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3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Sale, Sub-License</w:t>
      </w:r>
    </w:p>
    <w:p>
      <w:pPr>
        <w:spacing w:after="0" w:line="96" w:lineRule="exact"/>
        <w:rPr>
          <w:sz w:val="20"/>
          <w:szCs w:val="20"/>
          <w:color w:val="auto"/>
        </w:rPr>
      </w:pPr>
    </w:p>
    <w:p>
      <w:pPr>
        <w:jc w:val="both"/>
        <w:ind w:left="452" w:right="180" w:hanging="445"/>
        <w:spacing w:after="0" w:line="259" w:lineRule="auto"/>
        <w:tabs>
          <w:tab w:leader="none" w:pos="432" w:val="left"/>
        </w:tabs>
        <w:rPr>
          <w:sz w:val="20"/>
          <w:szCs w:val="20"/>
          <w:color w:val="auto"/>
        </w:rPr>
      </w:pPr>
      <w:r>
        <w:rPr>
          <w:rFonts w:ascii="Arial" w:cs="Arial" w:eastAsia="Arial" w:hAnsi="Arial"/>
          <w:sz w:val="18"/>
          <w:szCs w:val="18"/>
          <w:color w:val="auto"/>
        </w:rPr>
        <w:t>11.1</w:t>
        <w:tab/>
        <w:t>DISTRIBUTOR agrees to use vigorous efforts at promoting, selling, distributing, advertising generally for creating a demand for the Products throughout the Territories as agreed in Schedule 5 hereto. The responsibilities for the Territories will be reviewed and should be adjusted if necessary no later than 6 months after product launch.</w:t>
      </w:r>
    </w:p>
    <w:p>
      <w:pPr>
        <w:spacing w:after="0" w:line="59" w:lineRule="exact"/>
        <w:rPr>
          <w:sz w:val="20"/>
          <w:szCs w:val="20"/>
          <w:color w:val="auto"/>
        </w:rPr>
      </w:pPr>
    </w:p>
    <w:p>
      <w:pPr>
        <w:ind w:left="452" w:right="20" w:hanging="445"/>
        <w:spacing w:after="0" w:line="323" w:lineRule="auto"/>
        <w:tabs>
          <w:tab w:leader="none" w:pos="43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DISTRIBUTOR is hereby granted a license to distribute the software contained in Schedule 1, respectively Schedule 2 hereto to purchasers of the Products, and to sublicense use of such software to end-user customers of the Products, solely to run the software in object-code form for use in connection with such Products. All sublicenses of such software granted by DISTRIBUTOR hereunder shall be under the end-user license agreement applicable to the software contained in DISTRIBUTOR’s Product, which shall in any event be as protective of the MANUFACTURER’s software as the terms of this Agreement.</w:t>
      </w:r>
    </w:p>
    <w:p>
      <w:pPr>
        <w:spacing w:after="0" w:line="17" w:lineRule="exact"/>
        <w:rPr>
          <w:sz w:val="20"/>
          <w:szCs w:val="20"/>
          <w:color w:val="auto"/>
        </w:rPr>
      </w:pPr>
    </w:p>
    <w:p>
      <w:pPr>
        <w:ind w:left="452" w:right="400" w:hanging="445"/>
        <w:spacing w:after="0" w:line="306" w:lineRule="auto"/>
        <w:tabs>
          <w:tab w:leader="none" w:pos="43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With the Commencement Date of this Agreement MANUFACTURER undertakes to transfer to the DISTRIBUTOR sales organizations all sales responsibilities and sales contacts in the Territories, case by case. On current sales projects of MANUFACTURER in the Territory transfer activities to DISTRIBUTOR will be mutually agreed case by case on the basis of the best practices and customer satisfaction.</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50" w:name="page51"/>
    <w:bookmarkEnd w:id="50"/>
    <w:p>
      <w:pPr>
        <w:ind w:left="452" w:hanging="452"/>
        <w:spacing w:after="0"/>
        <w:tabs>
          <w:tab w:leader="none" w:pos="452" w:val="left"/>
        </w:tabs>
        <w:numPr>
          <w:ilvl w:val="0"/>
          <w:numId w:val="3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Customer Service, Support, Spare Parts and Sub-Assemblies</w:t>
      </w:r>
    </w:p>
    <w:p>
      <w:pPr>
        <w:spacing w:after="0" w:line="96" w:lineRule="exact"/>
        <w:rPr>
          <w:sz w:val="20"/>
          <w:szCs w:val="20"/>
          <w:color w:val="auto"/>
        </w:rPr>
      </w:pPr>
    </w:p>
    <w:p>
      <w:pPr>
        <w:ind w:left="452" w:right="200" w:hanging="445"/>
        <w:spacing w:after="0" w:line="332" w:lineRule="auto"/>
        <w:tabs>
          <w:tab w:leader="none" w:pos="43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MANUFACTURER agrees to supply maintenance or repair support including but not limited to board exchange and calibration services on the Products and its spare parts and sub-assemblies for a period of two (2) years from the date of the last delivery of the Products to DISTRIBUTOR.</w:t>
      </w:r>
    </w:p>
    <w:p>
      <w:pPr>
        <w:spacing w:after="0" w:line="4" w:lineRule="exact"/>
        <w:rPr>
          <w:sz w:val="20"/>
          <w:szCs w:val="20"/>
          <w:color w:val="auto"/>
        </w:rPr>
      </w:pPr>
    </w:p>
    <w:p>
      <w:pPr>
        <w:ind w:left="452" w:right="160" w:hanging="445"/>
        <w:spacing w:after="0" w:line="268" w:lineRule="auto"/>
        <w:tabs>
          <w:tab w:leader="none" w:pos="432" w:val="left"/>
        </w:tabs>
        <w:rPr>
          <w:sz w:val="20"/>
          <w:szCs w:val="20"/>
          <w:color w:val="auto"/>
        </w:rPr>
      </w:pPr>
      <w:r>
        <w:rPr>
          <w:rFonts w:ascii="Arial" w:cs="Arial" w:eastAsia="Arial" w:hAnsi="Arial"/>
          <w:sz w:val="18"/>
          <w:szCs w:val="18"/>
          <w:color w:val="auto"/>
        </w:rPr>
        <w:t>12.2</w:t>
        <w:tab/>
        <w:t>Spare parts and sub assembly prices for DISTRIBUTOR, respectively its customers, as well as repair, maintenance, exchange and calibration services for the Products are set forth in Schedule 6 to this Agreement.</w:t>
      </w:r>
    </w:p>
    <w:p>
      <w:pPr>
        <w:spacing w:after="0" w:line="248"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Non-Solicitation</w:t>
      </w:r>
    </w:p>
    <w:p>
      <w:pPr>
        <w:spacing w:after="0" w:line="96" w:lineRule="exact"/>
        <w:rPr>
          <w:rFonts w:ascii="Arial" w:cs="Arial" w:eastAsia="Arial" w:hAnsi="Arial"/>
          <w:sz w:val="18"/>
          <w:szCs w:val="18"/>
          <w:b w:val="1"/>
          <w:bCs w:val="1"/>
          <w:u w:val="single" w:color="auto"/>
          <w:color w:val="auto"/>
        </w:rPr>
      </w:pPr>
    </w:p>
    <w:p>
      <w:pPr>
        <w:ind w:left="452"/>
        <w:spacing w:after="0" w:line="251"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For the duration of this Agreement and one year following its termination, the parties shall not, directly or through an affiliated or otherwise related company, solicit and/or hire any person who is an employee of the other party, provided that a party shall not be prevented to hire persons who have had no involvement whatsoever in the contractual relationship constituted by this Agreement or business hereunder or related to this Agreement during a period of twelve months preceding the hiring date. For of this Article 13, employees outside of the Fiber Optic Test and Measurement Group of Acterna shall not be considered employees of Acterna, and employees outside of the Luna Technologies Division of Luna Innovations Incorporated shall not be considered employees of Luna.</w:t>
      </w:r>
    </w:p>
    <w:p>
      <w:pPr>
        <w:spacing w:after="0" w:line="4" w:lineRule="exact"/>
        <w:rPr>
          <w:rFonts w:ascii="Arial" w:cs="Arial" w:eastAsia="Arial" w:hAnsi="Arial"/>
          <w:sz w:val="18"/>
          <w:szCs w:val="18"/>
          <w:b w:val="1"/>
          <w:bCs w:val="1"/>
          <w:u w:val="single" w:color="auto"/>
          <w:color w:val="auto"/>
        </w:rPr>
      </w:pPr>
    </w:p>
    <w:p>
      <w:pPr>
        <w:ind w:left="452" w:right="100"/>
        <w:spacing w:after="0" w:line="250"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The other party shall be entitled, without any limitation, to compensation from the infringing party for damages arising out of such breach in excess of the liquidated damages.</w:t>
      </w:r>
    </w:p>
    <w:p>
      <w:pPr>
        <w:ind w:left="452" w:right="20"/>
        <w:spacing w:after="0" w:line="261"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For the avoidance of any doubt, nothing in this Agreement shall prevent the other party from seeking injunctive relief against a breach of this Article 13 by the infringing party.</w:t>
      </w:r>
    </w:p>
    <w:p>
      <w:pPr>
        <w:spacing w:after="0" w:line="253"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3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Successor Products</w:t>
      </w:r>
    </w:p>
    <w:p>
      <w:pPr>
        <w:spacing w:after="0" w:line="96" w:lineRule="exact"/>
        <w:rPr>
          <w:rFonts w:ascii="Arial" w:cs="Arial" w:eastAsia="Arial" w:hAnsi="Arial"/>
          <w:sz w:val="18"/>
          <w:szCs w:val="18"/>
          <w:b w:val="1"/>
          <w:bCs w:val="1"/>
          <w:u w:val="single" w:color="auto"/>
          <w:color w:val="auto"/>
        </w:rPr>
      </w:pPr>
    </w:p>
    <w:p>
      <w:pPr>
        <w:ind w:left="452" w:right="60"/>
        <w:spacing w:after="0" w:line="259"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If MANUFACTURER procures, develops or markets any successor product not covered by this Agreement or being a product of the same description and the use as any of the Products, such product shall be brought within the scope of this Agreement upon DISTRIBUTOR’s request, as one of the Products and the Schedules hereto will be amended accordingly.</w:t>
      </w:r>
    </w:p>
    <w:p>
      <w:pPr>
        <w:spacing w:after="0" w:line="255"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3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Liability</w:t>
      </w:r>
    </w:p>
    <w:p>
      <w:pPr>
        <w:spacing w:after="0" w:line="96" w:lineRule="exact"/>
        <w:rPr>
          <w:sz w:val="20"/>
          <w:szCs w:val="20"/>
          <w:color w:val="auto"/>
        </w:rPr>
      </w:pPr>
    </w:p>
    <w:p>
      <w:pPr>
        <w:ind w:left="452" w:right="60" w:hanging="445"/>
        <w:spacing w:after="0" w:line="255" w:lineRule="auto"/>
        <w:tabs>
          <w:tab w:leader="none" w:pos="432" w:val="left"/>
        </w:tabs>
        <w:rPr>
          <w:sz w:val="20"/>
          <w:szCs w:val="20"/>
          <w:color w:val="auto"/>
        </w:rPr>
      </w:pPr>
      <w:r>
        <w:rPr>
          <w:rFonts w:ascii="Arial" w:cs="Arial" w:eastAsia="Arial" w:hAnsi="Arial"/>
          <w:sz w:val="18"/>
          <w:szCs w:val="18"/>
          <w:color w:val="auto"/>
        </w:rPr>
        <w:t>15.1</w:t>
        <w:tab/>
        <w:t>DISTRIBUTOR shall not be liable to MANUFACTURER and MANUFACTURER shall not be liable to DISTRIBUTOR or to any other person or institution for any loss or damage whatsoever or howsoever caused arising directly or indirectly in connection with the Products, parts, or otherwise other than as imposed by the law relating to this Agreement. DISTRIBUTOR and MANUFACTURER mutually and expressly exclude liability to each other for consequential loss or damage including but not limited to loss of profit, business, revenue, goodwill or anticipated savings, unless such claim is based on gross negligence or wilful misconduct.</w:t>
      </w:r>
    </w:p>
    <w:p>
      <w:pPr>
        <w:spacing w:after="0" w:line="1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51" w:name="page52"/>
    <w:bookmarkEnd w:id="51"/>
    <w:p>
      <w:pPr>
        <w:ind w:left="460" w:right="80" w:hanging="445"/>
        <w:spacing w:after="0" w:line="256"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15.2</w:t>
        <w:tab/>
        <w:t>MANUFACTURER undertakes to take out and maintain adequate insurance cover with a reputable insurance company against liability which MANUFACTURER or DISTRIBUTOR may incur to a customer or any other person in connection with the Products or any information or documentation or training supplied therewith or upon which DISTRIBUTOR has relied. MANUFACTURER shall upon request of DISTRIBUTOR produce its policy of such insurance, the premium receipt and insurance certificate.</w:t>
      </w:r>
    </w:p>
    <w:p>
      <w:pPr>
        <w:spacing w:after="0" w:line="25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Force Majeure</w:t>
      </w:r>
    </w:p>
    <w:p>
      <w:pPr>
        <w:spacing w:after="0" w:line="96" w:lineRule="exact"/>
        <w:rPr>
          <w:rFonts w:ascii="Arial" w:cs="Arial" w:eastAsia="Arial" w:hAnsi="Arial"/>
          <w:sz w:val="18"/>
          <w:szCs w:val="18"/>
          <w:b w:val="1"/>
          <w:bCs w:val="1"/>
          <w:u w:val="single" w:color="auto"/>
          <w:color w:val="auto"/>
        </w:rPr>
      </w:pPr>
    </w:p>
    <w:p>
      <w:pPr>
        <w:ind w:left="460" w:right="280"/>
        <w:spacing w:after="0" w:line="256"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The parties shall be under no liability to each other in any way whatsoever for destruction, damage, delay or any other matters of any nature whatsoever arising out of war, rebellion, civil commotion, strikes, lock outs and industrial disputes, fire explosion, earthquake, act of God, flood, drought or bad weather, the requisitioning or other act or order by any government department, council or other constituted body, or any other similar circumstances or happenings beyond their control.</w:t>
      </w:r>
    </w:p>
    <w:p>
      <w:pPr>
        <w:spacing w:after="0" w:line="258" w:lineRule="exact"/>
        <w:rPr>
          <w:rFonts w:ascii="Arial" w:cs="Arial" w:eastAsia="Arial" w:hAnsi="Arial"/>
          <w:sz w:val="18"/>
          <w:szCs w:val="18"/>
          <w:b w:val="1"/>
          <w:bCs w:val="1"/>
          <w:u w:val="single" w:color="auto"/>
          <w:color w:val="auto"/>
        </w:rPr>
      </w:pPr>
    </w:p>
    <w:p>
      <w:pPr>
        <w:ind w:left="460" w:hanging="452"/>
        <w:spacing w:after="0"/>
        <w:tabs>
          <w:tab w:leader="none" w:pos="460" w:val="left"/>
        </w:tabs>
        <w:numPr>
          <w:ilvl w:val="0"/>
          <w:numId w:val="3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Warranty</w:t>
      </w:r>
    </w:p>
    <w:p>
      <w:pPr>
        <w:spacing w:after="0" w:line="96" w:lineRule="exact"/>
        <w:rPr>
          <w:sz w:val="20"/>
          <w:szCs w:val="20"/>
          <w:color w:val="auto"/>
        </w:rPr>
      </w:pPr>
    </w:p>
    <w:p>
      <w:pPr>
        <w:ind w:left="460" w:right="280" w:hanging="445"/>
        <w:spacing w:after="0" w:line="268" w:lineRule="auto"/>
        <w:tabs>
          <w:tab w:leader="none" w:pos="440" w:val="left"/>
        </w:tabs>
        <w:rPr>
          <w:sz w:val="20"/>
          <w:szCs w:val="20"/>
          <w:color w:val="auto"/>
        </w:rPr>
      </w:pPr>
      <w:r>
        <w:rPr>
          <w:rFonts w:ascii="Arial" w:cs="Arial" w:eastAsia="Arial" w:hAnsi="Arial"/>
          <w:sz w:val="18"/>
          <w:szCs w:val="18"/>
          <w:color w:val="auto"/>
        </w:rPr>
        <w:t>17.1</w:t>
        <w:tab/>
        <w:t>MANUFACTURER warrants that the Products shipped under the scope of this Agreement substantially work within their specifications and conform to local, national and international standards and requirements affecting the Territory.</w:t>
      </w:r>
    </w:p>
    <w:p>
      <w:pPr>
        <w:spacing w:after="0" w:line="51"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17.2</w:t>
        <w:tab/>
        <w:t>MANUFACTURER warrants to DISTRIBUTOR that the Products and parts purchased by DISTRIBUTOR are free from defects in respect of material and workmanship, and MANUFACTURER undertakes to repair or replace the Products, part or sub-assembly found defective within a period of 24 months from Ex Works delivery under this Agreement, subject to compliance with the provisions of (17.3) below.</w:t>
      </w:r>
    </w:p>
    <w:p>
      <w:pPr>
        <w:spacing w:after="0" w:line="59" w:lineRule="exact"/>
        <w:rPr>
          <w:sz w:val="20"/>
          <w:szCs w:val="20"/>
          <w:color w:val="auto"/>
        </w:rPr>
      </w:pPr>
    </w:p>
    <w:p>
      <w:pPr>
        <w:ind w:left="460" w:right="40" w:hanging="445"/>
        <w:spacing w:after="0" w:line="252" w:lineRule="auto"/>
        <w:tabs>
          <w:tab w:leader="none" w:pos="440" w:val="left"/>
        </w:tabs>
        <w:rPr>
          <w:sz w:val="20"/>
          <w:szCs w:val="20"/>
          <w:color w:val="auto"/>
        </w:rPr>
      </w:pPr>
      <w:r>
        <w:rPr>
          <w:rFonts w:ascii="Arial" w:cs="Arial" w:eastAsia="Arial" w:hAnsi="Arial"/>
          <w:sz w:val="18"/>
          <w:szCs w:val="18"/>
          <w:color w:val="auto"/>
        </w:rPr>
        <w:t>17.3</w:t>
        <w:tab/>
        <w:t>Upon receipt of a claim from DISTRIBUTOR under the warranty period agreed in (17.2), MANUFACTURER shall forthwith test and inspect the Products at MANUFACTURER’s expense and return to DISTRIBUTOR, freight paid by MANUFACTURER. Replacement parts, items or Products shall be sent by MANUFACTURER to DISTRIBUTOR freight prepaid Original freight cost from DISTRIBUTOR to MANUFACTURER of deemed defective Products will be borne by DISTRIBUTOR.</w:t>
      </w:r>
    </w:p>
    <w:p>
      <w:pPr>
        <w:spacing w:after="0" w:line="1" w:lineRule="exact"/>
        <w:rPr>
          <w:sz w:val="20"/>
          <w:szCs w:val="20"/>
          <w:color w:val="auto"/>
        </w:rPr>
      </w:pPr>
    </w:p>
    <w:p>
      <w:pPr>
        <w:ind w:left="460" w:right="60"/>
        <w:spacing w:after="0" w:line="253" w:lineRule="auto"/>
        <w:rPr>
          <w:sz w:val="20"/>
          <w:szCs w:val="20"/>
          <w:color w:val="auto"/>
        </w:rPr>
      </w:pPr>
      <w:r>
        <w:rPr>
          <w:rFonts w:ascii="Arial" w:cs="Arial" w:eastAsia="Arial" w:hAnsi="Arial"/>
          <w:sz w:val="18"/>
          <w:szCs w:val="18"/>
          <w:color w:val="auto"/>
        </w:rPr>
        <w:t>Notwithstanding the foregoing, prior to returning any Product, DISTRIBUTOR must obtain a Return Materials Authorization (RMA) number from MANUFACTURER pursuant to MANUFACTURER’s RMA procedures, and in cases where MANUFACTURER is unable to confirm the existence of a defect in any Product returned to MANUFACTURE (“NDF Product”), DISTRIBUTOR shall be responsible to pay or reimburse MANUFACTURER for the shipping costs incurred with respect to the original return of the NDF Product from DISTRIBUTOR to MANUFACTURER, and MANUFACTURER’s return of the NDF Product back to DISTRIBUTOR.</w:t>
      </w:r>
    </w:p>
    <w:p>
      <w:pPr>
        <w:spacing w:after="0" w:line="26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Indemnities</w:t>
      </w:r>
    </w:p>
    <w:p>
      <w:pPr>
        <w:spacing w:after="0" w:line="96"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18.1</w:t>
        <w:tab/>
        <w:t>MANUFACTURER agrees to protect and save harmless and defend at its own expense DISTRIBUTOR from and against any and all third-party claims that allege infringement by MANUFACTURER’s Products of patents, trade marks, industrial designs, copyrights or other intellectual property rights issued under the laws of the United States and any other country affecting the Territory.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2" w:name="page53"/>
    <w:bookmarkEnd w:id="5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18.2</w:t>
      </w:r>
      <w:r>
        <w:rPr>
          <w:sz w:val="20"/>
          <w:szCs w:val="20"/>
          <w:color w:val="auto"/>
        </w:rPr>
        <w:tab/>
      </w:r>
      <w:r>
        <w:rPr>
          <w:rFonts w:ascii="Arial" w:cs="Arial" w:eastAsia="Arial" w:hAnsi="Arial"/>
          <w:sz w:val="16"/>
          <w:szCs w:val="16"/>
          <w:color w:val="auto"/>
        </w:rPr>
        <w:t>MANUFACTURER’s obligations under 18.1 are contingent on: DISTRIBUTOR (i) providing MANUFACTURER prompt notice of any claim described in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18.1 above(ii) MANUFACTURER having the sole right to defend any such claims and make settlements thereof at its own expense, and</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(iii) DISTRIBUTOR providing, at MANUFACTURER’s expense, reasonable assistance in connection with the defense or settlement of the claim.</w:t>
      </w:r>
    </w:p>
    <w:p>
      <w:pPr>
        <w:spacing w:after="0" w:line="107" w:lineRule="exact"/>
        <w:rPr>
          <w:sz w:val="20"/>
          <w:szCs w:val="20"/>
          <w:color w:val="auto"/>
        </w:rPr>
      </w:pPr>
    </w:p>
    <w:p>
      <w:pPr>
        <w:ind w:left="460" w:right="40" w:hanging="445"/>
        <w:spacing w:after="0" w:line="286" w:lineRule="auto"/>
        <w:tabs>
          <w:tab w:leader="none" w:pos="4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6"/>
          <w:szCs w:val="16"/>
          <w:color w:val="auto"/>
        </w:rPr>
        <w:t>MANUFACTURER shall have no obligation under Section 18.1 to the extent any claim of infringement is caused by (i) use of the MANUFACTURER’s Product in combination with any other product not provided by MANUFACTURER if the infringement would not have occurred but for such combination;</w:t>
      </w:r>
    </w:p>
    <w:p>
      <w:pPr>
        <w:ind w:left="460" w:right="40"/>
        <w:spacing w:after="0" w:line="255" w:lineRule="auto"/>
        <w:rPr>
          <w:sz w:val="20"/>
          <w:szCs w:val="20"/>
          <w:color w:val="auto"/>
        </w:rPr>
      </w:pPr>
      <w:r>
        <w:rPr>
          <w:rFonts w:ascii="Arial" w:cs="Arial" w:eastAsia="Arial" w:hAnsi="Arial"/>
          <w:sz w:val="18"/>
          <w:szCs w:val="18"/>
          <w:color w:val="auto"/>
        </w:rPr>
        <w:t>(ii) any alteration or modification of the MANUFACTURER’s Product which MANUFACTURER did not authorize, if the infringement would not have occurred but for such alteration or modification; or (iii) MANUFACTURER’s compliance with DISTRIBUTOR’s design specifications, if the infringement would not have occurred but for MANUFACTURER’s implementation of such specifications.</w:t>
      </w:r>
    </w:p>
    <w:p>
      <w:pPr>
        <w:spacing w:after="0" w:line="25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Patents, Trademarks and Intellectual Property Rights</w:t>
      </w:r>
    </w:p>
    <w:p>
      <w:pPr>
        <w:spacing w:after="0" w:line="96" w:lineRule="exact"/>
        <w:rPr>
          <w:sz w:val="20"/>
          <w:szCs w:val="20"/>
          <w:color w:val="auto"/>
        </w:rPr>
      </w:pPr>
    </w:p>
    <w:p>
      <w:pPr>
        <w:ind w:left="460" w:right="20" w:hanging="445"/>
        <w:spacing w:after="0" w:line="254" w:lineRule="auto"/>
        <w:tabs>
          <w:tab w:leader="none" w:pos="440" w:val="left"/>
        </w:tabs>
        <w:rPr>
          <w:sz w:val="20"/>
          <w:szCs w:val="20"/>
          <w:color w:val="auto"/>
        </w:rPr>
      </w:pPr>
      <w:r>
        <w:rPr>
          <w:rFonts w:ascii="Arial" w:cs="Arial" w:eastAsia="Arial" w:hAnsi="Arial"/>
          <w:sz w:val="18"/>
          <w:szCs w:val="18"/>
          <w:color w:val="auto"/>
        </w:rPr>
        <w:t>19.1</w:t>
        <w:tab/>
        <w:t>The parties acknowledge the any intellectual property (“IP”) continues to vest in the party who owned such IP prior to the commencement of this Agreement. In particular but not limited to, this applies to any trade marks, trade names, copyrights, patents and other intellectual property rights used or embodied in or in connection with a party’s pre-existing products and / or resulting from a party’s previous development efforts. In addition, each party shall continue to own all IP developed by that party following the commencement of this Agreement, regardless of whether such IP was created or acquired in connection with this Agreement. No party shall during or at any time after the expiry or termination of this Agreement in any way question or dispute the other party’s ownership of any such rights.</w:t>
      </w:r>
    </w:p>
    <w:p>
      <w:pPr>
        <w:spacing w:after="0" w:line="63" w:lineRule="exact"/>
        <w:rPr>
          <w:sz w:val="20"/>
          <w:szCs w:val="20"/>
          <w:color w:val="auto"/>
        </w:rPr>
      </w:pPr>
    </w:p>
    <w:p>
      <w:pPr>
        <w:ind w:left="460" w:right="40" w:hanging="445"/>
        <w:spacing w:after="0" w:line="306" w:lineRule="auto"/>
        <w:tabs>
          <w:tab w:leader="none" w:pos="4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MANUFACTURER or DISTRIBUTOR respectively shall not during or after the expiry or termination of this Agreement, without the prior written consent of the other Party, use or adopt any name, trade name, trading style or commercial designation that includes or is similar to or may be mistaken for the whole or any part of any trade mark, trade name, trading style or commercial designation used by the other Party as a trademark.</w:t>
      </w:r>
    </w:p>
    <w:p>
      <w:pPr>
        <w:spacing w:after="0" w:line="22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Confidential Information</w:t>
      </w:r>
    </w:p>
    <w:p>
      <w:pPr>
        <w:spacing w:after="0" w:line="96" w:lineRule="exact"/>
        <w:rPr>
          <w:sz w:val="20"/>
          <w:szCs w:val="20"/>
          <w:color w:val="auto"/>
        </w:rPr>
      </w:pPr>
    </w:p>
    <w:p>
      <w:pPr>
        <w:ind w:left="460" w:hanging="445"/>
        <w:spacing w:after="0" w:line="254" w:lineRule="auto"/>
        <w:tabs>
          <w:tab w:leader="none" w:pos="440" w:val="left"/>
        </w:tabs>
        <w:rPr>
          <w:sz w:val="20"/>
          <w:szCs w:val="20"/>
          <w:color w:val="auto"/>
        </w:rPr>
      </w:pPr>
      <w:r>
        <w:rPr>
          <w:rFonts w:ascii="Arial" w:cs="Arial" w:eastAsia="Arial" w:hAnsi="Arial"/>
          <w:sz w:val="18"/>
          <w:szCs w:val="18"/>
          <w:color w:val="auto"/>
        </w:rPr>
        <w:t>20.1</w:t>
        <w:tab/>
        <w:t>Each party (the “Disclosing Party”) has imparted and may from time to time impart to the other party (the “Receiving Party”) certain confidential information and documentation relating to the Products, its marketing, use, maintenance, operation and software including technical specifications therefore (together with the types of information described as confidential in the Non-Disclosure Agreement between the parties, “Confidential Information”) and the Receiving Party hereby agrees that it shall use such Confidential Information solely for the purposes of this Agreement and that it shall not disclose, whether directly or indirectly, to any third party (including end customers), such information other than is required to carry out the purposes of this Agreement.</w:t>
      </w:r>
    </w:p>
    <w:p>
      <w:pPr>
        <w:spacing w:after="0" w:line="63" w:lineRule="exact"/>
        <w:rPr>
          <w:sz w:val="20"/>
          <w:szCs w:val="20"/>
          <w:color w:val="auto"/>
        </w:rPr>
      </w:pPr>
    </w:p>
    <w:p>
      <w:pPr>
        <w:ind w:left="460" w:right="120" w:hanging="445"/>
        <w:spacing w:after="0" w:line="259" w:lineRule="auto"/>
        <w:tabs>
          <w:tab w:leader="none" w:pos="440" w:val="left"/>
        </w:tabs>
        <w:rPr>
          <w:sz w:val="20"/>
          <w:szCs w:val="20"/>
          <w:color w:val="auto"/>
        </w:rPr>
      </w:pPr>
      <w:r>
        <w:rPr>
          <w:rFonts w:ascii="Arial" w:cs="Arial" w:eastAsia="Arial" w:hAnsi="Arial"/>
          <w:sz w:val="18"/>
          <w:szCs w:val="18"/>
          <w:color w:val="auto"/>
        </w:rPr>
        <w:t>20.2</w:t>
        <w:tab/>
        <w:t>In the event that disclosure is necessary, Receiving Party will obtain the prior written approval of the Disclosing Party and then will obtain from such third parties duly binding agreements to maintain in confidence the information disclosed to the same extent at least as the Receiving Party is so bound to the Disclosing Party 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3" w:name="page54"/>
    <w:bookmarkEnd w:id="53"/>
    <w:p>
      <w:pPr>
        <w:ind w:left="460" w:right="120" w:hanging="445"/>
        <w:spacing w:after="0" w:line="298"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20.3</w:t>
      </w:r>
      <w:r>
        <w:rPr>
          <w:sz w:val="20"/>
          <w:szCs w:val="20"/>
          <w:color w:val="auto"/>
        </w:rPr>
        <w:tab/>
      </w:r>
      <w:r>
        <w:rPr>
          <w:rFonts w:ascii="Arial" w:cs="Arial" w:eastAsia="Arial" w:hAnsi="Arial"/>
          <w:sz w:val="16"/>
          <w:szCs w:val="16"/>
          <w:color w:val="auto"/>
        </w:rPr>
        <w:t>The Receiving Party further agrees that on expiry or termination of this Agreement it shall return or destroy (as the Disclosing Party may instruct) such information and documentation and it shall not itself or through any subsidiary, agent or other party sell, market, distribute, manufacture or otherwise deal with the Products or have the same manufactured for it based on any technical or Confidential Information supplied to it by the Disclosing Party, with the exception of information or action needed to Service the Product (cf Article 12).</w:t>
      </w:r>
    </w:p>
    <w:p>
      <w:pPr>
        <w:spacing w:after="0" w:line="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color w:val="auto"/>
        </w:rPr>
        <w:t>Obligations regarding handling of Confidential Information will remain valid for a period of 5 years following termination of this agreement.</w:t>
      </w:r>
    </w:p>
    <w:p>
      <w:pPr>
        <w:spacing w:after="0" w:line="287"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Termination or Expiry</w:t>
      </w:r>
    </w:p>
    <w:p>
      <w:pPr>
        <w:spacing w:after="0" w:line="96" w:lineRule="exact"/>
        <w:rPr>
          <w:sz w:val="20"/>
          <w:szCs w:val="20"/>
          <w:color w:val="auto"/>
        </w:rPr>
      </w:pPr>
    </w:p>
    <w:p>
      <w:pPr>
        <w:ind w:left="460" w:right="620" w:hanging="445"/>
        <w:spacing w:after="0" w:line="268" w:lineRule="auto"/>
        <w:tabs>
          <w:tab w:leader="none" w:pos="440" w:val="left"/>
        </w:tabs>
        <w:rPr>
          <w:sz w:val="20"/>
          <w:szCs w:val="20"/>
          <w:color w:val="auto"/>
        </w:rPr>
      </w:pPr>
      <w:r>
        <w:rPr>
          <w:rFonts w:ascii="Arial" w:cs="Arial" w:eastAsia="Arial" w:hAnsi="Arial"/>
          <w:sz w:val="18"/>
          <w:szCs w:val="18"/>
          <w:color w:val="auto"/>
        </w:rPr>
        <w:t>21.1</w:t>
        <w:tab/>
        <w:t>Notwithstanding any other provisions herein contained, this Agreement may be terminated forthwith by one Party by notice in writing if any of the following events shall occur:</w:t>
      </w:r>
    </w:p>
    <w:p>
      <w:pPr>
        <w:spacing w:after="0" w:line="5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other Party shall commit any act of bankruptcy, or shall cease to carry on business;</w:t>
      </w:r>
    </w:p>
    <w:p>
      <w:pPr>
        <w:spacing w:after="0" w:line="9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other Party shall at any time be in material default under this Agreement and shall fail to remedy such material default within ninety (90) days. after receiving written notice thereof from the non-defaulting party;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other Party is by any cause prevented from performing its obligations hereunder for a continuous period of three (3) months or for a total period of six</w:t>
      </w:r>
    </w:p>
    <w:p>
      <w:pPr>
        <w:spacing w:after="0" w:line="38" w:lineRule="exact"/>
        <w:rPr>
          <w:rFonts w:ascii="Arial" w:cs="Arial" w:eastAsia="Arial" w:hAnsi="Arial"/>
          <w:sz w:val="16"/>
          <w:szCs w:val="16"/>
          <w:color w:val="auto"/>
        </w:rPr>
      </w:pPr>
    </w:p>
    <w:p>
      <w:pPr>
        <w:ind w:left="460" w:right="300"/>
        <w:spacing w:after="0" w:line="261" w:lineRule="auto"/>
        <w:rPr>
          <w:rFonts w:ascii="Arial" w:cs="Arial" w:eastAsia="Arial" w:hAnsi="Arial"/>
          <w:sz w:val="16"/>
          <w:szCs w:val="16"/>
          <w:color w:val="auto"/>
        </w:rPr>
      </w:pPr>
      <w:r>
        <w:rPr>
          <w:rFonts w:ascii="Arial" w:cs="Arial" w:eastAsia="Arial" w:hAnsi="Arial"/>
          <w:sz w:val="18"/>
          <w:szCs w:val="18"/>
          <w:color w:val="auto"/>
        </w:rPr>
        <w:t>(6) months in any period of twelve (12) consecutive months. If any such event referred to in (i), (ii), or (iii) above shall occur, termination shall become effective forthwith or on the date set forth in such notice.</w:t>
      </w:r>
    </w:p>
    <w:p>
      <w:pPr>
        <w:spacing w:after="0" w:line="57" w:lineRule="exact"/>
        <w:rPr>
          <w:sz w:val="20"/>
          <w:szCs w:val="20"/>
          <w:color w:val="auto"/>
        </w:rPr>
      </w:pPr>
    </w:p>
    <w:p>
      <w:pPr>
        <w:jc w:val="center"/>
        <w:ind w:right="400"/>
        <w:spacing w:after="0"/>
        <w:tabs>
          <w:tab w:leader="none" w:pos="1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expiry or termination of this Agreement shall be without prejudice to the rights of the parties accrued up to the date of such expiry or termination.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54" w:name="page55"/>
    <w:bookmarkEnd w:id="54"/>
    <w:p>
      <w:pPr>
        <w:ind w:left="452" w:right="80" w:hanging="445"/>
        <w:spacing w:after="0" w:line="332" w:lineRule="auto"/>
        <w:tabs>
          <w:tab w:leader="none" w:pos="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21.3</w:t>
      </w:r>
      <w:r>
        <w:rPr>
          <w:sz w:val="20"/>
          <w:szCs w:val="20"/>
          <w:color w:val="auto"/>
        </w:rPr>
        <w:tab/>
      </w:r>
      <w:r>
        <w:rPr>
          <w:rFonts w:ascii="Arial" w:cs="Arial" w:eastAsia="Arial" w:hAnsi="Arial"/>
          <w:sz w:val="16"/>
          <w:szCs w:val="16"/>
          <w:color w:val="auto"/>
        </w:rPr>
        <w:t>Upon termination or expiration of this Agreement the provisions of Sections 8.6,12,13,15 through 20, 29 and 30 and all payment obligations incurred prior to the effective date of such termination or expiration shall survive. All other provisions of this Agreement shall terminate.</w:t>
      </w:r>
    </w:p>
    <w:p>
      <w:pPr>
        <w:spacing w:after="0" w:line="201" w:lineRule="exact"/>
        <w:rPr>
          <w:sz w:val="20"/>
          <w:szCs w:val="20"/>
          <w:color w:val="auto"/>
        </w:rPr>
      </w:pPr>
    </w:p>
    <w:p>
      <w:pPr>
        <w:ind w:left="452" w:hanging="452"/>
        <w:spacing w:after="0"/>
        <w:tabs>
          <w:tab w:leader="none" w:pos="452" w:val="left"/>
        </w:tabs>
        <w:numPr>
          <w:ilvl w:val="0"/>
          <w:numId w:val="4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Information</w:t>
      </w:r>
    </w:p>
    <w:p>
      <w:pPr>
        <w:spacing w:after="0" w:line="96" w:lineRule="exact"/>
        <w:rPr>
          <w:rFonts w:ascii="Arial" w:cs="Arial" w:eastAsia="Arial" w:hAnsi="Arial"/>
          <w:sz w:val="18"/>
          <w:szCs w:val="18"/>
          <w:b w:val="1"/>
          <w:bCs w:val="1"/>
          <w:u w:val="single" w:color="auto"/>
          <w:color w:val="auto"/>
        </w:rPr>
      </w:pPr>
    </w:p>
    <w:p>
      <w:pPr>
        <w:ind w:left="452"/>
        <w:spacing w:after="0" w:line="255"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DISTRIBUTOR agrees and undertakes to provide MANUFACTURER at mutually agreed intervals or at such reasonable times or at request of MANUFACTURER with information concerning sales of the Products and parts thereof and any changes in the Territory relating to demand, ultimate users and customers, the activities of competitors and such other matters and information in any way relating to the performance of this Agreement. MANUFACTURER undertakes to do all such reasonable acts and things as may be necessary or helpful to extend and improve the Product and goodwill in the Territory.</w:t>
      </w:r>
    </w:p>
    <w:p>
      <w:pPr>
        <w:spacing w:after="0" w:line="258"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4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Title in the Products</w:t>
      </w:r>
    </w:p>
    <w:p>
      <w:pPr>
        <w:spacing w:after="0" w:line="96" w:lineRule="exact"/>
        <w:rPr>
          <w:rFonts w:ascii="Arial" w:cs="Arial" w:eastAsia="Arial" w:hAnsi="Arial"/>
          <w:sz w:val="18"/>
          <w:szCs w:val="18"/>
          <w:b w:val="1"/>
          <w:bCs w:val="1"/>
          <w:u w:val="single" w:color="auto"/>
          <w:color w:val="auto"/>
        </w:rPr>
      </w:pPr>
    </w:p>
    <w:p>
      <w:pPr>
        <w:ind w:left="452"/>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Title in the products shall pass to DISTRIBUTOR when delivery of the Products has been made Ex Works MANUFACTURER.</w:t>
      </w:r>
    </w:p>
    <w:p>
      <w:pPr>
        <w:spacing w:after="0" w:line="286"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4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Waiver</w:t>
      </w:r>
    </w:p>
    <w:p>
      <w:pPr>
        <w:spacing w:after="0" w:line="96" w:lineRule="exact"/>
        <w:rPr>
          <w:rFonts w:ascii="Arial" w:cs="Arial" w:eastAsia="Arial" w:hAnsi="Arial"/>
          <w:sz w:val="18"/>
          <w:szCs w:val="18"/>
          <w:b w:val="1"/>
          <w:bCs w:val="1"/>
          <w:u w:val="single" w:color="auto"/>
          <w:color w:val="auto"/>
        </w:rPr>
      </w:pPr>
    </w:p>
    <w:p>
      <w:pPr>
        <w:ind w:left="452" w:right="20"/>
        <w:spacing w:after="0" w:line="370" w:lineRule="auto"/>
        <w:rPr>
          <w:rFonts w:ascii="Arial" w:cs="Arial" w:eastAsia="Arial" w:hAnsi="Arial"/>
          <w:sz w:val="18"/>
          <w:szCs w:val="18"/>
          <w:b w:val="1"/>
          <w:bCs w:val="1"/>
          <w:u w:val="single" w:color="auto"/>
          <w:color w:val="auto"/>
        </w:rPr>
      </w:pPr>
      <w:r>
        <w:rPr>
          <w:rFonts w:ascii="Arial" w:cs="Arial" w:eastAsia="Arial" w:hAnsi="Arial"/>
          <w:sz w:val="15"/>
          <w:szCs w:val="15"/>
          <w:color w:val="auto"/>
        </w:rPr>
        <w:t>Failure or neglect by one Party to enforce at any time any of the provisions hereof shall not be construed nor shall be deemed to be a waiver of its rights hereunder nor in any way affect the validity of the whole or any part of this Agreement nor prejudice the respective Party’s rights to take subsequent action.</w:t>
      </w:r>
    </w:p>
    <w:p>
      <w:pPr>
        <w:spacing w:after="0" w:line="177"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4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Assignment</w:t>
      </w:r>
    </w:p>
    <w:p>
      <w:pPr>
        <w:spacing w:after="0" w:line="96" w:lineRule="exact"/>
        <w:rPr>
          <w:rFonts w:ascii="Arial" w:cs="Arial" w:eastAsia="Arial" w:hAnsi="Arial"/>
          <w:sz w:val="18"/>
          <w:szCs w:val="18"/>
          <w:b w:val="1"/>
          <w:bCs w:val="1"/>
          <w:u w:val="single" w:color="auto"/>
          <w:color w:val="auto"/>
        </w:rPr>
      </w:pPr>
    </w:p>
    <w:p>
      <w:pPr>
        <w:ind w:left="452" w:right="120"/>
        <w:spacing w:after="0" w:line="256"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This Agreement shall not be assigned by a party, in whole or part, to any party without the prior written consent of the other party. Notwithstanding, either party may assign this Agreement without the consent of the other in connection with a sale of all or substantially all of such party’s business or assets, whether by merger, asset sale, consolidation or the like. Subject to the foregoing, this Agreement shall bind and inure to the benefit of the parties and their respective successors and assigns.</w:t>
      </w:r>
    </w:p>
    <w:p>
      <w:pPr>
        <w:spacing w:after="0" w:line="258"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4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Notices</w:t>
      </w:r>
    </w:p>
    <w:p>
      <w:pPr>
        <w:spacing w:after="0" w:line="96" w:lineRule="exact"/>
        <w:rPr>
          <w:sz w:val="20"/>
          <w:szCs w:val="20"/>
          <w:color w:val="auto"/>
        </w:rPr>
      </w:pPr>
    </w:p>
    <w:p>
      <w:pPr>
        <w:ind w:left="452" w:right="60"/>
        <w:spacing w:after="0" w:line="259" w:lineRule="auto"/>
        <w:rPr>
          <w:sz w:val="20"/>
          <w:szCs w:val="20"/>
          <w:color w:val="auto"/>
        </w:rPr>
      </w:pPr>
      <w:r>
        <w:rPr>
          <w:rFonts w:ascii="Arial" w:cs="Arial" w:eastAsia="Arial" w:hAnsi="Arial"/>
          <w:sz w:val="18"/>
          <w:szCs w:val="18"/>
          <w:color w:val="auto"/>
        </w:rPr>
        <w:t>Any notice required or permitted under the terms of this Agreement or required by statute, law or regulation shall (unless otherwise provided) be in writing and shall be delivered in person, sent by registered mail or air mail as appropriate, properly posted and fully prepaid in an envelope properly addressed or sent by Telefax to the respective parties as follows:</w:t>
      </w:r>
    </w:p>
    <w:p>
      <w:pPr>
        <w:spacing w:after="0" w:line="59" w:lineRule="exact"/>
        <w:rPr>
          <w:sz w:val="20"/>
          <w:szCs w:val="20"/>
          <w:color w:val="auto"/>
        </w:rPr>
      </w:pPr>
    </w:p>
    <w:p>
      <w:pPr>
        <w:ind w:left="432"/>
        <w:spacing w:after="0"/>
        <w:rPr>
          <w:sz w:val="20"/>
          <w:szCs w:val="20"/>
          <w:color w:val="auto"/>
        </w:rPr>
      </w:pPr>
      <w:r>
        <w:rPr>
          <w:rFonts w:ascii="Arial" w:cs="Arial" w:eastAsia="Arial" w:hAnsi="Arial"/>
          <w:sz w:val="18"/>
          <w:szCs w:val="18"/>
          <w:color w:val="auto"/>
        </w:rPr>
        <w:t>LUNA</w:t>
      </w:r>
    </w:p>
    <w:p>
      <w:pPr>
        <w:spacing w:after="0" w:line="117" w:lineRule="exact"/>
        <w:rPr>
          <w:sz w:val="20"/>
          <w:szCs w:val="20"/>
          <w:color w:val="auto"/>
        </w:rPr>
      </w:pPr>
    </w:p>
    <w:p>
      <w:pPr>
        <w:ind w:left="632"/>
        <w:spacing w:after="0"/>
        <w:rPr>
          <w:sz w:val="20"/>
          <w:szCs w:val="20"/>
          <w:color w:val="auto"/>
        </w:rPr>
      </w:pPr>
      <w:r>
        <w:rPr>
          <w:rFonts w:ascii="Arial" w:cs="Arial" w:eastAsia="Arial" w:hAnsi="Arial"/>
          <w:sz w:val="18"/>
          <w:szCs w:val="18"/>
          <w:color w:val="auto"/>
        </w:rPr>
        <w:t>Luna Technologies, a Division of Luna Innovations Incorporated</w:t>
      </w:r>
    </w:p>
    <w:p>
      <w:pPr>
        <w:spacing w:after="0" w:line="15" w:lineRule="exact"/>
        <w:rPr>
          <w:sz w:val="20"/>
          <w:szCs w:val="20"/>
          <w:color w:val="auto"/>
        </w:rPr>
      </w:pPr>
    </w:p>
    <w:p>
      <w:pPr>
        <w:ind w:left="632"/>
        <w:spacing w:after="0"/>
        <w:rPr>
          <w:sz w:val="20"/>
          <w:szCs w:val="20"/>
          <w:color w:val="auto"/>
        </w:rPr>
      </w:pPr>
      <w:r>
        <w:rPr>
          <w:rFonts w:ascii="Arial" w:cs="Arial" w:eastAsia="Arial" w:hAnsi="Arial"/>
          <w:sz w:val="18"/>
          <w:szCs w:val="18"/>
          <w:color w:val="auto"/>
        </w:rPr>
        <w:t>2020 Kraft Dr. Suite 2000</w:t>
      </w:r>
    </w:p>
    <w:p>
      <w:pPr>
        <w:spacing w:after="0" w:line="9" w:lineRule="exact"/>
        <w:rPr>
          <w:sz w:val="20"/>
          <w:szCs w:val="20"/>
          <w:color w:val="auto"/>
        </w:rPr>
      </w:pPr>
    </w:p>
    <w:p>
      <w:pPr>
        <w:ind w:left="632"/>
        <w:spacing w:after="0"/>
        <w:rPr>
          <w:sz w:val="20"/>
          <w:szCs w:val="20"/>
          <w:color w:val="auto"/>
        </w:rPr>
      </w:pPr>
      <w:r>
        <w:rPr>
          <w:rFonts w:ascii="Arial" w:cs="Arial" w:eastAsia="Arial" w:hAnsi="Arial"/>
          <w:sz w:val="18"/>
          <w:szCs w:val="18"/>
          <w:color w:val="auto"/>
        </w:rPr>
        <w:t>Blacksburg, VA 24060</w:t>
      </w:r>
    </w:p>
    <w:p>
      <w:pPr>
        <w:spacing w:after="0" w:line="9" w:lineRule="exact"/>
        <w:rPr>
          <w:sz w:val="20"/>
          <w:szCs w:val="20"/>
          <w:color w:val="auto"/>
        </w:rPr>
      </w:pPr>
    </w:p>
    <w:p>
      <w:pPr>
        <w:ind w:left="632"/>
        <w:spacing w:after="0"/>
        <w:rPr>
          <w:sz w:val="20"/>
          <w:szCs w:val="20"/>
          <w:color w:val="auto"/>
        </w:rPr>
      </w:pPr>
      <w:r>
        <w:rPr>
          <w:rFonts w:ascii="Arial" w:cs="Arial" w:eastAsia="Arial" w:hAnsi="Arial"/>
          <w:sz w:val="18"/>
          <w:szCs w:val="18"/>
          <w:color w:val="auto"/>
        </w:rPr>
        <w:t>Fax: 1-540-961-5191</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80" w:right="239" w:bottom="1440" w:gutter="0" w:footer="0" w:header="0"/>
        </w:sectPr>
      </w:pPr>
    </w:p>
    <w:bookmarkStart w:id="55" w:name="page56"/>
    <w:bookmarkEnd w:id="55"/>
    <w:p>
      <w:pPr>
        <w:ind w:left="4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ACTERNA</w:t>
      </w:r>
    </w:p>
    <w:p>
      <w:pPr>
        <w:spacing w:after="0" w:line="117" w:lineRule="exact"/>
        <w:rPr>
          <w:sz w:val="20"/>
          <w:szCs w:val="20"/>
          <w:color w:val="auto"/>
        </w:rPr>
      </w:pPr>
    </w:p>
    <w:p>
      <w:pPr>
        <w:ind w:left="772"/>
        <w:spacing w:after="0"/>
        <w:rPr>
          <w:sz w:val="20"/>
          <w:szCs w:val="20"/>
          <w:color w:val="auto"/>
        </w:rPr>
      </w:pPr>
      <w:r>
        <w:rPr>
          <w:rFonts w:ascii="Arial" w:cs="Arial" w:eastAsia="Arial" w:hAnsi="Arial"/>
          <w:sz w:val="18"/>
          <w:szCs w:val="18"/>
          <w:color w:val="auto"/>
        </w:rPr>
        <w:t>Acterna France SAS</w:t>
      </w:r>
    </w:p>
    <w:p>
      <w:pPr>
        <w:spacing w:after="0" w:line="15" w:lineRule="exact"/>
        <w:rPr>
          <w:sz w:val="20"/>
          <w:szCs w:val="20"/>
          <w:color w:val="auto"/>
        </w:rPr>
      </w:pPr>
    </w:p>
    <w:p>
      <w:pPr>
        <w:ind w:left="792"/>
        <w:spacing w:after="0"/>
        <w:rPr>
          <w:sz w:val="20"/>
          <w:szCs w:val="20"/>
          <w:color w:val="auto"/>
        </w:rPr>
      </w:pPr>
      <w:r>
        <w:rPr>
          <w:rFonts w:ascii="Arial" w:cs="Arial" w:eastAsia="Arial" w:hAnsi="Arial"/>
          <w:sz w:val="18"/>
          <w:szCs w:val="18"/>
          <w:color w:val="auto"/>
        </w:rPr>
        <w:t>34 Rue Necker</w:t>
      </w:r>
    </w:p>
    <w:p>
      <w:pPr>
        <w:spacing w:after="0" w:line="9" w:lineRule="exact"/>
        <w:rPr>
          <w:sz w:val="20"/>
          <w:szCs w:val="20"/>
          <w:color w:val="auto"/>
        </w:rPr>
      </w:pPr>
    </w:p>
    <w:p>
      <w:pPr>
        <w:ind w:left="792"/>
        <w:spacing w:after="0"/>
        <w:rPr>
          <w:sz w:val="20"/>
          <w:szCs w:val="20"/>
          <w:color w:val="auto"/>
        </w:rPr>
      </w:pPr>
      <w:r>
        <w:rPr>
          <w:rFonts w:ascii="Arial" w:cs="Arial" w:eastAsia="Arial" w:hAnsi="Arial"/>
          <w:sz w:val="18"/>
          <w:szCs w:val="18"/>
          <w:color w:val="auto"/>
        </w:rPr>
        <w:t>42000 Saint Etienne, France</w:t>
      </w:r>
    </w:p>
    <w:p>
      <w:pPr>
        <w:spacing w:after="0" w:line="9" w:lineRule="exact"/>
        <w:rPr>
          <w:sz w:val="20"/>
          <w:szCs w:val="20"/>
          <w:color w:val="auto"/>
        </w:rPr>
      </w:pPr>
    </w:p>
    <w:p>
      <w:pPr>
        <w:ind w:left="792"/>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ind w:left="792"/>
        <w:spacing w:after="0"/>
        <w:rPr>
          <w:sz w:val="20"/>
          <w:szCs w:val="20"/>
          <w:color w:val="auto"/>
        </w:rPr>
      </w:pPr>
      <w:r>
        <w:rPr>
          <w:rFonts w:ascii="Arial" w:cs="Arial" w:eastAsia="Arial" w:hAnsi="Arial"/>
          <w:sz w:val="18"/>
          <w:szCs w:val="18"/>
          <w:color w:val="auto"/>
        </w:rPr>
        <w:t>FAX NUMBER +33 4 77 47 89 70</w:t>
      </w:r>
    </w:p>
    <w:p>
      <w:pPr>
        <w:spacing w:after="0" w:line="165" w:lineRule="exact"/>
        <w:rPr>
          <w:sz w:val="20"/>
          <w:szCs w:val="20"/>
          <w:color w:val="auto"/>
        </w:rPr>
      </w:pPr>
    </w:p>
    <w:p>
      <w:pPr>
        <w:ind w:left="452" w:right="20"/>
        <w:spacing w:after="0" w:line="259" w:lineRule="auto"/>
        <w:rPr>
          <w:sz w:val="20"/>
          <w:szCs w:val="20"/>
          <w:color w:val="auto"/>
        </w:rPr>
      </w:pPr>
      <w:r>
        <w:rPr>
          <w:rFonts w:ascii="Arial" w:cs="Arial" w:eastAsia="Arial" w:hAnsi="Arial"/>
          <w:sz w:val="18"/>
          <w:szCs w:val="18"/>
          <w:color w:val="auto"/>
        </w:rPr>
        <w:t>or to such other address or Telefax number as may from time to time be designated by notice hereunder. Any such notice shall be in the English language and shall be considered to have been given at the time when actually delivered, sent by TelefAx or in any other event within fourteen (14) days after it was mailed in the manner herein before provided.</w:t>
      </w:r>
    </w:p>
    <w:p>
      <w:pPr>
        <w:spacing w:after="0" w:line="256" w:lineRule="exact"/>
        <w:rPr>
          <w:sz w:val="20"/>
          <w:szCs w:val="20"/>
          <w:color w:val="auto"/>
        </w:rPr>
      </w:pPr>
    </w:p>
    <w:p>
      <w:pPr>
        <w:ind w:left="452" w:hanging="452"/>
        <w:spacing w:after="0"/>
        <w:tabs>
          <w:tab w:leader="none" w:pos="452" w:val="left"/>
        </w:tabs>
        <w:numPr>
          <w:ilvl w:val="0"/>
          <w:numId w:val="4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Agreement</w:t>
      </w:r>
    </w:p>
    <w:p>
      <w:pPr>
        <w:spacing w:after="0" w:line="96" w:lineRule="exact"/>
        <w:rPr>
          <w:rFonts w:ascii="Arial" w:cs="Arial" w:eastAsia="Arial" w:hAnsi="Arial"/>
          <w:sz w:val="18"/>
          <w:szCs w:val="18"/>
          <w:b w:val="1"/>
          <w:bCs w:val="1"/>
          <w:u w:val="single" w:color="auto"/>
          <w:color w:val="auto"/>
        </w:rPr>
      </w:pPr>
    </w:p>
    <w:p>
      <w:pPr>
        <w:ind w:left="452" w:right="60"/>
        <w:spacing w:after="0" w:line="306" w:lineRule="auto"/>
        <w:rPr>
          <w:rFonts w:ascii="Arial" w:cs="Arial" w:eastAsia="Arial" w:hAnsi="Arial"/>
          <w:sz w:val="18"/>
          <w:szCs w:val="18"/>
          <w:b w:val="1"/>
          <w:bCs w:val="1"/>
          <w:u w:val="single" w:color="auto"/>
          <w:color w:val="auto"/>
        </w:rPr>
      </w:pPr>
      <w:r>
        <w:rPr>
          <w:rFonts w:ascii="Arial" w:cs="Arial" w:eastAsia="Arial" w:hAnsi="Arial"/>
          <w:sz w:val="16"/>
          <w:szCs w:val="16"/>
          <w:color w:val="auto"/>
        </w:rPr>
        <w:t>This Agreement supersedes any arrangements, understandings, promises or agreements made or existing between the parties hereto prior to or simultaneously with this Agreement and constitutes the entire understanding between the parties hereto. Except as otherwise provided herein, no addition, amendment to or modification of this Agreement shall be effective unless it is in writing and signed by and on behalf of both parties.</w:t>
      </w:r>
    </w:p>
    <w:p>
      <w:pPr>
        <w:spacing w:after="0" w:line="222"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4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Headings</w:t>
      </w:r>
    </w:p>
    <w:p>
      <w:pPr>
        <w:spacing w:after="0" w:line="96" w:lineRule="exact"/>
        <w:rPr>
          <w:rFonts w:ascii="Arial" w:cs="Arial" w:eastAsia="Arial" w:hAnsi="Arial"/>
          <w:sz w:val="18"/>
          <w:szCs w:val="18"/>
          <w:b w:val="1"/>
          <w:bCs w:val="1"/>
          <w:u w:val="single" w:color="auto"/>
          <w:color w:val="auto"/>
        </w:rPr>
      </w:pPr>
    </w:p>
    <w:p>
      <w:pPr>
        <w:ind w:left="452"/>
        <w:spacing w:after="0" w:line="268"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The headings of the paragraphs of this Agreement are inserted for convenience of reference only and are not intended to be part of or to affect the meaning or interpretation of this Agreement.</w:t>
      </w:r>
    </w:p>
    <w:p>
      <w:pPr>
        <w:spacing w:after="0" w:line="247"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4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Severabilitv</w:t>
      </w:r>
    </w:p>
    <w:p>
      <w:pPr>
        <w:spacing w:after="0" w:line="96" w:lineRule="exact"/>
        <w:rPr>
          <w:rFonts w:ascii="Arial" w:cs="Arial" w:eastAsia="Arial" w:hAnsi="Arial"/>
          <w:sz w:val="18"/>
          <w:szCs w:val="18"/>
          <w:b w:val="1"/>
          <w:bCs w:val="1"/>
          <w:u w:val="single" w:color="auto"/>
          <w:color w:val="auto"/>
        </w:rPr>
      </w:pPr>
    </w:p>
    <w:p>
      <w:pPr>
        <w:jc w:val="both"/>
        <w:ind w:left="452" w:right="300"/>
        <w:spacing w:after="0" w:line="259"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In the event that any of the terms, conditions or provisions contained herein shall be determined invalid, unlawful or unenforceable to any extent, such term, condition or provision shall be severed from the remaining body of the Agreement which shall continue to be valid and enforceable to the fullest extent permitted by law.</w:t>
      </w:r>
    </w:p>
    <w:p>
      <w:pPr>
        <w:spacing w:after="0" w:line="255" w:lineRule="exact"/>
        <w:rPr>
          <w:rFonts w:ascii="Arial" w:cs="Arial" w:eastAsia="Arial" w:hAnsi="Arial"/>
          <w:sz w:val="18"/>
          <w:szCs w:val="18"/>
          <w:b w:val="1"/>
          <w:bCs w:val="1"/>
          <w:u w:val="single" w:color="auto"/>
          <w:color w:val="auto"/>
        </w:rPr>
      </w:pPr>
    </w:p>
    <w:p>
      <w:pPr>
        <w:ind w:left="452" w:hanging="452"/>
        <w:spacing w:after="0"/>
        <w:tabs>
          <w:tab w:leader="none" w:pos="452" w:val="left"/>
        </w:tabs>
        <w:numPr>
          <w:ilvl w:val="0"/>
          <w:numId w:val="4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Governing Law</w:t>
      </w:r>
    </w:p>
    <w:p>
      <w:pPr>
        <w:spacing w:after="0" w:line="96" w:lineRule="exact"/>
        <w:rPr>
          <w:rFonts w:ascii="Arial" w:cs="Arial" w:eastAsia="Arial" w:hAnsi="Arial"/>
          <w:sz w:val="18"/>
          <w:szCs w:val="18"/>
          <w:b w:val="1"/>
          <w:bCs w:val="1"/>
          <w:u w:val="single" w:color="auto"/>
          <w:color w:val="auto"/>
        </w:rPr>
      </w:pPr>
    </w:p>
    <w:p>
      <w:pPr>
        <w:ind w:left="452" w:right="60"/>
        <w:spacing w:after="0" w:line="306" w:lineRule="auto"/>
        <w:rPr>
          <w:rFonts w:ascii="Arial" w:cs="Arial" w:eastAsia="Arial" w:hAnsi="Arial"/>
          <w:sz w:val="18"/>
          <w:szCs w:val="18"/>
          <w:b w:val="1"/>
          <w:bCs w:val="1"/>
          <w:u w:val="single" w:color="auto"/>
          <w:color w:val="auto"/>
        </w:rPr>
      </w:pPr>
      <w:r>
        <w:rPr>
          <w:rFonts w:ascii="Arial" w:cs="Arial" w:eastAsia="Arial" w:hAnsi="Arial"/>
          <w:sz w:val="16"/>
          <w:szCs w:val="16"/>
          <w:color w:val="auto"/>
        </w:rPr>
        <w:t>The rights and obligations of the parties to the Agreement and the interpretation of this Agreement shall be governed by and construed in accordance with the laws of England without giving effect to its conflict of laws provisions. The application of the United Nations Convention on Contracts for the International Sales of Goods (the “CISG”) is explicitly excluded. The competent courts shall be the English courts.</w:t>
      </w:r>
    </w:p>
    <w:p>
      <w:pPr>
        <w:spacing w:after="0" w:line="9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32"/>
          </w:cols>
          <w:pgMar w:left="248" w:top="280" w:right="319" w:bottom="1440" w:gutter="0" w:footer="0" w:header="0"/>
        </w:sectPr>
      </w:pPr>
    </w:p>
    <w:bookmarkStart w:id="56" w:name="page57"/>
    <w:bookmarkEnd w:id="5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on the date, set forth opposite their respective names.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0"/>
                <w:szCs w:val="20"/>
                <w:color w:val="auto"/>
              </w:rPr>
            </w:pPr>
            <w:r>
              <w:rPr>
                <w:rFonts w:ascii="Arial" w:cs="Arial" w:eastAsia="Arial" w:hAnsi="Arial"/>
                <w:sz w:val="18"/>
                <w:szCs w:val="18"/>
                <w:color w:val="auto"/>
              </w:rPr>
              <w:t>LUNA</w:t>
            </w:r>
          </w:p>
        </w:tc>
        <w:tc>
          <w:tcPr>
            <w:tcW w:w="1740" w:type="dxa"/>
            <w:vAlign w:val="bottom"/>
          </w:tcPr>
          <w:p>
            <w:pPr>
              <w:ind w:left="340"/>
              <w:spacing w:after="0"/>
              <w:rPr>
                <w:sz w:val="20"/>
                <w:szCs w:val="20"/>
                <w:color w:val="auto"/>
              </w:rPr>
            </w:pPr>
            <w:r>
              <w:rPr>
                <w:rFonts w:ascii="Arial" w:cs="Arial" w:eastAsia="Arial" w:hAnsi="Arial"/>
                <w:sz w:val="18"/>
                <w:szCs w:val="18"/>
                <w:color w:val="auto"/>
                <w:w w:val="96"/>
              </w:rPr>
              <w:t>August 18</w:t>
            </w:r>
            <w:r>
              <w:rPr>
                <w:rFonts w:ascii="Arial" w:cs="Arial" w:eastAsia="Arial" w:hAnsi="Arial"/>
                <w:sz w:val="22"/>
                <w:szCs w:val="22"/>
                <w:color w:val="auto"/>
                <w:w w:val="96"/>
                <w:vertAlign w:val="superscript"/>
              </w:rPr>
              <w:t>th</w:t>
            </w:r>
            <w:r>
              <w:rPr>
                <w:rFonts w:ascii="Arial" w:cs="Arial" w:eastAsia="Arial" w:hAnsi="Arial"/>
                <w:sz w:val="18"/>
                <w:szCs w:val="18"/>
                <w:color w:val="auto"/>
                <w:w w:val="96"/>
              </w:rPr>
              <w:t>, 2006</w:t>
            </w:r>
          </w:p>
        </w:tc>
        <w:tc>
          <w:tcPr>
            <w:tcW w:w="920" w:type="dxa"/>
            <w:vAlign w:val="bottom"/>
          </w:tcPr>
          <w:p>
            <w:pPr>
              <w:spacing w:after="0"/>
              <w:rPr>
                <w:sz w:val="21"/>
                <w:szCs w:val="21"/>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/s/ R J Soller</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rPr>
              <w:t>Date</w:t>
            </w:r>
          </w:p>
        </w:tc>
        <w:tc>
          <w:tcPr>
            <w:tcW w:w="920" w:type="dxa"/>
            <w:vAlign w:val="bottom"/>
          </w:tcPr>
          <w:p>
            <w:pPr>
              <w:ind w:left="160"/>
              <w:spacing w:after="0"/>
              <w:rPr>
                <w:sz w:val="20"/>
                <w:szCs w:val="20"/>
                <w:color w:val="auto"/>
              </w:rPr>
            </w:pPr>
            <w:r>
              <w:rPr>
                <w:rFonts w:ascii="Arial" w:cs="Arial" w:eastAsia="Arial" w:hAnsi="Arial"/>
                <w:sz w:val="18"/>
                <w:szCs w:val="18"/>
                <w:color w:val="auto"/>
              </w:rPr>
              <w:t>Name</w:t>
            </w:r>
          </w:p>
        </w:tc>
        <w:tc>
          <w:tcPr>
            <w:tcW w:w="4880" w:type="dxa"/>
            <w:vAlign w:val="bottom"/>
          </w:tcPr>
          <w:p>
            <w:pPr>
              <w:ind w:left="3120"/>
              <w:spacing w:after="0"/>
              <w:rPr>
                <w:sz w:val="20"/>
                <w:szCs w:val="20"/>
                <w:color w:val="auto"/>
              </w:rPr>
            </w:pPr>
            <w:r>
              <w:rPr>
                <w:rFonts w:ascii="Arial" w:cs="Arial" w:eastAsia="Arial" w:hAnsi="Arial"/>
                <w:sz w:val="18"/>
                <w:szCs w:val="18"/>
                <w:color w:val="auto"/>
              </w:rPr>
              <w:t>Brian J. Soller</w:t>
            </w: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7540" w:type="dxa"/>
            <w:vAlign w:val="bottom"/>
            <w:gridSpan w:val="3"/>
          </w:tcPr>
          <w:p>
            <w:pPr>
              <w:ind w:left="340"/>
              <w:spacing w:after="0"/>
              <w:rPr>
                <w:sz w:val="20"/>
                <w:szCs w:val="20"/>
                <w:color w:val="auto"/>
              </w:rPr>
            </w:pPr>
            <w:r>
              <w:rPr>
                <w:rFonts w:ascii="Arial" w:cs="Arial" w:eastAsia="Arial" w:hAnsi="Arial"/>
                <w:sz w:val="18"/>
                <w:szCs w:val="18"/>
                <w:color w:val="auto"/>
                <w:w w:val="87"/>
              </w:rPr>
              <w:t>__________________________________________________________________________________</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rPr>
              <w:t>Date</w:t>
            </w:r>
          </w:p>
        </w:tc>
        <w:tc>
          <w:tcPr>
            <w:tcW w:w="920" w:type="dxa"/>
            <w:vAlign w:val="bottom"/>
          </w:tcPr>
          <w:p>
            <w:pPr>
              <w:ind w:left="28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900" w:type="dxa"/>
            <w:vAlign w:val="bottom"/>
            <w:gridSpan w:val="2"/>
          </w:tcPr>
          <w:p>
            <w:pPr>
              <w:spacing w:after="0"/>
              <w:rPr>
                <w:sz w:val="20"/>
                <w:szCs w:val="20"/>
                <w:color w:val="auto"/>
              </w:rPr>
            </w:pPr>
            <w:r>
              <w:rPr>
                <w:rFonts w:ascii="Arial" w:cs="Arial" w:eastAsia="Arial" w:hAnsi="Arial"/>
                <w:sz w:val="18"/>
                <w:szCs w:val="18"/>
                <w:color w:val="auto"/>
              </w:rPr>
              <w:t>SIGNED for and on behalf of</w:t>
            </w:r>
          </w:p>
        </w:tc>
        <w:tc>
          <w:tcPr>
            <w:tcW w:w="9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ACTERNA</w:t>
            </w:r>
          </w:p>
        </w:tc>
        <w:tc>
          <w:tcPr>
            <w:tcW w:w="1740" w:type="dxa"/>
            <w:vAlign w:val="bottom"/>
          </w:tcPr>
          <w:p>
            <w:pPr>
              <w:ind w:left="340"/>
              <w:spacing w:after="0"/>
              <w:rPr>
                <w:sz w:val="20"/>
                <w:szCs w:val="20"/>
                <w:color w:val="auto"/>
              </w:rPr>
            </w:pPr>
            <w:r>
              <w:rPr>
                <w:rFonts w:ascii="Arial" w:cs="Arial" w:eastAsia="Arial" w:hAnsi="Arial"/>
                <w:sz w:val="18"/>
                <w:szCs w:val="18"/>
                <w:color w:val="auto"/>
                <w:w w:val="96"/>
              </w:rPr>
              <w:t>August 18</w:t>
            </w:r>
            <w:r>
              <w:rPr>
                <w:rFonts w:ascii="Arial" w:cs="Arial" w:eastAsia="Arial" w:hAnsi="Arial"/>
                <w:sz w:val="22"/>
                <w:szCs w:val="22"/>
                <w:color w:val="auto"/>
                <w:w w:val="96"/>
                <w:vertAlign w:val="superscript"/>
              </w:rPr>
              <w:t>th</w:t>
            </w:r>
            <w:r>
              <w:rPr>
                <w:rFonts w:ascii="Arial" w:cs="Arial" w:eastAsia="Arial" w:hAnsi="Arial"/>
                <w:sz w:val="18"/>
                <w:szCs w:val="18"/>
                <w:color w:val="auto"/>
                <w:w w:val="96"/>
              </w:rPr>
              <w:t>, 2006</w:t>
            </w:r>
          </w:p>
        </w:tc>
        <w:tc>
          <w:tcPr>
            <w:tcW w:w="920" w:type="dxa"/>
            <w:vAlign w:val="bottom"/>
          </w:tcPr>
          <w:p>
            <w:pPr>
              <w:spacing w:after="0"/>
              <w:rPr>
                <w:sz w:val="24"/>
                <w:szCs w:val="24"/>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DILUIGI ENZO</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rPr>
              <w:t>Date</w:t>
            </w:r>
          </w:p>
        </w:tc>
        <w:tc>
          <w:tcPr>
            <w:tcW w:w="920" w:type="dxa"/>
            <w:vAlign w:val="bottom"/>
          </w:tcPr>
          <w:p>
            <w:pPr>
              <w:ind w:left="160"/>
              <w:spacing w:after="0"/>
              <w:rPr>
                <w:sz w:val="20"/>
                <w:szCs w:val="20"/>
                <w:color w:val="auto"/>
              </w:rPr>
            </w:pPr>
            <w:r>
              <w:rPr>
                <w:rFonts w:ascii="Arial" w:cs="Arial" w:eastAsia="Arial" w:hAnsi="Arial"/>
                <w:sz w:val="18"/>
                <w:szCs w:val="18"/>
                <w:color w:val="auto"/>
              </w:rPr>
              <w:t>Name</w:t>
            </w:r>
          </w:p>
        </w:tc>
        <w:tc>
          <w:tcPr>
            <w:tcW w:w="4880" w:type="dxa"/>
            <w:vAlign w:val="bottom"/>
            <w:vMerge w:val="restart"/>
          </w:tcPr>
          <w:p>
            <w:pPr>
              <w:ind w:left="3120"/>
              <w:spacing w:after="0"/>
              <w:rPr>
                <w:sz w:val="20"/>
                <w:szCs w:val="20"/>
                <w:color w:val="auto"/>
              </w:rPr>
            </w:pPr>
            <w:r>
              <w:rPr>
                <w:rFonts w:ascii="Arial" w:cs="Arial" w:eastAsia="Arial" w:hAnsi="Arial"/>
                <w:sz w:val="18"/>
                <w:szCs w:val="18"/>
                <w:color w:val="auto"/>
              </w:rPr>
              <w:t>/s/ Diluigi Enzo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7540" w:type="dxa"/>
            <w:vAlign w:val="bottom"/>
            <w:gridSpan w:val="3"/>
          </w:tcPr>
          <w:p>
            <w:pPr>
              <w:ind w:left="340"/>
              <w:spacing w:after="0"/>
              <w:rPr>
                <w:sz w:val="20"/>
                <w:szCs w:val="20"/>
                <w:color w:val="auto"/>
              </w:rPr>
            </w:pPr>
            <w:r>
              <w:rPr>
                <w:rFonts w:ascii="Arial" w:cs="Arial" w:eastAsia="Arial" w:hAnsi="Arial"/>
                <w:sz w:val="18"/>
                <w:szCs w:val="18"/>
                <w:color w:val="auto"/>
                <w:w w:val="87"/>
              </w:rPr>
              <w:t>__________________________________________________________________________________</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740" w:type="dxa"/>
            <w:vAlign w:val="bottom"/>
          </w:tcPr>
          <w:p>
            <w:pPr>
              <w:ind w:left="340"/>
              <w:spacing w:after="0"/>
              <w:rPr>
                <w:sz w:val="20"/>
                <w:szCs w:val="20"/>
                <w:color w:val="auto"/>
              </w:rPr>
            </w:pPr>
            <w:r>
              <w:rPr>
                <w:rFonts w:ascii="Arial" w:cs="Arial" w:eastAsia="Arial" w:hAnsi="Arial"/>
                <w:sz w:val="18"/>
                <w:szCs w:val="18"/>
                <w:color w:val="auto"/>
              </w:rPr>
              <w:t>Date</w:t>
            </w:r>
          </w:p>
        </w:tc>
        <w:tc>
          <w:tcPr>
            <w:tcW w:w="920" w:type="dxa"/>
            <w:vAlign w:val="bottom"/>
          </w:tcPr>
          <w:p>
            <w:pPr>
              <w:ind w:left="28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 Luna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 Acterna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3.: Specifications for OFDR module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4.: Specifications for MTS/TB module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5.: Territories / Customer Groups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6.: Prices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7.: Roadmap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280" w:right="1440" w:bottom="1440" w:gutter="0" w:footer="0" w:header="0"/>
        </w:sectPr>
      </w:pPr>
    </w:p>
    <w:bookmarkStart w:id="57" w:name="page58"/>
    <w:bookmarkEnd w:id="57"/>
    <w:p>
      <w:pPr>
        <w:ind w:left="673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Co-Operation Agreement</w:t>
      </w:r>
    </w:p>
    <w:p>
      <w:pPr>
        <w:spacing w:after="0" w:line="38" w:lineRule="exact"/>
        <w:rPr>
          <w:sz w:val="20"/>
          <w:szCs w:val="20"/>
          <w:color w:val="auto"/>
        </w:rPr>
      </w:pPr>
    </w:p>
    <w:p>
      <w:pPr>
        <w:ind w:left="6730"/>
        <w:spacing w:after="0"/>
        <w:rPr>
          <w:sz w:val="20"/>
          <w:szCs w:val="20"/>
          <w:color w:val="auto"/>
        </w:rPr>
      </w:pPr>
      <w:r>
        <w:rPr>
          <w:rFonts w:ascii="Arial" w:cs="Arial" w:eastAsia="Arial" w:hAnsi="Arial"/>
          <w:sz w:val="15"/>
          <w:szCs w:val="15"/>
          <w:color w:val="auto"/>
        </w:rPr>
        <w:t>between Luna and Acterna</w:t>
      </w:r>
    </w:p>
    <w:p>
      <w:pPr>
        <w:spacing w:after="0" w:line="253" w:lineRule="exact"/>
        <w:rPr>
          <w:sz w:val="20"/>
          <w:szCs w:val="20"/>
          <w:color w:val="auto"/>
        </w:rPr>
      </w:pPr>
    </w:p>
    <w:p>
      <w:pPr>
        <w:ind w:left="6730"/>
        <w:spacing w:after="0"/>
        <w:rPr>
          <w:sz w:val="20"/>
          <w:szCs w:val="20"/>
          <w:color w:val="auto"/>
        </w:rPr>
      </w:pPr>
      <w:r>
        <w:rPr>
          <w:rFonts w:ascii="Arial" w:cs="Arial" w:eastAsia="Arial" w:hAnsi="Arial"/>
          <w:sz w:val="18"/>
          <w:szCs w:val="18"/>
          <w:color w:val="auto"/>
        </w:rPr>
        <w:t>Schedule 1</w:t>
      </w:r>
    </w:p>
    <w:p>
      <w:pPr>
        <w:spacing w:after="0" w:line="84" w:lineRule="exact"/>
        <w:rPr>
          <w:sz w:val="20"/>
          <w:szCs w:val="20"/>
          <w:color w:val="auto"/>
        </w:rPr>
      </w:pPr>
    </w:p>
    <w:p>
      <w:pPr>
        <w:ind w:left="5030"/>
        <w:spacing w:after="0"/>
        <w:rPr>
          <w:sz w:val="20"/>
          <w:szCs w:val="20"/>
          <w:color w:val="auto"/>
        </w:rPr>
      </w:pPr>
      <w:r>
        <w:rPr>
          <w:rFonts w:ascii="Arial" w:cs="Arial" w:eastAsia="Arial" w:hAnsi="Arial"/>
          <w:sz w:val="18"/>
          <w:szCs w:val="18"/>
          <w:b w:val="1"/>
          <w:bCs w:val="1"/>
          <w:color w:val="auto"/>
        </w:rPr>
        <w:t>Luna Products</w:t>
      </w:r>
    </w:p>
    <w:p>
      <w:pPr>
        <w:spacing w:after="0" w:line="218" w:lineRule="exact"/>
        <w:rPr>
          <w:sz w:val="20"/>
          <w:szCs w:val="20"/>
          <w:color w:val="auto"/>
        </w:rPr>
      </w:pPr>
    </w:p>
    <w:p>
      <w:pPr>
        <w:ind w:left="450" w:hanging="450"/>
        <w:spacing w:after="0"/>
        <w:tabs>
          <w:tab w:leader="none" w:pos="4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OBR (Optical Backscatter Reflectometer) Module</w:t>
      </w:r>
    </w:p>
    <w:p>
      <w:pPr>
        <w:spacing w:after="0" w:line="158" w:lineRule="exact"/>
        <w:rPr>
          <w:sz w:val="20"/>
          <w:szCs w:val="20"/>
          <w:color w:val="auto"/>
        </w:rPr>
      </w:pPr>
    </w:p>
    <w:p>
      <w:pPr>
        <w:ind w:left="549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90"/>
          </w:cols>
          <w:pgMar w:left="370" w:top="280" w:right="1440"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Co-Operation Agreement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between Luna and Acterna</w:t>
      </w:r>
    </w:p>
    <w:p>
      <w:pPr>
        <w:spacing w:after="0" w:line="2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Schedule 2</w:t>
      </w:r>
    </w:p>
    <w:p>
      <w:pPr>
        <w:spacing w:after="0" w:line="8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Acterna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280" w:right="1440" w:bottom="1440" w:gutter="0" w:footer="0" w:header="0"/>
        </w:sectPr>
      </w:pPr>
    </w:p>
    <w:bookmarkStart w:id="59" w:name="page60"/>
    <w:bookmarkEnd w:id="59"/>
    <w:p>
      <w:pPr>
        <w:ind w:left="72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Co-Operation Agreement</w:t>
      </w:r>
    </w:p>
    <w:p>
      <w:pPr>
        <w:spacing w:after="0" w:line="38"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between Luna and Acterna</w:t>
      </w:r>
    </w:p>
    <w:p>
      <w:pPr>
        <w:spacing w:after="0" w:line="25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Schedule 3</w:t>
      </w:r>
    </w:p>
    <w:p>
      <w:pPr>
        <w:spacing w:after="0" w:line="8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Specifications for OFDR Module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280"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Specifications for MTS/TB Module</w:t>
      </w:r>
    </w:p>
    <w:p>
      <w:pPr>
        <w:spacing w:after="0" w:line="200" w:lineRule="exact"/>
        <w:rPr>
          <w:sz w:val="20"/>
          <w:szCs w:val="20"/>
          <w:color w:val="auto"/>
        </w:rPr>
      </w:pPr>
    </w:p>
    <w:p>
      <w:pPr>
        <w:ind w:left="5620" w:right="220" w:hanging="5617"/>
        <w:spacing w:after="0" w:line="440" w:lineRule="auto"/>
        <w:rPr>
          <w:sz w:val="20"/>
          <w:szCs w:val="20"/>
          <w:color w:val="auto"/>
        </w:rPr>
      </w:pPr>
      <w:r>
        <w:rPr>
          <w:rFonts w:ascii="Arial" w:cs="Arial" w:eastAsia="Arial" w:hAnsi="Arial"/>
          <w:sz w:val="18"/>
          <w:szCs w:val="18"/>
          <w:color w:val="auto"/>
        </w:rPr>
        <w:t>This is not required since the only module is the OFDR module which is described in schedule 3 17</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between Luna and Acterna</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Schedule 4</w:t>
      </w:r>
    </w:p>
    <w:p>
      <w:pPr>
        <w:sectPr>
          <w:pgSz w:w="11900" w:h="16838" w:orient="portrait"/>
          <w:cols w:equalWidth="0" w:num="2">
            <w:col w:w="7020" w:space="180"/>
            <w:col w:w="3019"/>
          </w:cols>
          <w:pgMar w:left="240" w:top="280" w:right="1440" w:bottom="1440" w:gutter="0" w:footer="0" w:header="0"/>
        </w:sectPr>
      </w:pPr>
    </w:p>
    <w:bookmarkStart w:id="61" w:name="page62"/>
    <w:bookmarkEnd w:id="61"/>
    <w:p>
      <w:pPr>
        <w:ind w:left="719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Co-Operation Agreement</w:t>
      </w:r>
    </w:p>
    <w:p>
      <w:pPr>
        <w:spacing w:after="0" w:line="38" w:lineRule="exact"/>
        <w:rPr>
          <w:sz w:val="20"/>
          <w:szCs w:val="20"/>
          <w:color w:val="auto"/>
        </w:rPr>
      </w:pPr>
    </w:p>
    <w:p>
      <w:pPr>
        <w:ind w:left="7192"/>
        <w:spacing w:after="0"/>
        <w:rPr>
          <w:sz w:val="20"/>
          <w:szCs w:val="20"/>
          <w:color w:val="auto"/>
        </w:rPr>
      </w:pPr>
      <w:r>
        <w:rPr>
          <w:rFonts w:ascii="Arial" w:cs="Arial" w:eastAsia="Arial" w:hAnsi="Arial"/>
          <w:sz w:val="15"/>
          <w:szCs w:val="15"/>
          <w:color w:val="auto"/>
        </w:rPr>
        <w:t>between Luna and Acterna</w:t>
      </w:r>
    </w:p>
    <w:p>
      <w:pPr>
        <w:spacing w:after="0" w:line="253" w:lineRule="exact"/>
        <w:rPr>
          <w:sz w:val="20"/>
          <w:szCs w:val="20"/>
          <w:color w:val="auto"/>
        </w:rPr>
      </w:pPr>
    </w:p>
    <w:p>
      <w:pPr>
        <w:ind w:left="7192"/>
        <w:spacing w:after="0"/>
        <w:rPr>
          <w:sz w:val="20"/>
          <w:szCs w:val="20"/>
          <w:color w:val="auto"/>
        </w:rPr>
      </w:pPr>
      <w:r>
        <w:rPr>
          <w:rFonts w:ascii="Arial" w:cs="Arial" w:eastAsia="Arial" w:hAnsi="Arial"/>
          <w:sz w:val="18"/>
          <w:szCs w:val="18"/>
          <w:color w:val="auto"/>
        </w:rPr>
        <w:t>Schedule 5</w:t>
      </w:r>
    </w:p>
    <w:p>
      <w:pPr>
        <w:spacing w:after="0" w:line="84" w:lineRule="exact"/>
        <w:rPr>
          <w:sz w:val="20"/>
          <w:szCs w:val="20"/>
          <w:color w:val="auto"/>
        </w:rPr>
      </w:pPr>
    </w:p>
    <w:p>
      <w:pPr>
        <w:ind w:left="4572"/>
        <w:spacing w:after="0"/>
        <w:rPr>
          <w:sz w:val="20"/>
          <w:szCs w:val="20"/>
          <w:color w:val="auto"/>
        </w:rPr>
      </w:pPr>
      <w:r>
        <w:rPr>
          <w:rFonts w:ascii="Arial" w:cs="Arial" w:eastAsia="Arial" w:hAnsi="Arial"/>
          <w:sz w:val="18"/>
          <w:szCs w:val="18"/>
          <w:b w:val="1"/>
          <w:bCs w:val="1"/>
          <w:color w:val="auto"/>
        </w:rPr>
        <w:t>Territories / Customer Groups</w:t>
      </w:r>
    </w:p>
    <w:p>
      <w:pPr>
        <w:spacing w:after="0" w:line="218" w:lineRule="exact"/>
        <w:rPr>
          <w:sz w:val="20"/>
          <w:szCs w:val="20"/>
          <w:color w:val="auto"/>
        </w:rPr>
      </w:pPr>
    </w:p>
    <w:p>
      <w:pPr>
        <w:ind w:left="892" w:right="1679" w:hanging="892"/>
        <w:spacing w:after="0" w:line="344" w:lineRule="auto"/>
        <w:tabs>
          <w:tab w:leader="none" w:pos="4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ACTERNA shall be the exclusive distributor for Luna Products in the following geographies and customer groups: [****]</w:t>
      </w:r>
    </w:p>
    <w:p>
      <w:pPr>
        <w:spacing w:after="0" w:line="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ACTERNA shall be the non-exclusive distributor for Luna Products in the following geographies and customer groups:</w:t>
      </w:r>
    </w:p>
    <w:p>
      <w:pPr>
        <w:spacing w:after="0" w:line="113" w:lineRule="exact"/>
        <w:rPr>
          <w:sz w:val="20"/>
          <w:szCs w:val="20"/>
          <w:color w:val="auto"/>
        </w:rPr>
      </w:pPr>
    </w:p>
    <w:p>
      <w:pPr>
        <w:ind w:left="892"/>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892" w:right="1839" w:hanging="892"/>
        <w:spacing w:after="0" w:line="344" w:lineRule="auto"/>
        <w:tabs>
          <w:tab w:leader="none" w:pos="4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LUNA shall be the exclusive distributor for Acterna Products in the following geographies and customer groups: [****]</w:t>
      </w:r>
    </w:p>
    <w:p>
      <w:pPr>
        <w:spacing w:after="0" w:line="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LUNA shall be the non-exclusive distributor for Acterna Products in the following geographies and customer groups:</w:t>
      </w:r>
    </w:p>
    <w:p>
      <w:pPr>
        <w:spacing w:after="0" w:line="113" w:lineRule="exact"/>
        <w:rPr>
          <w:sz w:val="20"/>
          <w:szCs w:val="20"/>
          <w:color w:val="auto"/>
        </w:rPr>
      </w:pPr>
    </w:p>
    <w:p>
      <w:pPr>
        <w:ind w:left="892"/>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1"/>
          </w:cols>
          <w:pgMar w:left="248" w:top="280" w:right="1440" w:bottom="1440" w:gutter="0" w:footer="0" w:header="0"/>
        </w:sectPr>
      </w:pPr>
    </w:p>
    <w:bookmarkStart w:id="62" w:name="page63"/>
    <w:bookmarkEnd w:id="62"/>
    <w:p>
      <w:pPr>
        <w:ind w:left="6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Co-Operation Agreement</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between Luna and Acterna</w:t>
      </w:r>
    </w:p>
    <w:p>
      <w:pPr>
        <w:spacing w:after="0" w:line="25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Schedule 6</w:t>
      </w:r>
    </w:p>
    <w:p>
      <w:pPr>
        <w:spacing w:after="0" w:line="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759"/>
          </w:cols>
          <w:pgMar w:left="700" w:top="280" w:right="1440" w:bottom="1440" w:gutter="0" w:footer="0" w:header="0"/>
        </w:sectPr>
      </w:pPr>
    </w:p>
    <w:bookmarkStart w:id="63" w:name="page64"/>
    <w:bookmarkEnd w:id="63"/>
    <w:p>
      <w:pPr>
        <w:ind w:left="6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Co-Operation Agreement</w:t>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between Luna and Acterna</w:t>
      </w:r>
    </w:p>
    <w:p>
      <w:pPr>
        <w:spacing w:after="0" w:line="25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Schedule 7</w:t>
      </w:r>
    </w:p>
    <w:p>
      <w:pPr>
        <w:spacing w:after="0" w:line="8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Roadmap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759"/>
          </w:cols>
          <w:pgMar w:left="700" w:top="280"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Exhibit 31.1—CERTIFICATION OF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Kent A. Murphy, certify that:</w:t>
      </w:r>
    </w:p>
    <w:p>
      <w:pPr>
        <w:spacing w:after="0" w:line="90" w:lineRule="exact"/>
        <w:rPr>
          <w:sz w:val="20"/>
          <w:szCs w:val="20"/>
          <w:color w:val="auto"/>
        </w:rPr>
      </w:pPr>
    </w:p>
    <w:p>
      <w:pPr>
        <w:ind w:left="620" w:hanging="17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ind w:left="-20" w:right="540" w:firstLine="464"/>
        <w:spacing w:after="0" w:line="370" w:lineRule="auto"/>
        <w:tabs>
          <w:tab w:leader="none" w:pos="612"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left="-20" w:right="520" w:firstLine="464"/>
        <w:spacing w:after="0" w:line="332" w:lineRule="auto"/>
        <w:tabs>
          <w:tab w:leader="none" w:pos="61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left="-20" w:firstLine="464"/>
        <w:spacing w:after="0" w:line="268" w:lineRule="auto"/>
        <w:tabs>
          <w:tab w:leader="none" w:pos="6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40" w:right="340" w:firstLine="443"/>
        <w:spacing w:after="0" w:line="259" w:lineRule="auto"/>
        <w:tabs>
          <w:tab w:leader="none" w:pos="11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40" w:right="820" w:firstLine="443"/>
        <w:spacing w:after="0" w:line="332" w:lineRule="auto"/>
        <w:tabs>
          <w:tab w:leader="none" w:pos="112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40" w:right="200" w:firstLine="443"/>
        <w:spacing w:after="0" w:line="259" w:lineRule="auto"/>
        <w:tabs>
          <w:tab w:leader="none" w:pos="11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20" w:right="440" w:firstLine="464"/>
        <w:spacing w:after="0" w:line="332" w:lineRule="auto"/>
        <w:tabs>
          <w:tab w:leader="none" w:pos="61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40" w:right="240" w:firstLine="443"/>
        <w:spacing w:after="0" w:line="268" w:lineRule="auto"/>
        <w:tabs>
          <w:tab w:leader="none" w:pos="11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40" w:right="140" w:firstLine="443"/>
        <w:spacing w:after="0" w:line="268" w:lineRule="auto"/>
        <w:tabs>
          <w:tab w:leader="none" w:pos="11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2006</w:t>
      </w:r>
    </w:p>
    <w:p>
      <w:pPr>
        <w:spacing w:after="0" w:line="200" w:lineRule="exact"/>
        <w:rPr>
          <w:sz w:val="20"/>
          <w:szCs w:val="20"/>
          <w:color w:val="auto"/>
        </w:rPr>
      </w:pPr>
    </w:p>
    <w:p>
      <w:pPr>
        <w:spacing w:after="0" w:line="228"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ENT</w:t>
      </w:r>
      <w:r>
        <w:rPr>
          <w:rFonts w:ascii="Arial" w:cs="Arial" w:eastAsia="Arial" w:hAnsi="Arial"/>
          <w:sz w:val="18"/>
          <w:szCs w:val="18"/>
          <w:color w:val="auto"/>
        </w:rPr>
        <w:t xml:space="preserve"> A. M</w:t>
      </w:r>
      <w:r>
        <w:rPr>
          <w:rFonts w:ascii="Arial" w:cs="Arial" w:eastAsia="Arial" w:hAnsi="Arial"/>
          <w:sz w:val="14"/>
          <w:szCs w:val="14"/>
          <w:color w:val="auto"/>
        </w:rPr>
        <w:t>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Kent A. Murphy, Ph.D.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380"/>
          </w:cols>
          <w:pgMar w:left="260" w:top="125"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Exhibit 31.2—CERTIFICATION OF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Dale E. Messick, certify that:</w:t>
      </w:r>
    </w:p>
    <w:p>
      <w:pPr>
        <w:spacing w:after="0" w:line="90" w:lineRule="exact"/>
        <w:rPr>
          <w:sz w:val="20"/>
          <w:szCs w:val="20"/>
          <w:color w:val="auto"/>
        </w:rPr>
      </w:pPr>
    </w:p>
    <w:p>
      <w:pPr>
        <w:ind w:left="620" w:hanging="176"/>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Luna Innovations Incorporated;</w:t>
      </w:r>
    </w:p>
    <w:p>
      <w:pPr>
        <w:spacing w:after="0" w:line="171" w:lineRule="exact"/>
        <w:rPr>
          <w:rFonts w:ascii="Arial" w:cs="Arial" w:eastAsia="Arial" w:hAnsi="Arial"/>
          <w:sz w:val="18"/>
          <w:szCs w:val="18"/>
          <w:color w:val="auto"/>
        </w:rPr>
      </w:pPr>
    </w:p>
    <w:p>
      <w:pPr>
        <w:ind w:left="-20" w:right="540" w:firstLine="464"/>
        <w:spacing w:after="0" w:line="370" w:lineRule="auto"/>
        <w:tabs>
          <w:tab w:leader="none" w:pos="612"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left="-20" w:right="520" w:firstLine="464"/>
        <w:spacing w:after="0" w:line="332" w:lineRule="auto"/>
        <w:tabs>
          <w:tab w:leader="none" w:pos="612"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left="-20" w:firstLine="464"/>
        <w:spacing w:after="0" w:line="268" w:lineRule="auto"/>
        <w:tabs>
          <w:tab w:leader="none" w:pos="6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40" w:right="340" w:firstLine="443"/>
        <w:spacing w:after="0" w:line="259" w:lineRule="auto"/>
        <w:tabs>
          <w:tab w:leader="none" w:pos="11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40" w:right="820" w:firstLine="443"/>
        <w:spacing w:after="0" w:line="332" w:lineRule="auto"/>
        <w:tabs>
          <w:tab w:leader="none" w:pos="112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40" w:right="200" w:firstLine="443"/>
        <w:spacing w:after="0" w:line="259" w:lineRule="auto"/>
        <w:tabs>
          <w:tab w:leader="none" w:pos="11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20" w:right="440" w:firstLine="464"/>
        <w:spacing w:after="0" w:line="332" w:lineRule="auto"/>
        <w:tabs>
          <w:tab w:leader="none" w:pos="61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40" w:right="240" w:firstLine="443"/>
        <w:spacing w:after="0" w:line="268" w:lineRule="auto"/>
        <w:tabs>
          <w:tab w:leader="none" w:pos="11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40" w:right="140" w:firstLine="443"/>
        <w:spacing w:after="0" w:line="268" w:lineRule="auto"/>
        <w:tabs>
          <w:tab w:leader="none" w:pos="11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2006</w:t>
      </w:r>
    </w:p>
    <w:p>
      <w:pPr>
        <w:spacing w:after="0" w:line="200" w:lineRule="exact"/>
        <w:rPr>
          <w:sz w:val="20"/>
          <w:szCs w:val="20"/>
          <w:color w:val="auto"/>
        </w:rPr>
      </w:pPr>
    </w:p>
    <w:p>
      <w:pPr>
        <w:spacing w:after="0" w:line="228"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ALE</w:t>
      </w:r>
      <w:r>
        <w:rPr>
          <w:rFonts w:ascii="Arial" w:cs="Arial" w:eastAsia="Arial" w:hAnsi="Arial"/>
          <w:sz w:val="16"/>
          <w:szCs w:val="16"/>
          <w:color w:val="auto"/>
        </w:rPr>
        <w:t xml:space="preserve"> E. M</w:t>
      </w:r>
      <w:r>
        <w:rPr>
          <w:rFonts w:ascii="Arial" w:cs="Arial" w:eastAsia="Arial" w:hAnsi="Arial"/>
          <w:sz w:val="13"/>
          <w:szCs w:val="13"/>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Dale E. Messick</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380"/>
          </w:cols>
          <w:pgMar w:left="260" w:top="125" w:right="259" w:bottom="1440" w:gutter="0" w:footer="0" w:header="0"/>
        </w:sectPr>
      </w:pPr>
    </w:p>
    <w:bookmarkStart w:id="66" w:name="page67"/>
    <w:bookmarkEnd w:id="66"/>
    <w:p>
      <w:pPr>
        <w:jc w:val="center"/>
        <w:ind w:right="-359"/>
        <w:spacing w:after="0"/>
        <w:rPr>
          <w:sz w:val="20"/>
          <w:szCs w:val="20"/>
          <w:color w:val="auto"/>
        </w:rPr>
      </w:pPr>
      <w:r>
        <w:rPr>
          <w:rFonts w:ascii="Arial" w:cs="Arial" w:eastAsia="Arial" w:hAnsi="Arial"/>
          <w:sz w:val="18"/>
          <w:szCs w:val="18"/>
          <w:b w:val="1"/>
          <w:bCs w:val="1"/>
          <w:color w:val="auto"/>
        </w:rPr>
        <w:t>Exhibit 32.1—CERTIFICATION OF CHIEF EXECUTIVE OFFICER PURSUANT TO</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quarterly report of Luna Innovations Incorporated (the “Company”) on Form 10-Q for the period ending September 30, 2006 as filed with the Securities and Exchange Commission on the date hereof (the “Report”), I, Kent A. Murphy, Chief Executive Officer of the Company, certify, pursuant to 18 U.S.C. § 1350, as adopted pursuant to §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/s/</w:t>
        <w:tab/>
        <w:t>K</w:t>
      </w:r>
      <w:r>
        <w:rPr>
          <w:rFonts w:ascii="Arial" w:cs="Arial" w:eastAsia="Arial" w:hAnsi="Arial"/>
          <w:sz w:val="14"/>
          <w:szCs w:val="14"/>
          <w:color w:val="auto"/>
        </w:rPr>
        <w:t>ENT</w:t>
      </w:r>
      <w:r>
        <w:rPr>
          <w:rFonts w:ascii="Arial" w:cs="Arial" w:eastAsia="Arial" w:hAnsi="Arial"/>
          <w:sz w:val="18"/>
          <w:szCs w:val="18"/>
          <w:color w:val="auto"/>
        </w:rPr>
        <w:t xml:space="preserve"> A. M</w:t>
      </w:r>
      <w:r>
        <w:rPr>
          <w:rFonts w:ascii="Arial" w:cs="Arial" w:eastAsia="Arial" w:hAnsi="Arial"/>
          <w:sz w:val="14"/>
          <w:szCs w:val="14"/>
          <w:color w:val="auto"/>
        </w:rPr>
        <w:t>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140"/>
        <w:spacing w:after="0"/>
        <w:rPr>
          <w:sz w:val="20"/>
          <w:szCs w:val="20"/>
          <w:color w:val="auto"/>
        </w:rPr>
      </w:pPr>
      <w:r>
        <w:rPr>
          <w:rFonts w:ascii="Arial" w:cs="Arial" w:eastAsia="Arial" w:hAnsi="Arial"/>
          <w:sz w:val="14"/>
          <w:szCs w:val="14"/>
          <w:b w:val="1"/>
          <w:bCs w:val="1"/>
          <w:color w:val="auto"/>
        </w:rPr>
        <w:t>Kent A. Murphy, Ph.D.</w:t>
      </w:r>
    </w:p>
    <w:p>
      <w:pPr>
        <w:spacing w:after="0" w:line="1" w:lineRule="exact"/>
        <w:rPr>
          <w:sz w:val="20"/>
          <w:szCs w:val="20"/>
          <w:color w:val="auto"/>
        </w:rPr>
      </w:pPr>
    </w:p>
    <w:p>
      <w:pPr>
        <w:jc w:val="center"/>
        <w:ind w:right="61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13, 2006</w:t>
      </w:r>
    </w:p>
    <w:p>
      <w:pPr>
        <w:sectPr>
          <w:pgSz w:w="11900" w:h="16838" w:orient="portrait"/>
          <w:cols w:equalWidth="0" w:num="1">
            <w:col w:w="11060"/>
          </w:cols>
          <w:pgMar w:left="240" w:top="125" w:right="599" w:bottom="1440" w:gutter="0" w:footer="0" w:header="0"/>
        </w:sectPr>
      </w:pPr>
    </w:p>
    <w:bookmarkStart w:id="67" w:name="page68"/>
    <w:bookmarkEnd w:id="67"/>
    <w:p>
      <w:pPr>
        <w:jc w:val="center"/>
        <w:ind w:right="-359"/>
        <w:spacing w:after="0"/>
        <w:rPr>
          <w:sz w:val="20"/>
          <w:szCs w:val="20"/>
          <w:color w:val="auto"/>
        </w:rPr>
      </w:pPr>
      <w:r>
        <w:rPr>
          <w:rFonts w:ascii="Arial" w:cs="Arial" w:eastAsia="Arial" w:hAnsi="Arial"/>
          <w:sz w:val="18"/>
          <w:szCs w:val="18"/>
          <w:b w:val="1"/>
          <w:bCs w:val="1"/>
          <w:color w:val="auto"/>
        </w:rPr>
        <w:t>Exhibit 32.2—CERTIFICATION OF CHIEF FINANCIAL OFFICER PURSUANT TO</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quarterly report of Luna Innovations Incorporated (the “Company”) on Form 10-Q for the period ending September 30, 2006 as filed with the Securities and Exchange Commission on the date hereof (the “Report”), I, Dale E. Messick, Chief Financial Officer of the Company, certify, pursuant to 18 U.S.C. § 1350, as adopted pursuant to §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ALE</w:t>
      </w:r>
      <w:r>
        <w:rPr>
          <w:rFonts w:ascii="Arial" w:cs="Arial" w:eastAsia="Arial" w:hAnsi="Arial"/>
          <w:sz w:val="16"/>
          <w:szCs w:val="16"/>
          <w:color w:val="auto"/>
        </w:rPr>
        <w:t xml:space="preserve"> E. M</w:t>
      </w:r>
      <w:r>
        <w:rPr>
          <w:rFonts w:ascii="Arial" w:cs="Arial" w:eastAsia="Arial" w:hAnsi="Arial"/>
          <w:sz w:val="13"/>
          <w:szCs w:val="13"/>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140"/>
        <w:spacing w:after="0"/>
        <w:rPr>
          <w:sz w:val="20"/>
          <w:szCs w:val="20"/>
          <w:color w:val="auto"/>
        </w:rPr>
      </w:pPr>
      <w:r>
        <w:rPr>
          <w:rFonts w:ascii="Arial" w:cs="Arial" w:eastAsia="Arial" w:hAnsi="Arial"/>
          <w:sz w:val="14"/>
          <w:szCs w:val="14"/>
          <w:b w:val="1"/>
          <w:bCs w:val="1"/>
          <w:color w:val="auto"/>
        </w:rPr>
        <w:t>Dale E. Messick</w:t>
      </w:r>
    </w:p>
    <w:p>
      <w:pPr>
        <w:spacing w:after="0" w:line="1" w:lineRule="exact"/>
        <w:rPr>
          <w:sz w:val="20"/>
          <w:szCs w:val="20"/>
          <w:color w:val="auto"/>
        </w:rPr>
      </w:pPr>
    </w:p>
    <w:p>
      <w:pPr>
        <w:jc w:val="center"/>
        <w:ind w:right="61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13, 2006</w:t>
      </w:r>
    </w:p>
    <w:sectPr>
      <w:pgSz w:w="11900" w:h="16838" w:orient="portrait"/>
      <w:cols w:equalWidth="0" w:num="1">
        <w:col w:w="11060"/>
      </w:cols>
      <w:pgMar w:left="240" w:top="12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2"/>
    </w:lvl>
  </w:abstractNum>
  <w:abstractNum w:abstractNumId="7">
    <w:nsid w:val="836C40E"/>
    <w:multiLevelType w:val="hybridMultilevel"/>
    <w:lvl w:ilvl="0">
      <w:lvlJc w:val="left"/>
      <w:lvlText w:val="%1."/>
      <w:numFmt w:val="decimal"/>
      <w:start w:val="3"/>
    </w:lvl>
  </w:abstractNum>
  <w:abstractNum w:abstractNumId="8">
    <w:nsid w:val="2901D82"/>
    <w:multiLevelType w:val="hybridMultilevel"/>
    <w:lvl w:ilvl="0">
      <w:lvlJc w:val="left"/>
      <w:lvlText w:val="%1."/>
      <w:numFmt w:val="decimal"/>
      <w:start w:val="4"/>
    </w:lvl>
  </w:abstractNum>
  <w:abstractNum w:abstractNumId="9">
    <w:nsid w:val="3A95F874"/>
    <w:multiLevelType w:val="hybridMultilevel"/>
    <w:lvl w:ilvl="0">
      <w:lvlJc w:val="left"/>
      <w:lvlText w:val="%1."/>
      <w:numFmt w:val="decimal"/>
      <w:start w:val="5"/>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upperLetter"/>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2"/>
    </w:lvl>
  </w:abstractNum>
  <w:abstractNum w:abstractNumId="24">
    <w:nsid w:val="77465F01"/>
    <w:multiLevelType w:val="hybridMultilevel"/>
    <w:lvl w:ilvl="0">
      <w:lvlJc w:val="left"/>
      <w:lvlText w:val="%1."/>
      <w:numFmt w:val="upperLetter"/>
      <w:start w:val="2"/>
    </w:lvl>
  </w:abstractNum>
  <w:abstractNum w:abstractNumId="25">
    <w:nsid w:val="7724C67E"/>
    <w:multiLevelType w:val="hybridMultilevel"/>
    <w:lvl w:ilvl="0">
      <w:lvlJc w:val="left"/>
      <w:lvlText w:val="%1."/>
      <w:numFmt w:val="decimal"/>
      <w:start w:val="3"/>
    </w:lvl>
  </w:abstractNum>
  <w:abstractNum w:abstractNumId="26">
    <w:nsid w:val="5C482A97"/>
    <w:multiLevelType w:val="hybridMultilevel"/>
    <w:lvl w:ilvl="0">
      <w:lvlJc w:val="left"/>
      <w:lvlText w:val="%1."/>
      <w:numFmt w:val="decimal"/>
      <w:start w:val="4"/>
    </w:lvl>
  </w:abstractNum>
  <w:abstractNum w:abstractNumId="27">
    <w:nsid w:val="2463B9EA"/>
    <w:multiLevelType w:val="hybridMultilevel"/>
    <w:lvl w:ilvl="0">
      <w:lvlJc w:val="left"/>
      <w:lvlText w:val="%1."/>
      <w:numFmt w:val="decimal"/>
      <w:start w:val="6"/>
    </w:lvl>
  </w:abstractNum>
  <w:abstractNum w:abstractNumId="28">
    <w:nsid w:val="5E884ADC"/>
    <w:multiLevelType w:val="hybridMultilevel"/>
    <w:lvl w:ilvl="0">
      <w:lvlJc w:val="left"/>
      <w:lvlText w:val="%1."/>
      <w:numFmt w:val="decimal"/>
      <w:start w:val="7"/>
    </w:lvl>
  </w:abstractNum>
  <w:abstractNum w:abstractNumId="29">
    <w:nsid w:val="51EAD36B"/>
    <w:multiLevelType w:val="hybridMultilevel"/>
    <w:lvl w:ilvl="0">
      <w:lvlJc w:val="left"/>
      <w:lvlText w:val="%1."/>
      <w:numFmt w:val="decimal"/>
      <w:start w:val="8"/>
    </w:lvl>
  </w:abstractNum>
  <w:abstractNum w:abstractNumId="30">
    <w:nsid w:val="2D517796"/>
    <w:multiLevelType w:val="hybridMultilevel"/>
    <w:lvl w:ilvl="0">
      <w:lvlJc w:val="left"/>
      <w:lvlText w:val="(%1)"/>
      <w:numFmt w:val="lowerRoman"/>
      <w:start w:val="5"/>
    </w:lvl>
  </w:abstractNum>
  <w:abstractNum w:abstractNumId="31">
    <w:nsid w:val="580BD78F"/>
    <w:multiLevelType w:val="hybridMultilevel"/>
    <w:lvl w:ilvl="0">
      <w:lvlJc w:val="left"/>
      <w:lvlText w:val="%1."/>
      <w:numFmt w:val="decimal"/>
      <w:start w:val="9"/>
    </w:lvl>
  </w:abstractNum>
  <w:abstractNum w:abstractNumId="32">
    <w:nsid w:val="153EA438"/>
    <w:multiLevelType w:val="hybridMultilevel"/>
    <w:lvl w:ilvl="0">
      <w:lvlJc w:val="left"/>
      <w:lvlText w:val="%1."/>
      <w:numFmt w:val="decimal"/>
      <w:start w:val="12"/>
    </w:lvl>
  </w:abstractNum>
  <w:abstractNum w:abstractNumId="33">
    <w:nsid w:val="3855585C"/>
    <w:multiLevelType w:val="hybridMultilevel"/>
    <w:lvl w:ilvl="0">
      <w:lvlJc w:val="left"/>
      <w:lvlText w:val="%1."/>
      <w:numFmt w:val="decimal"/>
      <w:start w:val="13"/>
    </w:lvl>
  </w:abstractNum>
  <w:abstractNum w:abstractNumId="34">
    <w:nsid w:val="70A64E2A"/>
    <w:multiLevelType w:val="hybridMultilevel"/>
    <w:lvl w:ilvl="0">
      <w:lvlJc w:val="left"/>
      <w:lvlText w:val="%1."/>
      <w:numFmt w:val="decimal"/>
      <w:start w:val="16"/>
    </w:lvl>
  </w:abstractNum>
  <w:abstractNum w:abstractNumId="35">
    <w:nsid w:val="6A2342EC"/>
    <w:multiLevelType w:val="hybridMultilevel"/>
    <w:lvl w:ilvl="0">
      <w:lvlJc w:val="left"/>
      <w:lvlText w:val="%1."/>
      <w:numFmt w:val="decimal"/>
      <w:start w:val="18"/>
    </w:lvl>
  </w:abstractNum>
  <w:abstractNum w:abstractNumId="36">
    <w:nsid w:val="2A487CB0"/>
    <w:multiLevelType w:val="hybridMultilevel"/>
    <w:lvl w:ilvl="0">
      <w:lvlJc w:val="left"/>
      <w:lvlText w:val="%1."/>
      <w:numFmt w:val="decimal"/>
      <w:start w:val="19"/>
    </w:lvl>
  </w:abstractNum>
  <w:abstractNum w:abstractNumId="37">
    <w:nsid w:val="1D4ED43B"/>
    <w:multiLevelType w:val="hybridMultilevel"/>
    <w:lvl w:ilvl="0">
      <w:lvlJc w:val="left"/>
      <w:lvlText w:val="%1."/>
      <w:numFmt w:val="decimal"/>
      <w:start w:val="20"/>
    </w:lvl>
  </w:abstractNum>
  <w:abstractNum w:abstractNumId="38">
    <w:nsid w:val="725A06FB"/>
    <w:multiLevelType w:val="hybridMultilevel"/>
    <w:lvl w:ilvl="0">
      <w:lvlJc w:val="left"/>
      <w:lvlText w:val="%1."/>
      <w:numFmt w:val="decimal"/>
      <w:start w:val="21"/>
    </w:lvl>
  </w:abstractNum>
  <w:abstractNum w:abstractNumId="39">
    <w:nsid w:val="2CD89A32"/>
    <w:multiLevelType w:val="hybridMultilevel"/>
    <w:lvl w:ilvl="0">
      <w:lvlJc w:val="left"/>
      <w:lvlText w:val="(%1)"/>
      <w:numFmt w:val="lowerRoman"/>
      <w:start w:val="1"/>
    </w:lvl>
  </w:abstractNum>
  <w:abstractNum w:abstractNumId="40">
    <w:nsid w:val="57E4CCAF"/>
    <w:multiLevelType w:val="hybridMultilevel"/>
    <w:lvl w:ilvl="0">
      <w:lvlJc w:val="left"/>
      <w:lvlText w:val="%1."/>
      <w:numFmt w:val="decimal"/>
      <w:start w:val="22"/>
    </w:lvl>
  </w:abstractNum>
  <w:abstractNum w:abstractNumId="41">
    <w:nsid w:val="7A6D8D3C"/>
    <w:multiLevelType w:val="hybridMultilevel"/>
    <w:lvl w:ilvl="0">
      <w:lvlJc w:val="left"/>
      <w:lvlText w:val="%1."/>
      <w:numFmt w:val="decimal"/>
      <w:start w:val="27"/>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2"/>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2019-12-15T06:56:30Z</dcterms:created>
  <dcterms:modified xsi:type="dcterms:W3CDTF">2019-12-15T06:56:30Z</dcterms:modified>
</cp:coreProperties>
</file>