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000-52008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LUNA INNOVATIONS INCORPORATED</w:t>
      </w:r>
    </w:p>
    <w:p>
      <w:pPr>
        <w:spacing w:after="0" w:line="50" w:lineRule="exact"/>
        <w:rPr>
          <w:sz w:val="24"/>
          <w:szCs w:val="24"/>
          <w:color w:val="auto"/>
        </w:rPr>
      </w:pPr>
    </w:p>
    <w:tbl>
      <w:tblPr>
        <w:tblLayout w:type="fixed"/>
        <w:tblInd w:w="2000" w:type="dxa"/>
        <w:tblCellMar>
          <w:top w:w="0" w:type="dxa"/>
          <w:left w:w="0" w:type="dxa"/>
          <w:bottom w:w="0" w:type="dxa"/>
          <w:right w:w="0" w:type="dxa"/>
        </w:tblCellMar>
      </w:tblPr>
      <w:tr>
        <w:trPr>
          <w:trHeight w:val="172"/>
        </w:trPr>
        <w:tc>
          <w:tcPr>
            <w:tcW w:w="1940" w:type="dxa"/>
            <w:vAlign w:val="bottom"/>
          </w:tcPr>
          <w:p>
            <w:pPr>
              <w:spacing w:after="0"/>
              <w:rPr>
                <w:sz w:val="14"/>
                <w:szCs w:val="14"/>
                <w:color w:val="auto"/>
              </w:rPr>
            </w:pPr>
          </w:p>
        </w:tc>
        <w:tc>
          <w:tcPr>
            <w:tcW w:w="5400" w:type="dxa"/>
            <w:vAlign w:val="bottom"/>
            <w:gridSpan w:val="3"/>
          </w:tcPr>
          <w:p>
            <w:pPr>
              <w:jc w:val="center"/>
              <w:ind w:right="1792"/>
              <w:spacing w:after="0"/>
              <w:rPr>
                <w:sz w:val="20"/>
                <w:szCs w:val="20"/>
                <w:color w:val="auto"/>
              </w:rPr>
            </w:pPr>
            <w:r>
              <w:rPr>
                <w:rFonts w:ascii="Arial" w:cs="Arial" w:eastAsia="Arial" w:hAnsi="Arial"/>
                <w:sz w:val="14"/>
                <w:szCs w:val="14"/>
                <w:b w:val="1"/>
                <w:bCs w:val="1"/>
                <w:i w:val="1"/>
                <w:iCs w:val="1"/>
                <w:color w:val="auto"/>
                <w:w w:val="84"/>
              </w:rPr>
              <w:t>(Exact name of registrant as specified in its charter)</w:t>
            </w:r>
          </w:p>
        </w:tc>
      </w:tr>
      <w:tr>
        <w:trPr>
          <w:trHeight w:val="286"/>
        </w:trPr>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40" w:type="dxa"/>
            <w:vAlign w:val="bottom"/>
          </w:tcPr>
          <w:p>
            <w:pPr>
              <w:spacing w:after="0"/>
              <w:rPr>
                <w:sz w:val="24"/>
                <w:szCs w:val="24"/>
                <w:color w:val="auto"/>
              </w:rPr>
            </w:pPr>
          </w:p>
        </w:tc>
      </w:tr>
      <w:tr>
        <w:trPr>
          <w:trHeight w:val="509"/>
        </w:trPr>
        <w:tc>
          <w:tcPr>
            <w:tcW w:w="1940" w:type="dxa"/>
            <w:vAlign w:val="bottom"/>
          </w:tcPr>
          <w:p>
            <w:pPr>
              <w:jc w:val="center"/>
              <w:ind w:right="126"/>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gridSpan w:val="3"/>
          </w:tcPr>
          <w:p>
            <w:pPr>
              <w:jc w:val="center"/>
              <w:ind w:left="4002"/>
              <w:spacing w:after="0"/>
              <w:rPr>
                <w:sz w:val="20"/>
                <w:szCs w:val="20"/>
                <w:color w:val="auto"/>
              </w:rPr>
            </w:pPr>
            <w:r>
              <w:rPr>
                <w:rFonts w:ascii="Arial" w:cs="Arial" w:eastAsia="Arial" w:hAnsi="Arial"/>
                <w:sz w:val="18"/>
                <w:szCs w:val="18"/>
                <w:b w:val="1"/>
                <w:bCs w:val="1"/>
                <w:color w:val="auto"/>
                <w:w w:val="87"/>
              </w:rPr>
              <w:t>54-1560050</w:t>
            </w:r>
          </w:p>
        </w:tc>
      </w:tr>
      <w:tr>
        <w:trPr>
          <w:trHeight w:val="149"/>
        </w:trPr>
        <w:tc>
          <w:tcPr>
            <w:tcW w:w="1940" w:type="dxa"/>
            <w:vAlign w:val="bottom"/>
          </w:tcPr>
          <w:p>
            <w:pPr>
              <w:jc w:val="center"/>
              <w:ind w:right="14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40" w:type="dxa"/>
            <w:vAlign w:val="bottom"/>
          </w:tcPr>
          <w:p>
            <w:pPr>
              <w:jc w:val="center"/>
              <w:ind w:left="1272"/>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1940" w:type="dxa"/>
            <w:vAlign w:val="bottom"/>
          </w:tcPr>
          <w:p>
            <w:pPr>
              <w:jc w:val="center"/>
              <w:ind w:right="126"/>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40" w:type="dxa"/>
            <w:vAlign w:val="bottom"/>
          </w:tcPr>
          <w:p>
            <w:pPr>
              <w:jc w:val="center"/>
              <w:ind w:left="1272"/>
              <w:spacing w:after="0"/>
              <w:rPr>
                <w:sz w:val="20"/>
                <w:szCs w:val="20"/>
                <w:color w:val="auto"/>
              </w:rPr>
            </w:pPr>
            <w:r>
              <w:rPr>
                <w:rFonts w:ascii="Arial" w:cs="Arial" w:eastAsia="Arial" w:hAnsi="Arial"/>
                <w:sz w:val="14"/>
                <w:szCs w:val="14"/>
                <w:b w:val="1"/>
                <w:bCs w:val="1"/>
                <w:i w:val="1"/>
                <w:iCs w:val="1"/>
                <w:color w:val="auto"/>
                <w:w w:val="87"/>
              </w:rPr>
              <w:t>Identification Number)</w:t>
            </w:r>
          </w:p>
        </w:tc>
      </w:tr>
      <w:tr>
        <w:trPr>
          <w:trHeight w:val="364"/>
        </w:trPr>
        <w:tc>
          <w:tcPr>
            <w:tcW w:w="1940" w:type="dxa"/>
            <w:vAlign w:val="bottom"/>
          </w:tcPr>
          <w:p>
            <w:pPr>
              <w:spacing w:after="0"/>
              <w:rPr>
                <w:sz w:val="24"/>
                <w:szCs w:val="24"/>
                <w:color w:val="auto"/>
              </w:rPr>
            </w:pPr>
          </w:p>
        </w:tc>
        <w:tc>
          <w:tcPr>
            <w:tcW w:w="5400" w:type="dxa"/>
            <w:vAlign w:val="bottom"/>
            <w:gridSpan w:val="3"/>
          </w:tcPr>
          <w:p>
            <w:pPr>
              <w:jc w:val="center"/>
              <w:ind w:right="1792"/>
              <w:spacing w:after="0"/>
              <w:rPr>
                <w:sz w:val="20"/>
                <w:szCs w:val="20"/>
                <w:color w:val="auto"/>
              </w:rPr>
            </w:pPr>
            <w:r>
              <w:rPr>
                <w:rFonts w:ascii="Arial" w:cs="Arial" w:eastAsia="Arial" w:hAnsi="Arial"/>
                <w:sz w:val="18"/>
                <w:szCs w:val="18"/>
                <w:b w:val="1"/>
                <w:bCs w:val="1"/>
                <w:color w:val="auto"/>
                <w:w w:val="86"/>
              </w:rPr>
              <w:t>1703 South Jefferson Street, SW, Suite 400</w:t>
            </w:r>
          </w:p>
        </w:tc>
      </w:tr>
      <w:tr>
        <w:trPr>
          <w:trHeight w:val="220"/>
        </w:trPr>
        <w:tc>
          <w:tcPr>
            <w:tcW w:w="1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0" w:type="dxa"/>
            <w:vAlign w:val="bottom"/>
            <w:gridSpan w:val="2"/>
          </w:tcPr>
          <w:p>
            <w:pPr>
              <w:jc w:val="center"/>
              <w:ind w:right="2592"/>
              <w:spacing w:after="0"/>
              <w:rPr>
                <w:sz w:val="20"/>
                <w:szCs w:val="20"/>
                <w:color w:val="auto"/>
              </w:rPr>
            </w:pPr>
            <w:r>
              <w:rPr>
                <w:rFonts w:ascii="Arial" w:cs="Arial" w:eastAsia="Arial" w:hAnsi="Arial"/>
                <w:sz w:val="18"/>
                <w:szCs w:val="18"/>
                <w:b w:val="1"/>
                <w:bCs w:val="1"/>
                <w:color w:val="auto"/>
                <w:w w:val="87"/>
              </w:rPr>
              <w:t>Roanoke, VA 24016</w:t>
            </w:r>
          </w:p>
        </w:tc>
      </w:tr>
      <w:tr>
        <w:trPr>
          <w:trHeight w:val="172"/>
        </w:trPr>
        <w:tc>
          <w:tcPr>
            <w:tcW w:w="1940" w:type="dxa"/>
            <w:vAlign w:val="bottom"/>
          </w:tcPr>
          <w:p>
            <w:pPr>
              <w:spacing w:after="0"/>
              <w:rPr>
                <w:sz w:val="14"/>
                <w:szCs w:val="14"/>
                <w:color w:val="auto"/>
              </w:rPr>
            </w:pPr>
          </w:p>
        </w:tc>
        <w:tc>
          <w:tcPr>
            <w:tcW w:w="5400" w:type="dxa"/>
            <w:vAlign w:val="bottom"/>
            <w:gridSpan w:val="3"/>
          </w:tcPr>
          <w:p>
            <w:pPr>
              <w:jc w:val="center"/>
              <w:ind w:right="1772"/>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r>
      <w:tr>
        <w:trPr>
          <w:trHeight w:val="354"/>
        </w:trPr>
        <w:tc>
          <w:tcPr>
            <w:tcW w:w="1940" w:type="dxa"/>
            <w:vAlign w:val="bottom"/>
          </w:tcPr>
          <w:p>
            <w:pPr>
              <w:spacing w:after="0"/>
              <w:rPr>
                <w:sz w:val="24"/>
                <w:szCs w:val="24"/>
                <w:color w:val="auto"/>
              </w:rPr>
            </w:pPr>
          </w:p>
        </w:tc>
        <w:tc>
          <w:tcPr>
            <w:tcW w:w="276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89"/>
              </w:rPr>
              <w:t>(540) 769-8400</w:t>
            </w:r>
          </w:p>
        </w:tc>
        <w:tc>
          <w:tcPr>
            <w:tcW w:w="2640" w:type="dxa"/>
            <w:vAlign w:val="bottom"/>
          </w:tcPr>
          <w:p>
            <w:pPr>
              <w:spacing w:after="0"/>
              <w:rPr>
                <w:sz w:val="24"/>
                <w:szCs w:val="24"/>
                <w:color w:val="auto"/>
              </w:rPr>
            </w:pPr>
          </w:p>
        </w:tc>
      </w:tr>
      <w:tr>
        <w:trPr>
          <w:trHeight w:val="172"/>
        </w:trPr>
        <w:tc>
          <w:tcPr>
            <w:tcW w:w="1940" w:type="dxa"/>
            <w:vAlign w:val="bottom"/>
          </w:tcPr>
          <w:p>
            <w:pPr>
              <w:spacing w:after="0"/>
              <w:rPr>
                <w:sz w:val="14"/>
                <w:szCs w:val="14"/>
                <w:color w:val="auto"/>
              </w:rPr>
            </w:pPr>
          </w:p>
        </w:tc>
        <w:tc>
          <w:tcPr>
            <w:tcW w:w="5400" w:type="dxa"/>
            <w:vAlign w:val="bottom"/>
            <w:gridSpan w:val="3"/>
          </w:tcPr>
          <w:p>
            <w:pPr>
              <w:jc w:val="center"/>
              <w:ind w:right="1772"/>
              <w:spacing w:after="0"/>
              <w:rPr>
                <w:sz w:val="20"/>
                <w:szCs w:val="20"/>
                <w:color w:val="auto"/>
              </w:rPr>
            </w:pPr>
            <w:r>
              <w:rPr>
                <w:rFonts w:ascii="Arial" w:cs="Arial" w:eastAsia="Arial" w:hAnsi="Arial"/>
                <w:sz w:val="14"/>
                <w:szCs w:val="14"/>
                <w:b w:val="1"/>
                <w:bCs w:val="1"/>
                <w:i w:val="1"/>
                <w:iCs w:val="1"/>
                <w:color w:val="auto"/>
                <w:w w:val="84"/>
              </w:rPr>
              <w:t>(Registrant’s Telephone Number, Including Area Code)</w:t>
            </w:r>
          </w:p>
        </w:tc>
      </w:tr>
    </w:tbl>
    <w:p>
      <w:pPr>
        <w:spacing w:after="0" w:line="300"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196215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940"/>
        <w:spacing w:after="0" w:line="207" w:lineRule="exact"/>
        <w:tabs>
          <w:tab w:leader="none" w:pos="5000" w:val="left"/>
          <w:tab w:leader="none" w:pos="66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right="220" w:firstLine="456"/>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August 6, 2007, there were 10,271,020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60" w:type="dxa"/>
            <w:vAlign w:val="bottom"/>
            <w:gridSpan w:val="8"/>
          </w:tcPr>
          <w:p>
            <w:pPr>
              <w:spacing w:after="0"/>
              <w:rPr>
                <w:sz w:val="17"/>
                <w:szCs w:val="17"/>
                <w:color w:val="auto"/>
              </w:rPr>
            </w:pPr>
          </w:p>
        </w:tc>
        <w:tc>
          <w:tcPr>
            <w:tcW w:w="1340" w:type="dxa"/>
            <w:vAlign w:val="bottom"/>
          </w:tcPr>
          <w:p>
            <w:pPr>
              <w:spacing w:after="0"/>
              <w:rPr>
                <w:sz w:val="17"/>
                <w:szCs w:val="17"/>
                <w:color w:val="auto"/>
              </w:rPr>
            </w:pP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87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MANAGEMENT’S DISCUSSION AND ANALYSIS OF FINANCIAL CONDITION AND RESULTS OF OPERATIONS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60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QUANTITATIVE AND QUALITATIVE DISCLOSURES ABOUT MARKET RISK</w:t>
              </w:r>
            </w:hyperlink>
          </w:p>
        </w:tc>
        <w:tc>
          <w:tcPr>
            <w:tcW w:w="27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PART II. OTHER INFORMATION</w:t>
              </w:r>
            </w:hyperlink>
          </w:p>
        </w:tc>
        <w:tc>
          <w:tcPr>
            <w:tcW w:w="7560" w:type="dxa"/>
            <w:vAlign w:val="bottom"/>
            <w:gridSpan w:val="10"/>
          </w:tcPr>
          <w:p>
            <w:pPr>
              <w:spacing w:after="0"/>
              <w:rPr>
                <w:sz w:val="24"/>
                <w:szCs w:val="24"/>
                <w:color w:val="auto"/>
              </w:rPr>
            </w:pPr>
          </w:p>
        </w:tc>
        <w:tc>
          <w:tcPr>
            <w:tcW w:w="1340" w:type="dxa"/>
            <w:vAlign w:val="bottom"/>
          </w:tcPr>
          <w:p>
            <w:pPr>
              <w:spacing w:after="0"/>
              <w:rPr>
                <w:sz w:val="24"/>
                <w:szCs w:val="24"/>
                <w:color w:val="auto"/>
              </w:rPr>
            </w:pP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LEGAL PROCEEDINGS</w:t>
              </w:r>
            </w:hyperlink>
          </w:p>
        </w:tc>
        <w:tc>
          <w:tcPr>
            <w:tcW w:w="6860" w:type="dxa"/>
            <w:vAlign w:val="bottom"/>
            <w:gridSpan w:val="7"/>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1A.</w:t>
            </w:r>
          </w:p>
        </w:tc>
        <w:tc>
          <w:tcPr>
            <w:tcW w:w="870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870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24"/>
                <w:szCs w:val="24"/>
                <w:color w:val="auto"/>
              </w:rPr>
            </w:pPr>
          </w:p>
        </w:tc>
        <w:tc>
          <w:tcPr>
            <w:tcW w:w="278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SUBMISSION OF MATTERS TO A VOTE OF SECURITY HOLDERS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5.</w:t>
            </w:r>
          </w:p>
        </w:tc>
        <w:tc>
          <w:tcPr>
            <w:tcW w:w="5160" w:type="dxa"/>
            <w:vAlign w:val="bottom"/>
            <w:tcBorders>
              <w:top w:val="single" w:sz="8" w:color="0000EE"/>
            </w:tcBorders>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3540" w:type="dxa"/>
            <w:vAlign w:val="bottom"/>
            <w:gridSpan w:val="3"/>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38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6860" w:type="dxa"/>
            <w:vAlign w:val="bottom"/>
            <w:gridSpan w:val="7"/>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3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3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 INDEX</w:t>
              </w:r>
            </w:hyperlink>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10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9"/>
          </w:tcPr>
          <w:p>
            <w:pPr>
              <w:ind w:left="430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80" w:type="dxa"/>
            <w:vAlign w:val="bottom"/>
          </w:tcPr>
          <w:p>
            <w:pPr>
              <w:jc w:val="center"/>
              <w:ind w:left="123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80" w:type="dxa"/>
            <w:vAlign w:val="bottom"/>
          </w:tcPr>
          <w:p>
            <w:pPr>
              <w:jc w:val="center"/>
              <w:ind w:left="1232"/>
              <w:spacing w:after="0"/>
              <w:rPr>
                <w:sz w:val="20"/>
                <w:szCs w:val="20"/>
                <w:color w:val="auto"/>
              </w:rPr>
            </w:pPr>
            <w:r>
              <w:rPr>
                <w:rFonts w:ascii="Arial" w:cs="Arial" w:eastAsia="Arial" w:hAnsi="Arial"/>
                <w:sz w:val="18"/>
                <w:szCs w:val="18"/>
                <w:b w:val="1"/>
                <w:bCs w:val="1"/>
                <w:color w:val="auto"/>
                <w:w w:val="90"/>
              </w:rPr>
              <w:t>Luna Innovations Incorporated</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80" w:type="dxa"/>
            <w:vAlign w:val="bottom"/>
          </w:tcPr>
          <w:p>
            <w:pPr>
              <w:jc w:val="center"/>
              <w:ind w:left="1232"/>
              <w:spacing w:after="0"/>
              <w:rPr>
                <w:sz w:val="20"/>
                <w:szCs w:val="20"/>
                <w:color w:val="auto"/>
              </w:rPr>
            </w:pPr>
            <w:r>
              <w:rPr>
                <w:rFonts w:ascii="Arial" w:cs="Arial" w:eastAsia="Arial" w:hAnsi="Arial"/>
                <w:sz w:val="18"/>
                <w:szCs w:val="18"/>
                <w:b w:val="1"/>
                <w:bCs w:val="1"/>
                <w:color w:val="auto"/>
                <w:w w:val="84"/>
              </w:rPr>
              <w:t>Consolidated Balance Sheets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4"/>
              <w:spacing w:after="0" w:line="143"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13,933,115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17,866,753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7,999,979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7,233,406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Refundable income taxes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1,334,619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24,110,814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26,843,218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5,730,094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1,965,947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2,031,489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0"/>
              </w:rPr>
              <w:t>Other assets</w:t>
            </w:r>
          </w:p>
        </w:tc>
        <w:tc>
          <w:tcPr>
            <w:tcW w:w="8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8"/>
              </w:rPr>
              <w:t>Total assets</w:t>
            </w:r>
          </w:p>
        </w:tc>
        <w:tc>
          <w:tcPr>
            <w:tcW w:w="8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32,960,452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35,217,214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58,708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 obligation</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2,093,850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2,757,381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3,627,277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Deferred credits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2,268,262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8,787,845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7,559,667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Long-term capital lease obligation</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14,404,302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13,141,958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Common stock, par value $0.001, 100,000,000 shares authorized at June 30, 2007 and December 31, 2006,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10,250,208 and 9,911,546 shares issued and outstanding at June 30, 2007 and December 31, 2006, respectively</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32,926,183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31,585,762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(14,380,283)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(9,520,418)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18,556,150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22,075,256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32,960,452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35,217,214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3"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jc w:val="right"/>
              <w:ind w:right="980"/>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202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5,852,109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4,170,273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11,138,706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8,091,212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2,003,171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762,442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3,786,747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1,357,740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7,855,280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4,932,715</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14,925,453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9,448,952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Technology development costs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4,048,424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3,105,289</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7,898,039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6,013,124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costs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408,219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1,712,189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revenues</w:t>
            </w: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4,960,192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3,513,508</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9,610,228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6,687,394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2,895,088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1,419,207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5,315,225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5,185,965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4,252,343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10,400,984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7,694,351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(2,290,877)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(2,833,136)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(5,085,759)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(4,932,793)</w:t>
            </w: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Interest income, net</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113,107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109,185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112,295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4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(2,177,770)</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(2,720,841)</w:t>
            </w: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(4,859,865)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(4,810,251)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(2,177,770)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(2,720,841)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(4,859,865)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(4,810,251)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10,136,446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7,277,964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10,053,371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6,677,306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10,136,446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7,277,964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10,053,371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6,677,306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9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6"/>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214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(4,859,865)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8"/>
              </w:rPr>
              <w:t>$ (4,810,251)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color w:val="auto"/>
              </w:rPr>
              <w:t>892,838</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502,401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1,096,555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Change in assets and liabilities: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(766,573)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880"/>
              <w:spacing w:after="0"/>
              <w:rPr>
                <w:sz w:val="20"/>
                <w:szCs w:val="20"/>
                <w:color w:val="auto"/>
              </w:rPr>
            </w:pPr>
            <w:r>
              <w:rPr>
                <w:rFonts w:ascii="Arial" w:cs="Arial" w:eastAsia="Arial" w:hAnsi="Arial"/>
                <w:sz w:val="18"/>
                <w:szCs w:val="18"/>
                <w:color w:val="auto"/>
              </w:rPr>
              <w:t>Refundable income taxes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Inventory</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(491,325)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56,721</w:t>
            </w: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(466,093)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880"/>
              <w:spacing w:after="0"/>
              <w:rPr>
                <w:sz w:val="20"/>
                <w:szCs w:val="20"/>
                <w:color w:val="auto"/>
              </w:rPr>
            </w:pPr>
            <w:r>
              <w:rPr>
                <w:rFonts w:ascii="Arial" w:cs="Arial" w:eastAsia="Arial" w:hAnsi="Arial"/>
                <w:sz w:val="18"/>
                <w:szCs w:val="18"/>
                <w:color w:val="auto"/>
              </w:rPr>
              <w:t>Deferred credits</w:t>
            </w:r>
          </w:p>
        </w:tc>
        <w:tc>
          <w:tcPr>
            <w:tcW w:w="900" w:type="dxa"/>
            <w:vAlign w:val="bottom"/>
          </w:tcPr>
          <w:p>
            <w:pPr>
              <w:jc w:val="right"/>
              <w:spacing w:after="0"/>
              <w:rPr>
                <w:sz w:val="20"/>
                <w:szCs w:val="20"/>
                <w:color w:val="auto"/>
              </w:rPr>
            </w:pPr>
            <w:r>
              <w:rPr>
                <w:rFonts w:ascii="Arial" w:cs="Arial" w:eastAsia="Arial" w:hAnsi="Arial"/>
                <w:sz w:val="18"/>
                <w:szCs w:val="18"/>
                <w:color w:val="auto"/>
              </w:rPr>
              <w:t>1,443,585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(489,876)</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(2,551,848)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(2,698,212)</w:t>
            </w: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9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property and equipment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(1,171,747)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(632,587)</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Intangible property costs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(196,790)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(197,300)</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(1,368,537)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(829,887)</w:t>
            </w: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capital lease obligations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(49,899)</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Proceeds from the issuance of common stock, net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17,660,608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the exercise of options and warrants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244,206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Payment of debt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(214,955)</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17,689,737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w:t>
            </w: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vMerge w:val="continue"/>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(3,933,638)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14,161,638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17,866,753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12,514,839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13,933,115</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26,676,477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right="6680" w:firstLine="8"/>
        <w:spacing w:after="0" w:line="347" w:lineRule="auto"/>
        <w:tabs>
          <w:tab w:leader="none" w:pos="44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Nature of Operations</w:t>
      </w:r>
    </w:p>
    <w:p>
      <w:pPr>
        <w:spacing w:after="0" w:line="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Luna Innovations Incorporated (“Luna Innovations”) was incorporated in the Commonwealth of Virginia in 1990 and subsequently reincorporated in the State of Delaware in April 2003. We research, develop and commercialize innovative technologies in two primary areas of focus: instrumentation and test &amp; measurement products and healthcare products. We have a disciplined and integrated business model that is designed to accelerate the process of bringing new and innovative products to market. We identify technologies that can fulfill unmet market needs and then take these technologies from the applied research stage through commercialization.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(US GAAP) and with the instructions to Form 10-Q and Article 10 of Regulation S-X of the Securities Exchange Act of 1934. Accordingly, they do not include all of the information and footnotes required by US GAAP for audited financial statements. The unaudited consolidated financial statements have been prepared on the same basis as the annual financial statements and in the opinion of management reflect all adjustments, consisting of only normal recurring accruals, considered necessary to present fairly our financial position at June 30, 2007 and results of operations and cash flows for the three and six months ended June 30, 2007 and 2006. The results of operations for the three and six months ended June 30, 2007 are not necessarily indicative of the results that may be expected for the year ending December 31, 2007.</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consolidated financial statements, including the Company’s significant accounting policies, should be read in conjunction with the audited Consolidated Financial Statements and the notes thereto included in the Company’s Form 10-K as amended and filed with the Securities and Exchange Commission on March 30, 2007. As used herein, the terms “Luna”, “Company”, “we”, “our” and “us” mean Luna Innovations Incorporated and its consolidated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Policy</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consolidated financial statements are prepared in accordance with US GAAP and include the accounts of the Company, its wholly owned subsidiaries and other entities in which the Company has a controlling financial interest. We eliminate from our financial results all significant intercompany transactions. The Company does not have any investments in entities it believes are variable interest entities for which the Company is the primary beneficiary.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make estimates and assumptions that affect the reported amounts of assets, liabilities, revenues and expenses and the disclosure of contingent assets and liabilities in our consolidated financial statements and accompanying notes. Although these estimates and assumptions are based on our knowledge of current events and actions we may undertake in the future, actual results may differ.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Inventory consists of finished goods and parts valued at the lower of cost (determined on the first-in, first-out basis) or market. We provide reserves for estimated obsolescence or unmarketable inventory equal to the difference between the cost of the inventory and the estimated market value based upon assumptions about future demand and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We compute net loss per share in accordance with Statement of Financial Accounting Standards (SFAS)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per share data is computed by dividing loss available to common shareholders by the weighted average number of shares outstanding during the period. Diluted per share data is computed by dividing loss available to common shareholders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 share amounts for all periods presented in this report have been adjusted to reflect the 1-for-1.7691911 reverse stock split of our common stock occurring on May 23, 2006. All applicable share and per share amounts in the financial statements give pro forma effect to such split. The following information presents the pro forma effect of such split on basic and diluted net loss per share: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9"/>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3"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9"/>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(2,177,770)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(2,720,841)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(4,859,865)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(4,810,251)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Weighted average shares—basic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10,136,446</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7,277,964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10,053,371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6,677,306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0"/>
              </w:rPr>
              <w:t>Dilutive effect of common stock equivalents: Shares issued upon the exercise of stock options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warrants</w:t>
            </w:r>
          </w:p>
        </w:tc>
        <w:tc>
          <w:tcPr>
            <w:tcW w:w="2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Weighted averages shares—diluted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10,136,446</w:t>
            </w: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7,277,964</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10,053,371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6,677,306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share—diluted</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gridSpan w:val="2"/>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effect of 3,239,961 and 4,084,989 common stock equivalents are ignored for the three months ended June 30, 2007 and 2006, respectively, as they are antidilutive to earnings per share. In addition, the conversion of the $5.0 million in senior convertible promissory notes would have been antidilutive for such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We have a stock-based compensation plan, which is described further in Note 9 to the Financial Statements in the Company’s Form 10-K as amended and filed with the Securities and Exchange Commission on April 6, 2007. Effective January 1, 2006, we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using the modified prospective transition method. Under this transition method, our financial statements for the periods prior to January 1, 2006 have not been restated. However, new awards and awards modified, repurchased or cancelled after January 1, 2006, result in compensation expense based on the fair value of the stock option as determined by the Black-Scholes option pricing model. We amortize share-based compensation for such awards on a straight-line basis over the related service period of the awards taking into account the effects of the employees’ expected exercise and post-vesting employment termination behavior.</w:t>
      </w:r>
    </w:p>
    <w:p>
      <w:pPr>
        <w:spacing w:after="0" w:line="14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account for share-based employee compensation arrangements in accordance with the provisions of SFAS No. 123R. We account for equity instruments issued to non-employees in accordance with the provisions of SFAS No. 123R and Emerging Issues Task Force (EITF) Issue No. 96-18.</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is estimated as of the grant date using the Black-Scholes option pricing model with the following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Six Months Ended</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75"/>
        </w:trPr>
        <w:tc>
          <w:tcPr>
            <w:tcW w:w="8360" w:type="dxa"/>
            <w:vAlign w:val="bottom"/>
          </w:tcPr>
          <w:p>
            <w:pPr>
              <w:spacing w:after="0"/>
              <w:rPr>
                <w:sz w:val="15"/>
                <w:szCs w:val="15"/>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June 30, 2007</w:t>
            </w:r>
          </w:p>
        </w:tc>
        <w:tc>
          <w:tcPr>
            <w:tcW w:w="760" w:type="dxa"/>
            <w:vAlign w:val="bottom"/>
          </w:tcPr>
          <w:p>
            <w:pPr>
              <w:spacing w:after="0"/>
              <w:rPr>
                <w:sz w:val="15"/>
                <w:szCs w:val="15"/>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June 30, 2006</w:t>
            </w:r>
          </w:p>
        </w:tc>
        <w:tc>
          <w:tcPr>
            <w:tcW w:w="140" w:type="dxa"/>
            <w:vAlign w:val="bottom"/>
          </w:tcPr>
          <w:p>
            <w:pPr>
              <w:spacing w:after="0"/>
              <w:rPr>
                <w:sz w:val="15"/>
                <w:szCs w:val="15"/>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4.50 to 4.96%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 to 5.20%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Expected life of option—range of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7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 – 7.5</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56.8 to 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risk-free interest rate is based on US Treasury interest rates, the terms of which are consistent with the expected life of the stock options. Expected volatility for the three months ended June 30, 2007 is based upon the volatility of our common stock price for the 12 month period beginning July 1, 2006 and ending June 30, 2007. Expected volatility for the six months ended June 30, 2006 was based on the average volatility of comparable public companies due to the lack of historical market price data for our stock on such date. The expected life and estimated post employment termination behavior is based upon historical experience of homogeneous groups within our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status of our 2003 Stock Plan and 2006 Equity Incentive Plan is presented below for the periods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Options Exercisable</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Price per Share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Aggregate</w:t>
            </w: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72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85"/>
        </w:trPr>
        <w:tc>
          <w:tcPr>
            <w:tcW w:w="9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6"/>
                <w:szCs w:val="6"/>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100" w:type="dxa"/>
            <w:vAlign w:val="bottom"/>
          </w:tcPr>
          <w:p>
            <w:pPr>
              <w:spacing w:after="0"/>
              <w:rPr>
                <w:sz w:val="6"/>
                <w:szCs w:val="6"/>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6"/>
                <w:szCs w:val="6"/>
                <w:color w:val="auto"/>
              </w:rPr>
            </w:pPr>
          </w:p>
        </w:tc>
        <w:tc>
          <w:tcPr>
            <w:tcW w:w="7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Range</w:t>
            </w:r>
          </w:p>
        </w:tc>
        <w:tc>
          <w:tcPr>
            <w:tcW w:w="22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Exercise Price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 (1)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4,982,594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$ 0.35 -$7.08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12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6"/>
              </w:rPr>
              <w:t>12,215,503</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2,322,665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1,961,849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379,000</w:t>
            </w:r>
          </w:p>
        </w:tc>
        <w:tc>
          <w:tcPr>
            <w:tcW w:w="160" w:type="dxa"/>
            <w:vAlign w:val="bottom"/>
          </w:tcPr>
          <w:p>
            <w:pPr>
              <w:spacing w:after="0"/>
              <w:rPr>
                <w:sz w:val="18"/>
                <w:szCs w:val="18"/>
                <w:color w:val="auto"/>
              </w:rPr>
            </w:pP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$ 3.67 -$3.69</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(107,591)</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$ 0.35 -$1.77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440"/>
              <w:spacing w:after="0"/>
              <w:rPr>
                <w:sz w:val="20"/>
                <w:szCs w:val="20"/>
                <w:color w:val="auto"/>
              </w:rPr>
            </w:pPr>
            <w:r>
              <w:rPr>
                <w:rFonts w:ascii="Arial" w:cs="Arial" w:eastAsia="Arial" w:hAnsi="Arial"/>
                <w:sz w:val="18"/>
                <w:szCs w:val="18"/>
                <w:color w:val="auto"/>
              </w:rPr>
              <w:t>Canceled</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(38,288)</w:t>
            </w: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$ 0.35 -$6.00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2007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5,215,715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$ 0.35 -$7.08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12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6"/>
              </w:rPr>
              <w:t>10,978,075</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2,638,065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6,987,607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228,650</w:t>
            </w:r>
          </w:p>
        </w:tc>
        <w:tc>
          <w:tcPr>
            <w:tcW w:w="160" w:type="dxa"/>
            <w:vAlign w:val="bottom"/>
          </w:tcPr>
          <w:p>
            <w:pPr>
              <w:spacing w:after="0"/>
              <w:rPr>
                <w:sz w:val="18"/>
                <w:szCs w:val="18"/>
                <w:color w:val="auto"/>
              </w:rPr>
            </w:pP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$3.16 - $4.72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(211,950)</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$0.35 - $1.77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440"/>
              <w:spacing w:after="0"/>
              <w:rPr>
                <w:sz w:val="20"/>
                <w:szCs w:val="20"/>
                <w:color w:val="auto"/>
              </w:rPr>
            </w:pPr>
            <w:r>
              <w:rPr>
                <w:rFonts w:ascii="Arial" w:cs="Arial" w:eastAsia="Arial" w:hAnsi="Arial"/>
                <w:sz w:val="18"/>
                <w:szCs w:val="18"/>
                <w:color w:val="auto"/>
              </w:rPr>
              <w:t>Canceled</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(139,097)</w:t>
            </w: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$0.35 - $6.00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5,093,318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$0.35 - $7.08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12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6"/>
              </w:rPr>
              <w:t>14,724,876</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2,652,454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9,473,547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the option of in-money options only. The aggregate intrinsic value is based on the price of $4.37 on June 30, 2007. The price on June 30, 2007 represents the closing price of the Company’s Common Stock on the NASDAQ Global Market.</w:t>
      </w:r>
    </w:p>
    <w:p>
      <w:pPr>
        <w:spacing w:after="0" w:line="140" w:lineRule="exact"/>
        <w:rPr>
          <w:sz w:val="20"/>
          <w:szCs w:val="20"/>
          <w:color w:val="auto"/>
        </w:rPr>
      </w:pPr>
    </w:p>
    <w:p>
      <w:pPr>
        <w:ind w:right="1160" w:firstLine="456"/>
        <w:spacing w:after="0" w:line="332" w:lineRule="auto"/>
        <w:rPr>
          <w:sz w:val="20"/>
          <w:szCs w:val="20"/>
          <w:color w:val="auto"/>
        </w:rPr>
      </w:pPr>
      <w:r>
        <w:rPr>
          <w:rFonts w:ascii="Arial" w:cs="Arial" w:eastAsia="Arial" w:hAnsi="Arial"/>
          <w:sz w:val="16"/>
          <w:szCs w:val="16"/>
          <w:color w:val="auto"/>
        </w:rPr>
        <w:t>At June 30, 2007, our 5,093,318 million outstanding stock options had a weighted average remaining contractual term of 8.1 years, and our 2,652,454 million outstanding and exercisable stock options had a weighted average remaining contractual term of 7.5 years.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June 30, 2007 and 2006, we recognized $558,343 and $352,595 in share-based payment expense and for the six months ended June 30, 2007 and 2006, we recognized $1,096,555 and $761,282 in share-based payment expense. We will recognize approximately $6.5 million over the remaining requisite service period of approximately four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Our effective quarterly tax rate is estimated based upon the effective tax to be applicable to the full fiscal year. A deferred tax asset of $600,000 was recorded at December 31, 2006 and June 30, 2007, based upon management’s assessment that more likely than not the benefit will be realized in future periods.</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Effective January 1, 2007, we adopted FASB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FIN 48 prescribes a more-likely-than-not threshold of financial statement recognition and measurement of a tax position taken or expected to be taken in a tax return. This interpretation also provides guidance on derecognition of income tax assets and liabilities, classification of current and deferred tax assets and liabilities, accounting for interest and penalties associated with tax positions, accounting for income taxes in interim periods and income tax disclosures. The cumulative effects of applying this interpretation did not have a significant impact on either our net deferred tax assets or valuation allowance.</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have made no adjustments to the classification of assets or liabilities, or recognition of any income tax related expenses, in connection with the adoption of FIN 48.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clarifies the principle that fair value should be based on the assumptions market participants would use when pricing an asset or liability and establishes a fair value hierarchy that prioritizes the information used to develop those assumptions. SFAS No. 157 is effective for the fiscal year beginning January 1, 2007. The Company’s adoption of SFAS No. 157 did not have a material impact on its consolidated financial statements.</w:t>
      </w:r>
    </w:p>
    <w:p>
      <w:pPr>
        <w:spacing w:after="0" w:line="2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the end of June 2007, the Company entered into a new line of credit agreement with First National Bank (FNB) for a 364 day term. The new line of credit increased the amount available to borrow from $2.5 million to $3.0 million. There were no outstanding balances on our line of credit with First National Bank (FNB) at June 30, 2007 and at December 31, 2006, and no borrowings during the six month period ended June 30, 2007. The agreement also includes a $1.0 million sub-limit under the line of credit for the issuance of letters of credit, and FNB issued a $719,500 letter of credit on our behalf to the Industrial Development Authority of Montgomery County, Virginia, in conjunction with the Company’s execution of an office lease.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 and Capital Structure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23, 2006, we effected a 1-for-1.7691911 reverse stock split of our common stock in anticipation of our initial public offering. In connection with our June 2, 2006 initial public offering, we sold 3,500,000 shares of common stock at $6.00 per share resulting in gross proceeds of $21.0 million. In connection with this offering, we paid $1.47 million in underwriting discounts and commissions and incurred other offering expenses of approximately $1.66 million. The net proceeds from the offering were approximately $17.9 million.</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Concurrent with the initial public offering, all outstanding shares of our Class A voting Common Stock, Class B non-voting Common Stock, and Class C voting Common Stock were converted to shares of common stock on a one-for-one basis. All outstanding shares of our Redeemable Class B Common Stock converted to common stock on a one-for-one basis as the successful initial public offering eliminated the redeemable feature of such shares. We also issued 96,724 shares of common stock to Carilion Clinic in accordance with the anti-dilution provisions of our previous amended and restated certificate of incorporation, which was adopted in connection with our Class C Common Stock financing in December 2005. Upon the closing of our initial public offering the total authorized shares of our capital stock increased to 100,000,000 shares of common stock and 5,000,000 shares of preferred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2007, our capital structure changed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90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80"/>
        </w:trPr>
        <w:tc>
          <w:tcPr>
            <w:tcW w:w="8540" w:type="dxa"/>
            <w:vAlign w:val="bottom"/>
          </w:tcPr>
          <w:p>
            <w:pPr>
              <w:spacing w:after="0"/>
              <w:rPr>
                <w:sz w:val="6"/>
                <w:szCs w:val="6"/>
                <w:color w:val="auto"/>
              </w:rPr>
            </w:pPr>
          </w:p>
        </w:tc>
        <w:tc>
          <w:tcPr>
            <w:tcW w:w="190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48"/>
        </w:trPr>
        <w:tc>
          <w:tcPr>
            <w:tcW w:w="85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2006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9,911,546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31,585,762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107,591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Share-based compensation</w:t>
            </w: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Balances, March 31, 2007</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10,022,254</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$ 10,022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32,154,357</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Warrants exercised and stock issued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Balances, June 30, 2007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10,250,208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32,926,183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Our operations are divided into two operating segments—Technology Development and Product and Licensing.</w:t>
      </w:r>
    </w:p>
    <w:p>
      <w:pPr>
        <w:spacing w:after="0" w:line="171"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 primarily from services.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Product and Licensing segment develops and sells products or licenses technologies based on commercially viable concepts developed, in whole or in part, by the Technology Development segment. The Product and Licensing segment derives its revenue from product sales, product development fees and technology licenses.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Chief Executive Officer and his direct reports collectively represent our chief operating decision makers, and they evaluate segment performance based primarily on revenue and operating income or loss. The accounting policies of our segments are the same as those described in the summary of significant accounting policies (see Note 1 to our Financial Statements, “Organization and Summary of Significant Accounting Policies,” presented in Form 10-K as amended and filed with the Securities and Exchange Commission on March 30,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revenues and operating loss for reportable segments: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5"/>
              <w:spacing w:after="0" w:line="143"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32"/>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Technology Development Revenue</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5,852,109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4,170,273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1"/>
              </w:rPr>
              <w:t>$ 11,138,706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$ 8,091,212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Product and License Revenue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2,003,171</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762,442</w:t>
            </w:r>
          </w:p>
        </w:tc>
        <w:tc>
          <w:tcPr>
            <w:tcW w:w="880" w:type="dxa"/>
            <w:vAlign w:val="bottom"/>
          </w:tcPr>
          <w:p>
            <w:pPr>
              <w:jc w:val="right"/>
              <w:spacing w:after="0"/>
              <w:rPr>
                <w:sz w:val="20"/>
                <w:szCs w:val="20"/>
                <w:color w:val="auto"/>
              </w:rPr>
            </w:pPr>
            <w:r>
              <w:rPr>
                <w:rFonts w:ascii="Arial" w:cs="Arial" w:eastAsia="Arial" w:hAnsi="Arial"/>
                <w:sz w:val="18"/>
                <w:szCs w:val="18"/>
                <w:color w:val="auto"/>
              </w:rPr>
              <w:t>3,786,747</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1,357,740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7,855,280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4,932,715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14,925,453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$ 9,448,952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Technology Development Operating Loss</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vMerge w:val="continue"/>
          </w:tcPr>
          <w:p>
            <w:pPr>
              <w:spacing w:after="0"/>
              <w:rPr>
                <w:sz w:val="18"/>
                <w:szCs w:val="18"/>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(830,162)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(878,406)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(1,940,975)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9"/>
              </w:rPr>
              <w:t>$(1,914,400)</w:t>
            </w: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Product and License Operating Loss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(1,460,715)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(1,954,730)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(3,144,784)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(3,018,393)</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440"/>
              <w:spacing w:after="0"/>
              <w:rPr>
                <w:sz w:val="20"/>
                <w:szCs w:val="20"/>
                <w:color w:val="auto"/>
              </w:rPr>
            </w:pPr>
            <w:r>
              <w:rPr>
                <w:rFonts w:ascii="Arial" w:cs="Arial" w:eastAsia="Arial" w:hAnsi="Arial"/>
                <w:sz w:val="18"/>
                <w:szCs w:val="18"/>
                <w:color w:val="auto"/>
              </w:rPr>
              <w:t>Total Operating Loss</w:t>
            </w: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00" w:type="dxa"/>
            <w:vAlign w:val="bottom"/>
            <w:vMerge w:val="continue"/>
          </w:tcPr>
          <w:p>
            <w:pPr>
              <w:spacing w:after="0"/>
              <w:rPr>
                <w:sz w:val="19"/>
                <w:szCs w:val="19"/>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(2,290,877)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(2,833,136)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(5,085,759)</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(4,932,793)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720" w:type="dxa"/>
            <w:vAlign w:val="bottom"/>
            <w:vMerge w:val="restart"/>
          </w:tcPr>
          <w:p>
            <w:pPr>
              <w:jc w:val="right"/>
              <w:ind w:right="117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segment information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960" w:type="dxa"/>
            <w:vAlign w:val="bottom"/>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75"/>
        </w:trPr>
        <w:tc>
          <w:tcPr>
            <w:tcW w:w="8280" w:type="dxa"/>
            <w:vAlign w:val="bottom"/>
          </w:tcPr>
          <w:p>
            <w:pPr>
              <w:spacing w:after="0"/>
              <w:rPr>
                <w:sz w:val="15"/>
                <w:szCs w:val="15"/>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2006</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assets: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Technology Development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$ 29,102,013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29,108,744</w:t>
            </w: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and License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3,858,439</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6,108,470</w:t>
            </w:r>
          </w:p>
        </w:tc>
      </w:tr>
      <w:tr>
        <w:trPr>
          <w:trHeight w:val="222"/>
        </w:trPr>
        <w:tc>
          <w:tcPr>
            <w:tcW w:w="8280" w:type="dxa"/>
            <w:vAlign w:val="bottom"/>
          </w:tcPr>
          <w:p>
            <w:pPr>
              <w:ind w:left="8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$ 32,960,452</w:t>
            </w: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35,217,214</w:t>
            </w: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material inter-segment revenues for any period presented.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United States Government accounted for approximately 61% and 73% of total consolidated revenues for the three months ended June 30, 2007 and 2006, and 62% and 74% of revenues for the six months ending June 30, 2007 and June 30, 2006, respectively.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International revenues (customers outside of the United States) accounted for 0.0% and 4.6% of total revenues for the three months ended June 30, 2007 and 2006, and 0.6% and 3.2% of total revenues for the six months ended June 30, 2007 and June 30, 2006.</w:t>
      </w:r>
    </w:p>
    <w:p>
      <w:pPr>
        <w:spacing w:after="0" w:line="2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Guarantees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is from time to time involved in certain legal proceedings in the ordinary course of conducting its business. While the ultimate liability pursuant to these actions cannot currently be determined, the Company believes these legal proceedings will not have a material adverse effect on its financial position or results of operations. On June 22, 2007, Hansen Medical, Inc. (“Hansen”) filed a lawsuit against us in California State Court, Santa Clara County, alleging misappropriation of trade secrets, unfair competition, breach of contract, and breach of the implied covenant of good faith and fair dealing. The claims allegedly stem from our past relationship with Hansen and our past and future relationship with Intuitive Surgical, Inc. (“Intuitive”). The lawsuit makes an unspecified claim for damages, however Hansen has not indicated how it will substantiate such damages and we are unable to reasonably estimate the amount of damages, if any, that Hansen will seek. We cannot predict the ultimate outcome of this litigation and we are unable to estimate any potential liability we may incur.</w:t>
      </w:r>
    </w:p>
    <w:p>
      <w:pPr>
        <w:spacing w:after="0" w:line="14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has an outstanding letter of credit at June 30, 2007, of $719,500 to the Industrial Development Authority of Montgomery County, Virginia, to support a lease of office space. This letter of credit expires in 2011.</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has an agreement with two suppliers to purchase inventory and estimates its noncancellable obligation to approximate $1.5 million through December 2008.</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has entered into indemnification agreements with its officers and directors, to the extent permitted by law, pursuant to which the Company has agreed to reimburse the officers and directors for legal expenses in the event of litigation and regulatory matters. The terms of these indemnification agreements provide for no limitation to the maximum potential future payments. The Company has a directors and officers insurance policy that may, in certain instances, mitigate the potential liability and payments.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i w:val="1"/>
          <w:iCs w:val="1"/>
          <w:color w:val="auto"/>
        </w:rPr>
        <w:t>report. In addition to historical financial information, the following discussion and analysis contains forward-looking statements within the meaning of Section 27A of the Securities Act of 1933 and Section 21E of the Securities Exchange Act of 1934 that involve risks, uncertainties and assumptions. These statements include, among other things, statements concerning:</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relative growth of our product sales and licensing revenue and our margins;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future product and licensing revenue will reflect a broader and more diversified mix of products;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our expectation that technology development revenue will continue to represent a significant portion of our total revenue for the foreseeable future;</w:t>
      </w:r>
    </w:p>
    <w:p>
      <w:pPr>
        <w:spacing w:after="0" w:line="113" w:lineRule="exact"/>
        <w:rPr>
          <w:rFonts w:ascii="Arial" w:cs="Arial" w:eastAsia="Arial" w:hAnsi="Arial"/>
          <w:sz w:val="16"/>
          <w:szCs w:val="16"/>
          <w:i w:val="1"/>
          <w:iCs w:val="1"/>
          <w:color w:val="auto"/>
        </w:rPr>
      </w:pPr>
    </w:p>
    <w:p>
      <w:pPr>
        <w:ind w:left="900" w:right="540" w:hanging="325"/>
        <w:spacing w:after="0" w:line="268" w:lineRule="auto"/>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investments in product development and commercialization, and our expectation that such investments will lead to increased product revenue;</w:t>
      </w:r>
    </w:p>
    <w:p>
      <w:pPr>
        <w:spacing w:after="0" w:line="50"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we will continue to incur significant expenses associated with being a public company and will likely continue to incur increased operating expenses and substantial losses;</w:t>
      </w:r>
    </w:p>
    <w:p>
      <w:pPr>
        <w:spacing w:after="0" w:line="50" w:lineRule="exact"/>
        <w:rPr>
          <w:rFonts w:ascii="Arial" w:cs="Arial" w:eastAsia="Arial" w:hAnsi="Arial"/>
          <w:sz w:val="18"/>
          <w:szCs w:val="18"/>
          <w:i w:val="1"/>
          <w:iCs w:val="1"/>
          <w:color w:val="auto"/>
        </w:rPr>
      </w:pPr>
    </w:p>
    <w:p>
      <w:pPr>
        <w:ind w:left="900" w:hanging="325"/>
        <w:spacing w:after="0"/>
        <w:tabs>
          <w:tab w:leader="none" w:pos="90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our expectations that operating revenue will rise at a lesser rate of growth as we continue to invest in new product development and product sales;</w:t>
      </w:r>
    </w:p>
    <w:p>
      <w:pPr>
        <w:spacing w:after="0" w:line="113" w:lineRule="exact"/>
        <w:rPr>
          <w:rFonts w:ascii="Arial" w:cs="Arial" w:eastAsia="Arial" w:hAnsi="Arial"/>
          <w:sz w:val="16"/>
          <w:szCs w:val="16"/>
          <w:i w:val="1"/>
          <w:iCs w:val="1"/>
          <w:color w:val="auto"/>
        </w:rPr>
      </w:pPr>
    </w:p>
    <w:p>
      <w:pPr>
        <w:ind w:left="900" w:hanging="325"/>
        <w:spacing w:after="0"/>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our product revenue will increase in the near term; and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we will not need to draw down our line of credit facility.</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Our actual results and timing of selected events may differ materially from those anticipated in these forward-looking statements as a result of many factors, including those discussed under “Risk factors” and elsewhere in this report, as well as those discussed in other documents we file with the Securities and Exchange Commission. We take no obligation to revise or otherwise disclose any revision to these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research, develop and commercialize innovative technologies in two primary areas of focus: instrumentation and test &amp; measurement products and healthcare products. We have a disciplined and integrated business model that is designed to accelerate the process of bringing new and innovative products to market. We identify technologies that can fulfill unmet market needs and then take these technologies from the applied research stage through commercialization.</w:t>
      </w:r>
    </w:p>
    <w:p>
      <w:pPr>
        <w:spacing w:after="0" w:line="8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To manage a diverse set of products effectively across a range of development stages, we are organized into two main groups: our Technology Development Division (which generates contract research revenue) and our Products Division (which generates product and licensing revenue). Although revenues from product sales and licensing currently represent less than half of our total revenues, we continue to invest in product development and commercialization, which we anticipate will lead to increased product sales and improved margins. In the future, while we anticipate continued growth in technology development revenue, we expect that revenues from product sales and licensing will represent a larger proportion of our total revenues. In addition, we anticipate that future product and licensing revenues will reflect a broader and more diversified mix of products.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revenues were $7.9 million and $4.9 million during the three months ended June 30, 2007 and 2006, respectively, and we had net losses of $2.2 million and $2.7 million for the same periods, respectively. We generate revenues through technology development services provided under contractual arrangements, product sales and license fees. Historically, our technology development revenues have accounted for a large and growing proportion of our total revenues, and we expect that they will continue to represent a significant portion of our total revenues for the foreseeable future. Our technology development revenues grew from $4.1 million to $5.9 million for the three months ended June 30, 2006 and 2007, respectively. We regularly have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The approximate value of our backlog was $24.8 million as of June 30, 2007.</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Revenues from product sales currently represent a smaller proportion of our total revenues, and, historically, we have derived most of these revenues from the sales of our instrumentation and test and measurement products, including products that make use of light-transmitting optical fibers, or fiber optics. License revenues associated with our proprietary technologies have been significant in prior years. Although we have been successful in licensing certain technology, we do not currently earn significant license revenues. However, over time we do intend to gradually increase such revenues. In the near term, we expect revenues from product sales to increase because of growth in our existing instrumentation and test and measurement products and because of growth in new product lines, particularly medial device products. We also expect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increase our investments in product development and commercialization, which we anticipate will lead to increased product sales growth. In the future, we expect that revenues from product sales will represent a larger proportion of our total revenues and that as we develop and commercialize new products, these revenues will reflect a broader and more diversified mix of products.</w:t>
      </w:r>
    </w:p>
    <w:p>
      <w:pPr>
        <w:spacing w:after="0" w:line="140"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In connection with becoming a public company, we have and will continue to incur significant additional expenses such as audit fees, professional fees, increased directors’ and officers’ insurance, advisory board and board of directors compensation, and expenses related to hiring additional personnel and expanding our administrative functions. Many of these expenses were not incurred by us in prior periods. In addition, upon receiving the net proceeds from our initial public offering, we implemented a strategy for expansion that has significantly increased our operating expenses and will likely continue to result in substantial losses. We incurred consolidated net losses of approximately $4.9 million and $4.8 million for the six month periods ended June 30, 2007 and 2006, respectively. We expect to continue to incur significant additional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will continue to incur losses in 2007 and that these losses could be substantial.</w:t>
      </w:r>
    </w:p>
    <w:p>
      <w:pPr>
        <w:spacing w:after="0" w:line="12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As a result of the adoption of the provisions of the Financial Accounting Standards Board’s revised Statement of Financial Accounting Standards No. 123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(SFAS No. 123R), our operating expenses for 2006 and to date for fiscal year 2007 include stock-based compensation charges. We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stock-based compensation charges of $0.6 million for the three months ended June 30, 2007. We also expect to record an aggregate stock-based compensation charge for stock options granted through June 30, 2007 of $6.5 million to be recognized over years 2007 through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Revenues, Costs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generate revenues from technology development (contract research), contract product development, and product sales. We derive technology development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or upon the achievement of certain milestones built into the contracts. Our product revenues reflect amounts that we receive from sales of our products or development of products for third parties and currently represent approximately 25% of our total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Cost of revenues associated with technology development revenues consists of costs associated with performing the related research activities, including direct labor, amounts paid to subcontractors and overhead allocated to technology development activities.</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Cost of revenues associated with product sales and license revenues consists of license fees for use of certain technologies; product manufacturing costs including all direct material and direct labor costs; amounts paid to our contract manufacturers; manufacturing, shipping and handling; provisions for product warranty; and inventory obsolescence, as well as overhead allocated to these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and development,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Division; product development activities not provided under contracts with third parties; and overhead costs related to these activities.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Income/Expense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expense historically related primarily to interest we paid under our senior secured revolving credit facility. As of June 30, 2007, there was no amount outstanding on our credit facility. Interest expense includes interest accrued on the outstanding aggregate principal of the senior convertible promissory notes issued to Carilion Clinic on December 30, 2005.</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income includes amounts earned on our cash deposits with financial institutions. During 2006 and the first two quarters of 2007, the company invested the proceeds of the Carilion financing transactions and the net proceeds from its initial public offering in a money market account and draws from that account as needed to fund ongoing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(US GAAP). The preparation of these financial statements requires us to make estimates, assumptions and judgments that affect the amounts reported in our financial statements and the accompanying notes. We base our estimates on historical experience and on various other assumptions that we believe to be reasonable under the circumstances. Actual results may differ from these estimates under different assumptions or judgments. Our significant accounting policies are described in the Management Discussion and Analysis section and the notes to our audited consolidated financial statements previously included in our Annual Report on Form 10-K for the period ended December 31, 2006, as filed with the Securities and Exchange Commission on March 30,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2007 Compared to Three Months Ended June 30,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revenues increased 59% to $7.9 million for the three months ended June 30, 2007, from $4.9 million for the three months ended June 30, 2006. The increase was due in part to increased product sales related to our Luna Technologies Division. Our acquisition of Luna Technologies in September 2005 and the subsequent product sales by that division are key elements of our strategic transition towards our goal of increased product sales revenues. We generated approximately $2.0 million in product sales in the second quarter of 2007 as compared with $0.8 million in the second quarter of 2006.</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Growth in our technology development revenues also contributed to our overall growth in revenues for the second quarter of 2007 as compared with the second quarter of 2006. Technology development revenues increased 40% to $5.9 million for the three months ended June 30, 2007 from $4.2 million for the corresponding 2006 period. This increase was primarily a result of a continued strong success in obtaining research contracts, an increase in the size of certain awards, and the addition of direct contract personnel.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Cost of revenues increased 41% to $5.0 million for the three months ended June 30, 2007 from $3.5 million for the corresponding 2006 period. The main component of this overall increase was increased costs of labor and materials related to increases in technology development revenue. New technology development cost of sales increases accounted for approximately $0.9 million, or 65%, and product sales cost increases accounted for approximately $0.5 million, or 35%, respectively, of the overall increase in costs of revenues.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Technology development costs increased 30% to $4.0 million for the three months ended June 30, 2007 from $3.1 million in the same period in 2006. This increase was consistent with the 40% increase in our technology development revenues, and was comprised primarily of additional direct labor and the technology associated overhead related to research and development activities.</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overall gross margin improved as compared with the second quarter of 2006. Our overall gross margin during the three months ended June 30, 2007 was 37% compared to 29% during the same period in 2006. During the three months ended June 30, 2007, technology development activity returned a gross margin of approximately 31% compared to 26% in the same period of 2006. Product sales activity returned a gross margin of 55% for the three months ended June 30, 2007, compared to 46% for the same period in 2006. One of our objectives in seeking greater relative product sales is based on the goal of achieving higher margins to improve our overall profitability.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Operating expense increased 22% to $5.2 million for the three months ended June 30, 2007 from $4.3 million for the corresponding quarter in 2006. Much of the increase in the second quarter of 2007 as compared to the same period in 2006 was due to indirect expenses in connection with implementing our business plan relating to commercializing new products and increasing our product sales capabilities, as well as the costs associated with becoming a public company.</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Consistent with our strategy of building a growing portfolio of businesses and products, we were and are actively hiring additional staff with related recruitment and relocation charges, incurring legal and professional fees and implementing various internal changes to prepare and to strengthen our existing infrastructure and management resources as a result of becoming a public company. With the completion of our second round financing with Carilion Clinic in December 2005, and the proceeds from our IPO in June 2006, we gained the necessary resources to begin implementing many of these important changes to our business. We expect that our operating expenses will remain at these increased levels in the coming months due to our continued growth and development and compliance with the various regulatory requirements associated with being a public company. Our operating expenses of $5.1 million incurred in the second quarter of 2007 were consistent with our operating expense of $5.2 million incurred in the immediately preceding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Net interest income increased from about $109,000 to $113,000 between June 30, 2006 and 2007, respectively, which was attributable to earnings on invested cash. Nearly all of the interest expense during the three months ended June 30, 2007, was incurred on our senior convertible promissory notes issued to Carilion Clinic on December 30, 2005. These notes have an aggregate outstanding principal of approximately $5.0 million and accrue simple interest at a rate of 6.0% per year. During the three month period ended June 30, 2007, interest expense on such notes was approximately $100,000. Interest income for the three months ended June 30, 2007, totaled $167,000. Finally, during the second quarter of 2007, we did not have an outstanding balance on our $3.0 million line of credit, and did not incur interest expense on that line of credit in the second quarter of 2007.</w:t>
      </w:r>
    </w:p>
    <w:p>
      <w:pPr>
        <w:spacing w:after="0" w:line="201" w:lineRule="exact"/>
        <w:rPr>
          <w:sz w:val="20"/>
          <w:szCs w:val="20"/>
          <w:color w:val="auto"/>
        </w:rPr>
      </w:pPr>
    </w:p>
    <w:p>
      <w:pPr>
        <w:ind w:right="5580"/>
        <w:spacing w:after="0" w:line="344" w:lineRule="auto"/>
        <w:rPr>
          <w:sz w:val="20"/>
          <w:szCs w:val="20"/>
          <w:color w:val="auto"/>
        </w:rPr>
      </w:pPr>
      <w:r>
        <w:rPr>
          <w:rFonts w:ascii="Arial" w:cs="Arial" w:eastAsia="Arial" w:hAnsi="Arial"/>
          <w:sz w:val="18"/>
          <w:szCs w:val="18"/>
          <w:b w:val="1"/>
          <w:bCs w:val="1"/>
          <w:i w:val="1"/>
          <w:iCs w:val="1"/>
          <w:color w:val="auto"/>
        </w:rPr>
        <w:t xml:space="preserve">Six Months Ended June 30, 2007 Compared to Six Months Ended June 30, 2006 </w:t>
      </w:r>
      <w:r>
        <w:rPr>
          <w:rFonts w:ascii="Arial" w:cs="Arial" w:eastAsia="Arial" w:hAnsi="Arial"/>
          <w:sz w:val="18"/>
          <w:szCs w:val="18"/>
          <w:i w:val="1"/>
          <w:iCs w:val="1"/>
          <w:color w:val="auto"/>
        </w:rPr>
        <w:t>Revenues</w:t>
      </w:r>
    </w:p>
    <w:p>
      <w:pPr>
        <w:spacing w:after="0" w:line="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Total revenues increased 58% to $14.9 million for the six months ended June 30, 2007, from $9.4 million for the six months ended June 30, 2006. The increase was due in part to increased product sales related to our Luna Technologies Division. Our acquisition of Luna Technologies in September 2005 and the subsequent product sales by that division are key elements of our strategic transition towards our goal of increased product sales revenues. We generated approximately $3.8 million in product sales in the first and second quarter of 2007 as compared with $1.4 million in the first and second quarter of 2006.</w:t>
      </w:r>
    </w:p>
    <w:p>
      <w:pPr>
        <w:spacing w:after="0" w:line="113"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Growth in our technology development revenues also contributed to our overall growth in revenues for the first and second quarter of 2007 as compared with the first and second quarter of 2006. Technology development revenues increased 38% to $11.1 million for the six months ended June 30, 2007 from $8.1 million for the corresponding 2006 period. This increase was primarily a result of a continued strong success in obtaining research contracts, an increase in the size of certain awards, and the addition of direct contract personnel.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Cost of revenues increased 44% to $9.6 million for the six months ended June 30, 2007 from $6.7 million for the corresponding 2006 period. The main component of this overall increase was increased costs of labor and materials related to increases in technology development revenue. New technology development cost of sales increases accounted for approximately $1.9 million, or 64%, and product sales cost increases accounted for approximately $1.0 million, or 36%, respectively, of the overall increase in costs of revenues.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Technology development costs increased 31% to $7.9 million for the six months ended June 30, 2007 from $6.0 million in the same period in 2006. This increase was consistent with the 58% increase in our technology development revenues, and was comprised primarily of additional direct labor and the technology associated overhead related to research and development activities.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overall gross margin improved as compared with the first six months of 2006. Our overall gross margin during the six months ended June 30, 2007 was 36% compared to 29% during the same period in 2006. During the six months ended June 30, 2007, technology development activity returned a gross margin of approximately 29% compared to 25% in the same period of 2006. Product sales activity returned a gross margin of 55% for the six months ended June 30, 2007, compared to 43% for the same period in 2006. One of our objectives in seeking greater relative product sales is based on the goal of achieving higher margins to improve our overall profitability.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Operating expense increased 35% to $10.4 million for the six months ended June 30, 2007 from $7.7 million for the corresponding period in 2006. Much of the increase in the first six months of 2007 as compared to the same period in 2006 was due to indirect expenses in connection with implementing our business plan relating to commercializing new products and increasing our product sales capabilities, as well as the costs associated with becoming a public company. Consistent with our strategy of building a growing portfolio of businesses and products, we were and are actively hiring additional staff with related recruitment and relocation charges, incurring legal and professional fees and implementing various internal changes to prepare and to strengthen our existing infrastructure and management resources as a result of becoming a public company. With the completion of our second round financing with Carilion Clinic in December 2005, and the proceeds from our IPO in June 2006, we gained the necessary resources to begin implementing many of these important changes to our business. We expect that our operating expenses will remain at these increased levels in the coming months due to our continued growth and development and compliance with the various regulatory requirements associated with being a public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Net interest income increased from $0.1 million to $0.2 million for the six months ended June 30, 2006 and 2007, respectively, which was attributable to earnings on invested cash. Nearly all of the interest expense during the six months ended June 30, 2007, was incurred on our senior convertible promissory notes issued to Carilion Clinic on December 30, 2005. These notes have an aggregate outstanding principal of approximately $5.0 million and accrue simple interest at a rate of 6.0% per year. During the six month period ended June 30, 2007, interest expense on such notes was approximately $0.2 million. The proceeds from our initial public offering in 2006 resulted in our holding significantly greater interest-bearing balances in the six months ended June 30, 2007, than during the same period in 2006. Interest income for the six months ended June 30, 2007, totaled $0.2 million. Finally, during the first six months of 2007, we did not have an outstanding balance on our $3.0 million line of credit. As such, we did not incur interest expense on that line of credit in the first six months of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Prior to August 2005, our primary source of liquidity had been cash provided by operations, financing from the revolving credit facility, and divestitures of certain assets and businesses. In August 2005, we completed our first outside equity financing and raised $7.0 million through an equity investment by Carilion Clinic. Carilion Clinic invested an additional $8.0 million in December 2005 in the form of $5.0 million in senior convertible promissory notes and $3.0 million in additional equity. Our principal uses of cash have been to fund our expansion, including facilities, personnel, working capital and other capital expenditures, and to fund our costs of transition to a public company.</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 $3.0 million senior secured revolving credit facility with First National Bank that is collateralized by a security interest in substantially all of our assets. The interest rate on borrowings under our secured revolving credit facility is equal to the prime rate, limited to no less than 6.0% and no greater than</w:t>
      </w:r>
    </w:p>
    <w:p>
      <w:pPr>
        <w:ind w:right="20"/>
        <w:spacing w:after="0" w:line="288" w:lineRule="auto"/>
        <w:rPr>
          <w:sz w:val="20"/>
          <w:szCs w:val="20"/>
          <w:color w:val="auto"/>
        </w:rPr>
      </w:pPr>
      <w:r>
        <w:rPr>
          <w:rFonts w:ascii="Arial" w:cs="Arial" w:eastAsia="Arial" w:hAnsi="Arial"/>
          <w:sz w:val="16"/>
          <w:szCs w:val="16"/>
          <w:color w:val="auto"/>
        </w:rPr>
        <w:t>10.0% per annum, with interest payable monthly. This agreement also provides a $1.0 million sub-limit for letters of credit and currently expires June 30, 2008. The senior secured revolving credit facility contains covenants which require us to maintain $1.0 to $2.0 million in liquidity depending on our outstanding balance. Additionally, without First National Bank’s prior approval, we may not make a direct loan to an affiliate or subsidiary of ours exceeding $500,000 annually, guaranty the debt of our affiliate or subsidiary or incur debt in excess of $200 thousand with other third parties. Finally, we are obligated to continue to provide First National Bank an assignment of life insurance in a minimum amount of $1.0 million on the life of Kent A. Murphy, covering all of our indebtedness to First National Bank. As of June 30, 2007, there was no outstanding borrowing on this credit line. With the exception of our obligations under the senior convertible promissory notes, the senior secured revolving credit facility and our capital lease, we have no other debt outstanding.</w:t>
      </w:r>
    </w:p>
    <w:p>
      <w:pPr>
        <w:spacing w:after="0" w:line="1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June 2, 2006, the effective date of our initial public offering, we sold 3,500,000 shares of common stock at $6.00 per share resulting in gross proceeds of $21.0 million. In connection with this offering, we paid $1.47 million in underwriting discounts and commissions and incurred other offering expenses of approximately $1.66 million. The net proceeds from the offering were approximately $17.87 million.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Activity</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used approximately $2.6 million and $2.7 million of net cash from operations during the six months ended June 30, 2007 and 2006, respectively. The decrease in cash used in operations resulted from an increase of $50,000 in net loss, offset by the $0.7 million impact of increased non-cash changes for depreciation, amortization, and share-based compensation. Additionally, changes in working capital accounts provided a net $0.3 million in cash from operating activities for the six months ended June 30, 2007 compared to $0.8 million for the six months ended June 30, 2006. The change in working capital accounts for the six months ended June 30, 2007 includes a $1.4 million increase in deferred revenue arising from the timing difference between receipt of cash and the recognition of revenue for certain long-term development contracts to be accounted for using the percentage of completion method.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used in investing activities for the six months ended June 30, 2007 related primarily to the purchase of property and equipment and legal fees associated with securing patent rights to certain technology. Our overall cash used in investing activities was $1.4 million in the six months ended June 30, 2007, compared to $0.8 million in the corresponding June 30, 2006 period. This increase was due primarily to capital expenditures to support our increase in personnel and test equipment requirements. In future months, we expect to maintain a lower rate of growth in net cash used in investing activities as we believe that we now have the necessary resources to begin and complete a number of longer-term investments in our growth.</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Cash flows used by financing activities for the six months ended June 30, 2007 was $13,000, representing a decrease in cash flow from cash generated by financing activities for the six months ended June 30, 2006. Cash generated by financing activities for the six months ended June 30, 2006 consisted of proceeds from the issuance of common stock of $17.7 million, related to Luna’s Initial Public Offering. Luna did not draw additional financing from our line of credit or other sources in the first six months of 2007.</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June 30, 2007, total cash and cash equivalents were approximately $13.9 million. We believe that our current cash on hand and cash available under our line of credit agreement will be sufficient to fund operations for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lease our facilities in Blacksburg, Charlottesville, Danville, Hampton, McLean and Roanoke, Virginia under operating leases that expire on various dates through January 2014 or under a month-to-month arrangement. Upon expiration of the leases, we may exercise certain renewal options as specified in the leases.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also lease certain computer equipment and software under capital lease agreements that expire through January 2010. The assets subject to these obligations are included in property and equipment on our consolidated balance sheet.</w:t>
      </w:r>
    </w:p>
    <w:p>
      <w:pPr>
        <w:spacing w:after="0" w:line="132"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Our Luna Technologies Division has an agreement with a supplier to purchase tunable lasers and estimates its noncancellable obligation to be approximately $1.5 million through 2008.</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2004, we received a grant of $0.9 million from the City of Danville, Virginia under a Grant Agreement to support the expansion of economic and commercial growth within the City. Under the Grant Agreement, we agreed to locate a nanomaterials manufacturing and research facility and maintain its operations in Danville until March 25, 2009. As of September 25, 2006, we had not fully met the capital expenditures and job milestones under this agreement, and, as a result, we may be obligated to repay the City of Danville a portion of the $0.9 million in funds based on a formula of the pro rata shortfall of such expenditures and jobs falling below such required levels. Because of the failure to meet these milestones and the continuing obligation to maintain our investment and employees at this location through March 25, 2009, we currently have classified the full amount of the grant as a liability on our balance sheet in anticipation of potentially returning the funds.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material off-balance sheet arrangements as defined in Regulation S-K 303(a)(4)(ii).</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 As of June 30, 2007, we had $13.1 million deposited in cash and cash equivalents bearing a weighted-average interest rate of 5.21%.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product sales to foreign customers are denominated in U.S. dollars and we do not receive payments in foreign currency. As such, we are not directly exposed to currency gains or losses resulting from fluctuations in foreign exchange rates.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(as defined in Securities Exchange Act of 1934 (the “Exchange Act”) Rules 13a-15(e) and 15d-15(e)) as of the end of the period covered by this report, have concluded that as of June 30, 2007, our disclosure controls and procedures were effective to ensure that information required to be disclosed in the reports that we file or submit under the Exchange Act (i) is recorded, processed, summarized and reported within the time periods specified in the rules and forms of the Securities and Exchange Commission and (ii) is accumulated and communicated to our management, including our Chief Executive Officer and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do not believe we have material weaknesses or significant deficiencies related to our policies and procedures, including those that pertain to maintenance of records, authorizations of receipts and expenditures, or prevention or timely detection of unauthorized acquisition, use, or disposition of our assets. However, we have not performed specific tests to determine the effectiveness of key controls within these policies and procedures. We intend to monitor those policies and procedures in connection with the establishment of a formally documented system of internal control. We are continuing documentation of our internal controls processes in order to identify additional areas for improvement as well as in anticipation of our need to comply with the requirements of the Sarbanes-Oxley Act of 2002.</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LEGAL PROCEEDINGS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From time to time, we may become involved in litigation in relation to claims arising out of our operations in the normal course of business. While management currently believes the amount of ultimate liability, if any, with respect to these actions will not materially affect our financial position, results of operations, or liquidity, the ultimate outcome of any litigation is uncertain. Were an unfavorable outcome to occur, or if protracted litigation were to ensue, the impact could be material to us.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2005, we received a letter from legal counsel retained by a former employee and consultant that such law firm is investigating whether such former employee has any claims against us, including breaches of contract, fiduciary duty, implied covenants of good faith and fair dealing as well as potential violations of minority stockholder rights that such former employee may have as a stockholder in one of our subsidiaries. On May 30, 2006, we were served process of a complaint filed by the former employee in the Circuit Court for the City of Roanoke, Virginia, alleging that we breached our consulting contract with the former employee, and that we are indebted to the former employee in an unspecified amount of at least one hundred thousand dollars. We have answered the complaint and intend to defend the company vigorously in this matter. While we believe the former employee’s claims are without merit, counsel for such former employee has indicated that it may file additional claims against us. We cannot predict whether such former employee will file additional litigation against us or our subsidiaries or the ultimate outcome of any such litigation.</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June 22, 2007, Hansen Medical, Inc. (“Hansen”) filed a lawsuit against us in California State Court, Santa Clara County, alleging misappropriation of trade secrets, unfair competition, breach of contract, and breach of the implied covenant of good faith and fair dealing. The claims allegedly stem from our past relationship with Hansen and our past and future relationship with Intuitive Surgical, Inc. (“Intuitive”). The lawsuit makes an unspecified claim for damages, however Hansen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has not indicated how it will substantiate such damages and we are unable to reasonably estimate the amount of damages, if any, that Hansen will seek. In addition, Hansen may seek equitable relief, including, for example, an injunction to prevent us from misusing Hansen’s trade secrets or proprietary information or an injunction to prevent us from working with Intuitive. This litigation is in its early stages. No discovery has been exchanged yet, and no trial date has been set. We believe Hansen’s allegations are without merit and we intend to vigorously defend ourselves in this lawsuit. However, we cannot predict the ultimate outcome of this litigation and we are unable to estimate any potential liability we may incur.</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Securities and Exchange Commission also contain forward-looking statements that involve risks or uncertainties. Our actual results could differ materially from those anticipated in these forward-looking statements as a result of certain factors, including the risks we face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effectively, our revenue and net loss could be adversely affected.</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historically we have developed and commercialized only a few products at a time, we plan to grow by developing and commercializing multiple products concurrently across many industries, technologies and markets. Our ability to grow by developing and commercializing multiple products simultaneously requires that we manage a diverse range of projects, and expand our personnel resources. Our inability to do any of these could prevent us from successfully implementing our growth strategy, and our revenues and profits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advance the development of multiple promising potential products concurrently, we need to manage effectively the logistics of maintaining the requisite corporate, operational, administrative and financing functions for each of these product opportunities. Potentially expanding our operations into new geographic areas and relying on multiple facilities to develop and manufacture different products concurrently pose additional challenges. We have little experience in managing these functions simultaneously for multiple projects in development or in building new infrastructure and integrating the operations of various facilities. If we cannot manage this process successfully, we may be subject to operating difficulties, additional expenditures and limited revenue growth.</w:t>
      </w:r>
    </w:p>
    <w:p>
      <w:pPr>
        <w:spacing w:after="0" w:line="11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We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During the most recently completed calendar quarter, the labor market, particularly for highly-specialized scientists and engineers remained tight. If we are unable to recruit a sufficient number of qualified personnel, we may be unable to staff and manage projects adequately, which may slow the rate of growth of our technology development revenue or our product development efforts.</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have incurred recent losses, and because our strategy for expansion may be costly to implement, we may experience continuing losses which may be significant.</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incurred consolidated net losses of approximately $9.4 million for the year ended December 31, 2006, and $4.9 million for the six months ending June 30, 2007. We expect to continue to incur significant additional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may likely continue to incur losses for the foreseeable future, and these losses could be substantial.</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Because of the numerous risks and uncertainties associated with our business and our expansion strategy, we are unable to predict when or if we will be able to achieve profitability again. If our revenues do not increase, or if our expenses increase at a greater rate than our revenues, we will continue to experience losses. Even if we do achieve profitability, we may not be able to sustain or increase our profitability on a quarterly or annual basis.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cannot successfully transition our revenue mix from technology development revenues to product sales and license revenues, we may not be able to fully execute our business model or grow our business.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business model and future growth depend on our ability to transition to a revenues mix that contains significantly larger product sales and license revenues components. Product sales and license revenues potentially offer greater scalability and higher gross margins than services-based technology development revenues. Our current plan is to increase our portfolio of commercial products and, accordingly, we expect that our future product sales and license revenues will represent a larger percentage of total revenues. However, if we are unable to develop and grow our product sales and license revenues to augment our technology development revenues, our ability to execute our business model or grow our business could suffer.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and developing new products to meet those needs.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success of our business model depends on our ability to identify correctly market needs for new technologies. We intend to identify new market needs, but we may not always have success in doing so, in part, because our technology development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growth strategy requires that we not only identify new technologies that meet market needs, but that we also develop successful commercial products that address those needs. We face several challenges in developing successful new products. Many of our existing products and those currently under development-including our Trimetasphere carbon nanomaterials, which are nanomaterials in the form of a carbon sphere with three metal atoms enclosed inside-are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a limited number of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train and retain skilled employees would adversely affect our business and operating results.</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availability of highly trained and skilled technical and professional personnel is critical to our future growth and profitability. Competition for scientists, engineers, technicians and professional personnel is intense and competitors aggressively recruit key employees. In the past, we have experienced difficulties in recruiting and hiring these personnel as a result of the tight labor market in certain fields. This fact, combined with our growth strategy and future needs for additional experienced personnel, particularly in highly specialized areas such as nanomaterial manufacturing and innovative ultrasound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where the supply of experienced qualified candidates is limited. Any failure to do so would have an adverse effect on our business.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our future success depends in a large part upon the continued service of key members of our senior management team. In particular, our Chairman, CEO and founder, Kent A. Murphy, Ph.D., is essential to our overall management as well as the development of our technologies, our culture and our strategic direction. All of our executive officers and key employees are at-will employees, and, except with respect to Kent A. Murphy, Ph.D., we do not maintain any key-person life insurance policies. The loss of any of our management or key personnel could seriously harm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rely and will continue to rely on contract research, including government-funded research contracts, for a significant portion of our revenues. A decline in government funding of existing or future government research contracts, including Small Business Innovation Research (or SBIR) revenues, could adversely affect our revenues and cash flows and our ability to fund our growth.</w:t>
      </w:r>
    </w:p>
    <w:p>
      <w:pPr>
        <w:spacing w:after="0" w:line="5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Technology development revenue, which consists primarily of government-funded research, accounted for approximately 74% and 85% of our consolidated total revenues for the three months ended June 30, 2007 and 2006, respectively. As a result, we are vulnerable to adverse changes in our revenues and cash flows if a significant number of our research contracts and subcontracts are simultaneously delayed or canceled for budgetary, performance or other reasons. The U.S. government, for example,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to contract cancellations and changes in agency budgets, our future financial results may be adversely affected by curtailment of the U.S. government’s use of contract research providers, including curtailment due to government budget reductions and related fiscal matters. These or other factors could cause U.S. defense and other federal agencies to conduct research internally rather than through commercial research organizations, to reduce their overall contract research requirements or to exercise their rights to terminate contracts. Any of these actions could limit our ability to obtain new contract awards and adversely affect our revenues and cash flows and our ability to fund our growth.</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also derive a significant portion of our technology development revenues from SBIR contracts. SBIR revenues accounted for approximately 61% and 67% of our consolidated total revenues for the three months ended June 30, 2007 and 2006, respectively. Contract research, including SBIR, will remain a significant portion of our consolidated total revenues for the foreseeable future. Our strategy for developing innovative technologies and products depends in large part on our ability to continue to enter into and generate revenues from non-SBIR contract research.</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In addition, we may not be successful in securing future contracts. Our customers’ priorities regarding funding for certain projects may change and funding resources may no longer be available at previous levels.</w:t>
      </w:r>
    </w:p>
    <w:p>
      <w:pPr>
        <w:spacing w:after="0" w:line="22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We rely and will continue to rely on contracts and grants awarded under the SBIR program for a significant portion of our revenues. A finding by the Small Business Administration, or SBA, that we no longer qualify to receive SBIR funding could adversely affect our business.</w:t>
      </w:r>
    </w:p>
    <w:p>
      <w:pPr>
        <w:spacing w:after="0" w:line="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may not qualify to participate in the Small Business Administration’s, or SBA’s, SBIR program or receive new SBIR awards from federal agencies in the future. In order to qualify for SBIR contracts and grants, at least 51% of our equity must be owned and controlled by U.S. citizens or permanent resident aliens, or by another entity that is at least 51% owned or controlled by U.S. citizens or permanent resident aliens, and we must have 500 or fewer employees. These eligibility criteria are applied as of the time of the award of a contract or grant. In determining whether we satisfy the 51% equity ownership requirement, agreements to merge, stock options, convertible debt and other similar instruments are given “present effect” by the SBA, as though the underlying securities were actually issued unless the exercisability or conversion of such securities is speculative, remote or beyond the control of the security holder. We therefore believe our outstanding options and warrants held by eligible individuals may be counted as, and our convertible debt may be excluded from, outstanding equity for purposes of meeting the 51% equity ownership requirement.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we are currently in compliance with the SBIR eligibility criteria but we cannot provide assurance that the SBA will interpret its regulations in our favor. As of December 31, 2006, giving present effect to our outstanding options, we estimate that at least approximately 58% of our equity is owned by U.S. citizens or permanent residents. We must be able to certify that we meet the SBIR ownership and size requirements as of the time we enter into each SBIR contract or grant, and SBA may review our size status in connection with each SBIR contract or grant. As we grow our business, it is foreseeable that we will eventually exceed the SBIR eligibility limitations and we may need to find other sources to fund our research and development efforts. If we are unsuccessful in obtaining additional contracts or funding grants because we cannot meet the eligibility requirements or if our customers decide to reduce or discontinue support of our products, we may be required to seek alternative sources of revenues or capital.</w:t>
      </w:r>
    </w:p>
    <w:p>
      <w:pPr>
        <w:spacing w:after="0" w:line="19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The SBA could determine that, as a result of Carilion Clinic’s equity ownership, the number of our employees exceeds the size limitation placed on SBA contract and SBIR grant recipients, and therefore we will not be eligible to receive future SBA contracts and SBIR grants.</w:t>
      </w:r>
    </w:p>
    <w:p>
      <w:pPr>
        <w:spacing w:after="0" w:line="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to the U.S. ownership eligibility criteria discussed above, to be eligible for SBA contracts and SBIR grants, the number of our employees including those of any entities that are considered to be affiliated with us, cannot exceed 500.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As of June 30, 2007, we, including all of our divisions, had approximately 222 full and part time employees. However, in determining whether we are affiliated with any other entity, the SBA analyzes whether another entity controls or has the power to control us. If the SBA determines that another entity controls or has the power to control us, it will aggregate that entity’s employees (and the employees of its subsidiaries and affiliates) with our own for purposes of applying the 500 employee test.</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SBA may make an affiliation determination based on stock ownership. For example, the SBA may presume that two or more entities have the power to control a company if the entities each own, control or has the power to control, less than 50 percent of the company’s stock, such minority holdings are equal or approximately equal in size, and the aggregate of the minority holdings is large as compared to any other stock holding. However, this presumption may be rebutted by showing that such control or power to control does not in fact exist. As of June 30, 2007, Carilion Clinic held approximately 22.2% of our outstanding common stock, and Dr. Kent Murphy held approximately 26.8% of our outstanding common stock. Thus, applying the criteria stated above, the SBA could find that both Carilion Clinic and Dr. Murphy own less than 50% of the stock, their percentages are roughly equal, and their respective percentages are large compared to any other stock holding. We believe that the relative beneficial ownership of our individual stockholders rebuts the presumption of control by Carilion Clinic because the shares held by our executive officers and directors constitute the controlling interest in us. However, if the SBA were to make a determination that we are affiliated with Carilion Clinic, we would exceed the size limitations as Carilion Clinic has over 500 employees, and we therefore would lose eligibility for new SBA contracts, public contracts, grants and other awards that are set aside for small businesses, including SBIR grants.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products or enhance our existing products, enhance our operating infrastructure, complete our development activities, build our commercial scale manufacturing facilities and acquire complementary businesses and technologies. In 2006, we had a net loss of $9.4 million and used $9.1 million in cash for operations in addition to $3.4 million cash used for investing activities. For the second quarter ended June 30, 2007, we had a net loss of $2.2 million, and generated $0.3 million in cash for operations in addition to $0.4 million used for investing activities. Our balance of cash and cash equivalents as of June 30, 2007, was $13.9 million. Accordingly, in the future we may need to engage in equity or debt financings to secure additional funds to support our operations and investments in new products.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If we raise additional funds through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our initial public offering. Furthermore, such financings may jeopardize our ability to apply for SBIR grants or qualify for SBIR contracts or grants, and our dependence on SBIR grants may restrict our ability to raise additional outside capital. In addition, we may not be able to obtain continued SBIR funding, or other additional financing on terms favorable to us, if at all. In order to retain SBIR eligibility, we may be restricted in our ability to raise certain forms of equity capital from institutional investors. For example, in connection with the closing of our financing with Carilion Clinic on December 30, 2005, we were not able to raise all proceeds through the issuance of equity without potentially jeopardizing our SBIR eligibility. We therefore elected to issue debt in the amount of $5.0 million of the total $8.0 million raised in such financing to maintain SBIR eligibility. Under the terms of these notes, we agreed that we will not draw down any amount under our existing senior secured credit facility with First National Bank or incur additional indebtedness other than under certain limited conditions. In addition, if we lose eligibility or elect to no longer compete for SBIR contracts prior to December 30, 2009, the holder of our $5.0 million senior convertible promissory notes has the right, at its discretion, to convert some or all of the principal and interest amounts into shares of our common stock, which would result in further dilution to our existing stockholders.</w:t>
      </w:r>
    </w:p>
    <w:p>
      <w:pPr>
        <w:spacing w:after="0" w:line="12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we are unable to obtain adequate financing or financing on terms satisfactory to us, when we require it, our ability to continue to support our business growth and to respond to business challenges could be significantly limited.</w:t>
      </w:r>
    </w:p>
    <w:p>
      <w:pPr>
        <w:spacing w:after="0" w:line="2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we are unable to secure third-party reimbursement for our healthcare products, including our EDAC QUANTIFIER and EN-TACT medical devices, our revenue and net loss could be adversely affected.</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both the United States and foreign markets where we intend to sell our medical products, third-party payors such as the government and health insurance companies are generally responsible for hospital and doctor reimbursement for medical products and services. Governments and insurance companies carefully review and increasingly challenge the prices charged for medical products and services. Reimbursement rates from private insurance companies vary depending on the procedure performed, the third party involved, the insurance plan involved, and other factors. In the United States, reimbursement for medical procedures under the Medicare and Medicaid programs is administered by Centers for Medicare &amp; Medicaid Services. Medicare reimburses both hospitals and physicians a pre-determined, fixed amount based on the procedure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performed. This fixed amount is paid regardless of the actual costs incurred by the hospital or physician in furnishing the care and is often unrelated to the specific devices used in that procedure. Thus, any reimbursements that hospitals or physicians obtain for using our medical products will generally have to cover any additional costs that hospitals incur in purchasing such products.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Hospitals and medical centers to which we intend to sell our EDAC QUANTIFIER product typically bill the services performed with our products to various third-party payors, such as Medicare, Medicaid and other government programs and private insurance plans. If hospitals do not obtain sufficient reimbursement from third-party payors for procedures performed with our products, or if governmental and private payors’ policies do not permit reimbursement for services performed using our products, demand for our product may be negatively impacted.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countries outside the United States, reimbursement is obtained from various sources, including governmental authorities, private health insurance plans and labor unions. To sell our product in foreign markets, we may need to seek international reimbursement approvals. We cannot be certain whether such required approvals will be obtained in a timely manner or at all.</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Furthermore,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have a negative effect on our product revenue and net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face or will face substantial competition from a variety of companies in several different markets. Our competitors in contract research include, but are not limited to, companies such as General Dynamics Corporation, Lockheed Martin Corporation, SAIC, Inc. and SRA International, Inc. In the instrumentation and test and measurement products market, our competitors include, but are not limited to, large companies such as Agilent Technologies, Inc., Analog Devices, Inc., Freescale Semiconductor, Inc., JDS Uniphase Corp., Robert Bosch GmbH and Silicon Sensing, as well as emerging companies. In addition, in the MRI contrast agent market our competitors include Amersham Plc, Berlex Laboratories, Inc., Bracco Diagnostics, Inc., and Mallinckrodt Inc.</w:t>
      </w:r>
    </w:p>
    <w:p>
      <w:pPr>
        <w:spacing w:after="0" w:line="116"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The products that we have developed or are currently developing will compete with other technologically innovative products as well as products incorporating conventional materials and technologies. We expect that our products will face competition in a wide range of industries, including telecommunications, industrial instrumentation, healthcare, military and security applications.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net revenues may fail to increase or may decline.</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obligated to repay part of the proceeds received in connection with a grant from the City of Danville, Virginia, for failing make certain agreed upon expenditures and failing to meet certain employment obligations.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2004, we received a grant of $900 thousand from the City of Danville, Virginia under a Grant Agreement to support the expansion of economic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commercial growth within the City. Under the Grant Agreement, we agreed to locate a nanomaterials manufacturing and research facility and maintain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Danville until March 25, 2009. Our obligations under this Grant Agreement require us to incur significant expenditures in order to retain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grant. Specifically, we agreed under the Grant Agreement to invest at least $5.2 million in capital equipment expenditures and $1.2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facilities by September 25, 2006 and to maintain such investments in our Danville facility until March 25, 2009. We also agreed to create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2006 at least 54 new full-time jobs at the Danville facility at an average annual wage of at least $39 thousand plus benefits, and to maintain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jobs at such facility until March 25, 2009. These contractual requirements obligate us to an annual payroll obligation exceeding $2.0 million until March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To the extent such hiring results in salaries in excess of the required minimum wages, our annual payroll obligation could be substantially greater than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As of September 25, 2006, we had not fully met these capital expenditures and job milestones, and, as a result, we may be asked to repay the City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Danville a portion of the $900 thousand in funds based on 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formula of the pro rata shortfall of such expenditures and jobs falling below such required levels. Because of the failure to meet these milestones and the continuing obligation to maintain our investment and employees at this location through March 25, 2009, we currently have classified the full amount of the grant as a liability on our balance sheet in anticipation of potentially returning the funds.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manufacturing our products in commercial quantities in a cost-effective manner, which could adversely impact our business.</w:t>
      </w:r>
    </w:p>
    <w:p>
      <w:pPr>
        <w:spacing w:after="0" w:line="1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produced most of our products on a custom order basis rather than pursuant to large contracts that require production on a large volume basis. Accordingly, other than the commercial manufacture of products by our Luna Technologies Division, we have no experience manufacturing products in large volume. Because our experience in large scale manufacturing is limited, we may encounter unforeseen difficulties in our efforts to manufacture other products or materials in commercial quantities or have to rely on third-party contractors over which we do not have direct control to manufacture our products. For example, we have engaged a third-party contract manufacturer to produce our line of tunable lasers. We also may need to develop or in-license Trimetasphere nanomaterial purification and isolation technology, which would result in manufacturing delays or shortfalls. We may also encounter difficulties and delays in manufacturing our products for the following reasons:</w:t>
      </w:r>
    </w:p>
    <w:p>
      <w:pPr>
        <w:spacing w:after="0" w:line="3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plan to expand our manufacturing operations, and our production processes may have to change to accommodate this growth;</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increase our manufacturing output significantly, we will have to attract and retain qualified employees, who are in short supply, for the assembly and testing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might have to sub-contract to outside manufacturers which might limit our control of costs and processes;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manufacturing operations may have to comply with government specifications.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are unable to keep up with demand for our products, our revenue growth could be impaired, market acceptance for our products could be adversely affected and our customers might instead purchase our competitors’ products. Moreover, failure to develop and maintain a U.S. market for goods developed with U.S. government-licensed technology may result in the cancellation of the relevant U.S. government licenses. Our inability to manufacture our products successfully would have a material adverse effect on our revenues.</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Even if we are able to manufacture our products on a commercial scale, the cost of manufacturing our products may be higher than we expect. If the costs associated with manufacturing are not significantly less than the prices at which we can sell our products, we may not be able to operate at a profit.</w:t>
      </w:r>
    </w:p>
    <w:p>
      <w:pPr>
        <w:spacing w:after="0" w:line="16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51"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We primarily rely on third-party vendors for the manufacture of the specialized components used in our products. Although we do not have any sole source suppliers of materials, the highly specialized nature of our supply requirements poses risks that we may not be able to locate additional sources of the specialized components required in our business. For example, we are aware of only two manufacturers that produce the special lasers used in our optical test equipment.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Moreover, none of these third-party vendors is obligated to continue to supply us with components. Our reliance on these vendors subjects us to a number of risks that could impact our ability to manufacture our products and harm our business, including interruption of supply.</w:t>
      </w:r>
    </w:p>
    <w:p>
      <w:pPr>
        <w:spacing w:after="0" w:line="13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Any significant delay or interruption in the supply of components, or our inability to obtain substitute components or materials from alternate sources at acceptable prices in a timely manner, could impair our ability to meet the demand of our customers and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nanotechnology-enabled products are new and may be, or may be perceived as being, harmful to human health or the environment.</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While none of our current products are known by us to be hazardous or subject to environmental regulation, it is possible our current or future products, particularly carbon-based nanomaterials, may become subject to environmental regulation. We intend to develop and sell carbon-based nanomaterials as well as nanotechnology-enabled products, which are products that include nanomaterials as a component to enhance those products’ performance. Nanomaterials and nanotechnology-enabled products have a limited historical safety record. Because of their size or shape or because they may contain harmful elements, such as gadolinium and other rare-earth metals, our products could pose a safety risk to human health or the environment. These characteristics may also cause countries to adopt regulations in the future prohibiting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limiting the manufacture, distribution or use of nanomaterials or nanotechnology-enabled products. Such regulations may inhibit our ability to sell some products containing those materials and thereby harm our business or impair our ability to develop commercially viable products.</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subject of nanotechnology has received negative publicity and has aroused public debate. Government authorities could, for social or other purposes, prohibit or regulate the use of nanotechnology. Ethical and other concerns about nanotechnology could adversely affect acceptance of our potential products or lead to government regulation of nanotechnology-enabled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Our Products Division currently conducts business internationally and we might considerably expand our international activities in the future. Our international business operations are subject to a variety of risks associated with conducting business internationally, including:</w:t>
      </w:r>
    </w:p>
    <w:p>
      <w:pPr>
        <w:spacing w:after="0" w:line="4" w:lineRule="exact"/>
        <w:rPr>
          <w:sz w:val="20"/>
          <w:szCs w:val="20"/>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REGULATORY ENVIRONMENT</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must comply with and are affected by laws and regulations relating to the award, administration and performance of U.S. government contracts. Government contract laws and regulations affect how we do business with our government customers and, in some instances, impose added costs on our business. A violation of specific laws and regulations could result in the imposition of fines and penalties or the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March 2006, our senior management became aware that seven foreign national citizens who were working for us had access to International Traffic in Arms Regulations, or ITAR, controlled technical data. Such data may be deemed to have been exported/disclosed to certain of these individuals without the required export licenses. Following this discovery, in an effort to ensure full compliance with ITAR we submitted voluntary disclosure of these circumstances to the U.S. Department of State in April 2006. In December 2006, we received a letter from U.S. Department of State stating that they have completed their review of our voluntary disclosure and were closing this case without taking civil penalty action authorized under ITAR Sec. 127.10. The government, however, reserved the right to reopen the case if the circumstances warrant.</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ranging from monetary fines, assessments, loss of the ability to do business with the U.S. government and certain other criminal penalties.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also be prohibited from commercially selling certain products that we develop under our Technology Development Division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194"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Our healthcare and medical products are subject to a lengthy and uncertain domestic regulatory approval process. If we do not obtain and maintain the necessary domestic regulatory approvals or clearances, we will not be able to market and sell our products for clinical use in the United States.</w:t>
      </w:r>
    </w:p>
    <w:p>
      <w:pPr>
        <w:ind w:firstLine="456"/>
        <w:spacing w:after="0" w:line="287" w:lineRule="auto"/>
        <w:rPr>
          <w:sz w:val="20"/>
          <w:szCs w:val="20"/>
          <w:color w:val="auto"/>
        </w:rPr>
      </w:pPr>
      <w:r>
        <w:rPr>
          <w:rFonts w:ascii="Arial" w:cs="Arial" w:eastAsia="Arial" w:hAnsi="Arial"/>
          <w:sz w:val="16"/>
          <w:szCs w:val="16"/>
          <w:color w:val="auto"/>
        </w:rPr>
        <w:t>Certain of our current and potential products will require regulatory clearances or approvals prior to commercialization. In particular, our Trimetasphere nanomaterial-based MRI contrast agent and our EDAC and EN-TACT ultrasound diagnostic devices for measuring certain medical conditions are considered a drug and medical devices, respectively, under the Federal Food, Drug &amp; Cosmetic Act, or FDC Act. Drugs and some medical devices are subject to rigorous preclinical testing and other approval requirements by the Food and Drug Administration, or FDA, pursuant to the FDC Act, and regulations under the FDC Act, as well as by similar health authorities in foreign countries. Various federal statutes and regulations also govern or influence the testing, manufacturing, safety, labeling, packaging, advertising, storage, registration, listing and recordkeeping related to marketing of these products. The process of obtaining these clearances or approvals and the subsequent compliance with appropriate federal statutes and regulations require the expenditure of substantial resources. We cannot be certain that any required FDA or other regulatory approval will be granted or, if granted, will not be withdrawn. Our failure to obtain the necessary regulatory approvals, or our failure to obtain them in a timely manner, will prevent or delay our commercialization of new products and our business or our stock price could be adversely affected.</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general, the FDA regulates the research, testing, manufacturing, safety, labeling, storage, record keeping, promotion, distribution and production of medical devices in the United States to ensure that medical products distributed domestically are safe and effective for their intended uses. In order for us to market our medical device products for clinical use in the United States, we generally must first obtain clearance from the FDA pursuant to Section 510(k) of the Food, Drug, and Cosmetic Act. Clearance under Section 510(k) requires demonstration that a new device is substantially equivalent to another device with 510(k) clearance or grandfather status. In addition, if we significantly modify our products after they receive FDA clearance, the FDA may require us to submit a separate 510(k) or premarket approval, or PMA, application for the modified product before we are permitted to market the products in the U.S. In addition, if we develop products in the future that are not considered to be substantially equivalent to a device with 510(k) clearance or grandfather status, we will be required to obtain FDA approval by submitting a PMA.</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FDA may not act favorably or quickly in its review of our 510(k) or PMA submissions, or we may encounter significant difficulties and costs in our efforts to obtain FDA clearance or approval, all of which could delay or preclude sale of new products for clinical use in the United States. Furthermore, the FDA may request additional data or require us to conduct further testing, or compile more data, including clinical data and clinical studies, in support of a 510(k) submission. The FDA may also, instead of accepting a 510(k) submission, require us to submit a PMA, which is typically a much more complex and burdensome application than a 510(k). To support a PMA, the FDA would likely require that we conduct one or more clinical studies to demonstrate that the device is safe and effective. We may not be able to meet the requirements to obtain 510(k) clearance or PMA approval, or the FDA may not grant any necessary clearances or approvals. In addition, the FDA may place significant limitations upon the intended use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approvals of new products we develop, any limitations imposed by the FDA on new product use, or the costs of obtaining FDA clearance or approvals could have a material adverse effect on our business, financial condition and results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Complying with FDA regulations is an expensive and time-consuming process. Our failure to comply fully with such regulations could subject us to enforcement actions.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commercially distributed medical device products will be subject to numerous post-market regulatory requirements, including the following:</w:t>
      </w:r>
    </w:p>
    <w:p>
      <w:pPr>
        <w:spacing w:after="0" w:line="113" w:lineRule="exact"/>
        <w:rPr>
          <w:sz w:val="20"/>
          <w:szCs w:val="20"/>
          <w:color w:val="auto"/>
        </w:rPr>
      </w:pPr>
    </w:p>
    <w:p>
      <w:pPr>
        <w:ind w:left="900" w:right="4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System Regulation, or QSR, which requires manufacturers to follow elaborate design, testing, control, documentation and other quality assurance procedures during the manufacturing process;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FDA’s general prohibition against false or misleading statements in the labeling or promotion of products for unapproved or “off-label” uses;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the FDA recalls and field corrective actions taken to reduce a risk to health or to remedy a violation of the FDC Act that may pose a risk to health; and</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also become subject to inspection and marketing surveillance by the FDA to determine our compliance with regulatory requirements. If the FDA finds that we have failed to comply, it can institute a wide variety of enforcement actions, ranging from a regulatory letter to a public warning letter to more severe civil and criminal sanctions. Our failure to comply with applicable requirements could lead to an enforcement action that may have an adverse effect on our financial condition and results of operations.</w:t>
      </w:r>
    </w:p>
    <w:p>
      <w:pPr>
        <w:spacing w:after="0" w:line="22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medical device manufacturing facilities are subject to periodic inspection by regulatory authorities and our operations will continue to be regulated by the FDA for compliance with Good Manufacturing Practice requirements contained in the FDA’s Quality System Regulations, or QSR. We are also required to comply with International Organization for Standardization, or ISO, quality system standards in order to produce products for sale in Europe. If we fail to continue to comply with Good Manufacturing Practice requirements or ISO standards, we may be required to cease all or part of our medical product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w:t>
      </w:r>
    </w:p>
    <w:p>
      <w:pPr>
        <w:spacing w:after="0" w:line="20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Our medical products are subject to various international regulatory processes and approval requirements. If we do not obtain and maintain the necessary international regulatory approvals, we may not be able to market and sell our medical products in foreign countries.</w:t>
      </w:r>
    </w:p>
    <w:p>
      <w:pPr>
        <w:spacing w:after="0" w:line="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not yet received permission to affix the CE mark to our medical products. We do not know whether we will be able to obtain permission to affix the CE mark for new or modified products. If we are unable to obtain permission to affix the CE mark to our products, we will not be able to sell our products in member countries of the European Union.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subject to significant foreign and domestic government regulations, including environmental and health and safety regulations, and failure to comply with these regulations could harm our business.</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to incur potentially significant costs to comply with environmental regulations.</w:t>
      </w:r>
    </w:p>
    <w:p>
      <w:pPr>
        <w:spacing w:after="0" w:line="12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European Union Directive 2002/96/EC on Waste Electrical and Electronic Equipment, known as the “WEEE Directive,” requires producers of certain electrical and electronic equipment, including monitoring instruments, to be financially responsible for specified collection, recycling, treatment and disposal of past and present covered products placed on the market in the European Union. As a manufacturer of covered products, we may be required to register as a producer in some European Union countries, and we may incur some financial responsibility for the collection, recycling, treatment and disposal of both new product sold, and product already sold prior to the WEEE Directive’s enforcement date, including the products of other manufacturers where these are replaced by our own products. European Union Directive 2002/95/EC on the Restriction of the use of Hazardous Substances in electrical and electronic equipment, known as the “RoHS Directive,” restricts the use of certain hazardous substances, including mercury, lead and cadmium in specified covered products; however, the RoHS Directive currently exempts monitoring instruments from its requirements. If the European Commission were to remove this exemption in the future, we would be required to change our manufacturing processes and redesign products regulated under the RoHS Directive in order to be able to continue to offer them for sale within the European Union. For some products, substituting certain components containing regulated hazardous substances may be difficult, costly or result in production delays. We will continue to review the applicability and impact of both directives on the sale of our products within the European Union, and although we cannot currently estimate the extent of such impact, they are likely to result in additional costs and could require us to redesign or change how we manufacture our products, any of which could adversely affect our operating results. Failure to comply with the directives could result in the imposition of fines and penalties, inability to sell covered products in the European Union and loss of revenues.</w:t>
      </w:r>
    </w:p>
    <w:p>
      <w:pPr>
        <w:spacing w:after="0" w:line="12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are committed to complying with and, to our knowledge, are in compliance with, all governmental regulations. We cannot predict the extent to which future legislation and regulation could cause us to incur additional operating expenses, capital expenditures, or restrictions and delays in the development of our products and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INTELLECTUAL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development—such as the Trimetasphere ™ carbon nanomaterials products-because we cannot predict which of these products will ultimately reach the commercial market or whether the commercial versions of these products will incorporate proprietary technologies.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or the pending patent applications of our licensors will result in issued patents;</w:t>
      </w:r>
    </w:p>
    <w:p>
      <w:pPr>
        <w:spacing w:after="0" w:line="113"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certain of our products—including our Trimetasphere™ carbon nanomaterials products-do not have foreign patent protection.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Although we are not currently involved in any legal proceedings related to intellectual property, we could incur substantial costs to bring suits in which we may assert our patent rights against others or defend ourselves in suits brought against us. An unfavorable outcome of any such litigation could have a material adverse effect on our business and results of operations.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routinely obtain confidentiality agreements and contractual provisions with our collaborators, employees, and consultants to protect our trade secrets and proprietary know-how. These agreements may be breached and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118"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development of our technologies and to achieve or maintain profitability.</w:t>
      </w:r>
    </w:p>
    <w:p>
      <w:pPr>
        <w:spacing w:after="0" w:line="14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also rely on trademarks to establish a market identity for Luna and Luna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If third parties assert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claims against us alleging that we infringe their patents or other intellectual property rights—including third parties that have asserted claims against businesses that we have acquired prior to our acquisition of these businesses—we could incur substantial costs and diversion of management resources in defending these claims, and the defense of these claims could have a material adverse effect on our business, financial condition, and results of operations.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example, a former customer recently filed a lawsuit against us alleging, among other things, misappropriation of trade secrets. The lawsuit makes an unspecified claim for damages, however the plaintiff has not indicated how it will substantiate such damages and we are unable to reasonably estimate the amount of damages, if any, that it will seek. In addition, the plaintiff in the suit may seek equitable relief, including, for example, an injunction to prevent us from misusing the plaintiff’s trade secrets or proprietary information or an injunction to prevent us from working with other companies. We believe the allegations are without merit and we intend to vigorously defend ourselves in this lawsuit. However, we cannot predict the ultimate outcome of this litigation and we are unable to estimate any potential liability we may incur.</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another example, we acquired a business that had received a letter in 2002 from a competitor alleging infringement of certain patents. The competitor sent an additional letter on January 14, 2004 to the business that we acquired, again alleging infringement of the competitor’s patents. Neither we nor the business that we acquired have received any further communications from this third party. We cannot currently predict whether this third party, or any other third party, will assert a claim against us, or whether any third parties that have asserted such claims against businesses that we have acquired will assert claims or pursue infringement litigation against us; nor can we predict the ultimate outcome of any such potential claims or litigation.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 party licensees would comply with the use restrictions of such licenses. We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within our field of use. Our licensors may currently own and may in the future obtain additional patents and patent applications that are necessary for the development,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manufacture and commercial sale of our anticipated products. We may be unable to agree with one or more academic institutions from which we have obtained licenses that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be successful in our efforts to retain title in patents, maintain ownership of intellectual property or in limiting the U.S. government’s rights in our proprietary technologies and intellectual property whether such intellectual property was developed in the performance of a federal funding agreement or developed at private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Before our initial public offering, there was no public market for our common stock, and in the future, an active public trading market may not be sustained. The public trading price for our common stock will continue to be affected by a number of factors, including:</w:t>
      </w:r>
    </w:p>
    <w:p>
      <w:pPr>
        <w:spacing w:after="0" w:line="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 estimates;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or our competitors’ results of operations or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market conditions and other factors unrelated to our operating performance or the operating performance of our competitors;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new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of, or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 and to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lack of, limited or negative industry or security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our stock price could decline.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our existing stockholders sell a large number of shares of our common stock or the public market perceives that these sales may occur, the market price of our common stock could decline.</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June 2, 2006, the date of our initial public offering, employees and former employees holding approximately 1.8 million shares of our common stock or options exercisable for our common stock had entered into an agreement to not sell more than 20.0% of such shares in any year during the five years following the effective date of our initial public offering, provided that if any shares subject to such annual limit are not sold in a given year then such shares may be sold in subsequent years. In addition, certain members of our management holding options exercisable for approximately 2.2 million shares of our common stock had entered into an agreement not to sell more than 15.0% of such shares in any year during the five years following the effective date of such initial public offering. On January 23, 2007, certain members of our management team entered into amended and restated stock sale restriction agreements whereby such officers agreed not to sell more than a fixed number of beneficially held shares of our common stock for a two year period ending December 31,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2008. At the time these agreements were entered into, such officers beneficially owned an aggregate of 5,010,453 shares of our common stock, including vested and unvested options to purchase common stock, which are subject to the sale restriction agreements. We have the right to waive any of these resale restrictions for employees and management at our discretion, and in such instance, the shares would become freely tradable. Upon the expiration or waiver of these resale restrictions, these individuals may sell, or the public market may perceive that these individuals will sell, a large number of shares of our common stock, which may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 to period, which may reduce our stock price.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Historically, our financial results have exhibited significant seasonality. For example, we typically have lower product and license revenue in the first half of the year and higher product revenue in the second half of the year. We expect such seasonality to continue. In addition, our financial results may fluctuate as a result of a number of factors, many of which are outside of our control, which may cause the market price of our common stock to fall.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in particular, the following risks:</w:t>
      </w:r>
    </w:p>
    <w:p>
      <w:pPr>
        <w:spacing w:after="0" w:line="3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of contract research funding;</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decisions by government agencies, academic institutions or corporations not to exercise contract options or to modify, curtail or terminate our major contracts;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estimate or control contract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related to acquisitions, mergers or joint ventures;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one-time financial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increased costs as a result of being a public company.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We have and will continue to incur costs associated with our public company reporting requirements. We also have and will continue to incur costs associated with corporate governance requirements, including requirements under the Sarbanes-Oxley Act of 2002, as well as rules implemented by the SEC and the National Association of Securities Dealers, Inc., or NASD. We expect these rules and regulations to increase our legal and financial compliance costs and to make some activities more time-consuming and costly. We cannot accurately predict or estimate the amount of additional costs we may incur or the timing of such costs.</w:t>
      </w:r>
    </w:p>
    <w:p>
      <w:pPr>
        <w:spacing w:after="0" w:line="197" w:lineRule="exact"/>
        <w:rPr>
          <w:sz w:val="20"/>
          <w:szCs w:val="20"/>
          <w:color w:val="auto"/>
        </w:rPr>
      </w:pPr>
    </w:p>
    <w:p>
      <w:pPr>
        <w:ind w:right="520"/>
        <w:spacing w:after="0" w:line="357" w:lineRule="auto"/>
        <w:rPr>
          <w:sz w:val="20"/>
          <w:szCs w:val="20"/>
          <w:color w:val="auto"/>
        </w:rPr>
      </w:pPr>
      <w:r>
        <w:rPr>
          <w:rFonts w:ascii="Arial" w:cs="Arial" w:eastAsia="Arial" w:hAnsi="Arial"/>
          <w:sz w:val="15"/>
          <w:szCs w:val="15"/>
          <w:b w:val="1"/>
          <w:bCs w:val="1"/>
          <w:i w:val="1"/>
          <w:iCs w:val="1"/>
          <w:color w:val="auto"/>
        </w:rPr>
        <w:t>If our internal controls over financial reporting are found not to be effective or if we make disclosure of existing or potential significant deficiencies or material weaknesses in those controls, Investors could lose confidence in our financial reports, and our stock price may be adversely affected.</w:t>
      </w:r>
    </w:p>
    <w:p>
      <w:pPr>
        <w:ind w:right="60" w:firstLine="456"/>
        <w:spacing w:after="0" w:line="294" w:lineRule="auto"/>
        <w:rPr>
          <w:sz w:val="20"/>
          <w:szCs w:val="20"/>
          <w:color w:val="auto"/>
        </w:rPr>
      </w:pPr>
      <w:r>
        <w:rPr>
          <w:rFonts w:ascii="Arial" w:cs="Arial" w:eastAsia="Arial" w:hAnsi="Arial"/>
          <w:sz w:val="16"/>
          <w:szCs w:val="16"/>
          <w:color w:val="auto"/>
        </w:rPr>
        <w:t>Beginning with our Annual Report for the year ending December 31, 2007, 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 Additionally, our independent registered public accounting firm will be required to issue a report on management’s assessment of our internal control over financial reporting and a report on their evaluation of the operating effectiveness of our internal control over financial reporting beginning with our Annual Report for the year ending December 31, 2008.</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continue to evaluate our existing internal control over financial reporting against the standards adopted by the Public Company Accounting Oversight Board, or PCAOB.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or our independent registered public accounting firm may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by an independent registered public accounting firm or if we make disclosure of existing or potential significant deficiencies or material weaknesses in those controls.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b w:val="1"/>
          <w:bCs w:val="1"/>
          <w:i w:val="1"/>
          <w:iCs w:val="1"/>
          <w:color w:val="auto"/>
        </w:rPr>
        <w:t>Our independent auditors have previously identified material weaknesses and significant deficiencies in our internal controls, and if we are unable to develop, implement and maintain appropriate controls we will not be able to comply with applicable regulatory requirements imposed on reporting companies.</w:t>
      </w:r>
    </w:p>
    <w:p>
      <w:pPr>
        <w:spacing w:after="0" w:line="5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connection with the audit of our financial statements for the year ended December 31, 2006, our independent registered public accounting firm did not identify any material weaknesses or significant deficiencies in our internal control over financial reporting. Although we do not believe we have material weaknesses or significant deficiencies related to our policies and procedures, we have not performed specific tests to determine the effectiveness of key controls within these policies and procedures. We intend to monitor those policies and procedures in connection with the establishment of a formally documented system of internal control. We are continuing documentation of our internal control processes in order to identify additional areas for improvement as well as in anticipation of our future reporting requirements under the Sarbanes-Oxley Act of 2002.</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While we anticipate being able to implement fully the requirements relating to internal control and all other applicable requirements of the Sarbanes-Oxley Act of 2002 in a timely fashion, we cannot be certain as to the timing of the completion of our evaluation and testing and any necessary remediation or the impact of the same on our operations. Our development, implementation and maintenance of appropriate internal controls will depend materially both on our successful hiring and retention of key senior accounting personnel. If we are not able to complete the assessment required under Section 404 in a timely manner, we would be unable to conclude that our internal control over financial reporting is effective as of December 31, 2007.</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are unable to retain and attract qualified personnel, to implement and integrate financial reporting and accounting systems or if we are unable to scale these systems to our growth, we may not have adequate, accurate or timely financial information, and we may be unable to meet our reporting obligations or comply with the requirements of the SEC, the NASDAQ Global Market or the Sarbanes-Oxley Act of 2002, which could result in the imposition of sanctions, including the suspension or delisting of our common stock from the NASDAQ Global Market and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price of our common stock. Further and continued determinations that there are significant deficiencies or material weaknesses in the effectiveness of our internal control over financial reporting could also reduce our ability to obtain financing or could increase the cost of any financing we obtain and require additional expenditures to comply with applicable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of June 30, 2007, our directors and management collectively controlled approximately 53% of our outstanding common stock.</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June 30, 2007, our directors and executive officers and their affiliates collectively controlled approximately 53% of our outstanding common stock. As a result, these stockholders, if they act together, will be able to influence our management and affairs and all matters requiring stockholder approval, including the election of directors and approval of significant corporate transactions. You and other stockholders will have minimal influence over these actions. This concentration of ownership may have the effect of delaying or preventing a change in control of our company and might adversely affect the market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and bylaws and Delaware law could discourage a takeover.</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enable our management to resist a takeover. These provisions include:</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supermajority stockholder vote requirement for amending certain provisions of our amended and restated certificate of incorporation and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Unregistered Sales of Equity Securities during the Three Months Ended June 30, 2007</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three months ended June 30, 2007, we issued an aggregate of 11,294 shares of our common stock, $0.001 par value per share, upon the exercise of certain warrants issued in February 2006 to the former stockholders of Luna Technologies, Inc. These shares were issued pursuant to a net exercise provision the value of which was approximately $11,294. We believe these transactions were exempt from registration pursuant to Section 4(2) of the Securities Act of 1933, as amended. No underwriters were engaged by us in connection with such issuances.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Proceeds from Sale of Registered Equity Securities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6, 2006, we completed the initial public offering of our common stock, $0.001 par value per share, pursuant to our Registration Statement on Form S-1, as amended (File No. 333-131764) that was declared effective on June 2, 2006. We sold 3,500,000 shares in the offering at a price to the public of $6.00 per share and received net proceeds of $17.87 million in the offering.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using, or expect to use, the net proceeds of the offering principally to fund further development and expansion of our products and product candidates, in particular our nanomaterial and ultrasound-related medical product candidates, and for general working capital purposes. We may also use a portion of the net proceeds for the acquisition of, or investment in, companies, technologies, products or assets that complement our business. We have no present commitments or binding agreements to enter into any acquisitions or investments. Pending these uses, we intend to continue to invest the net proceeds of our initial public offering in short-term, investment-grade interest-bearing securities or guaranteed obligations of the U.S. government.</w:t>
      </w:r>
    </w:p>
    <w:p>
      <w:pPr>
        <w:spacing w:after="0" w:line="116" w:lineRule="exact"/>
        <w:rPr>
          <w:sz w:val="20"/>
          <w:szCs w:val="20"/>
          <w:color w:val="auto"/>
        </w:rPr>
      </w:pPr>
    </w:p>
    <w:p>
      <w:pPr>
        <w:ind w:left="460" w:right="6240" w:hanging="452"/>
        <w:spacing w:after="0" w:line="362" w:lineRule="auto"/>
        <w:tabs>
          <w:tab w:leader="none" w:pos="24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14, 2007, we held our 2007 annual meeting of stockholders. At the meeting the following actions were voted upon:</w:t>
      </w:r>
    </w:p>
    <w:p>
      <w:pPr>
        <w:spacing w:after="0" w:line="90" w:lineRule="exact"/>
        <w:rPr>
          <w:sz w:val="20"/>
          <w:szCs w:val="20"/>
          <w:color w:val="auto"/>
        </w:rPr>
      </w:pPr>
    </w:p>
    <w:p>
      <w:pPr>
        <w:ind w:left="900" w:right="1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Election of the following two individuals as Class I directors to serve a three-year term expiring at the 2010 annual meeting of stockholders or until their respective successors have been elected and qualified: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2380" w:type="dxa"/>
            <w:vAlign w:val="bottom"/>
          </w:tcPr>
          <w:p>
            <w:pPr>
              <w:spacing w:after="0"/>
              <w:rPr>
                <w:sz w:val="15"/>
                <w:szCs w:val="15"/>
                <w:color w:val="auto"/>
              </w:rPr>
            </w:pPr>
          </w:p>
        </w:tc>
        <w:tc>
          <w:tcPr>
            <w:tcW w:w="3080" w:type="dxa"/>
            <w:vAlign w:val="bottom"/>
            <w:gridSpan w:val="2"/>
          </w:tcPr>
          <w:p>
            <w:pPr>
              <w:ind w:left="60"/>
              <w:spacing w:after="0"/>
              <w:rPr>
                <w:sz w:val="20"/>
                <w:szCs w:val="20"/>
                <w:color w:val="auto"/>
              </w:rPr>
            </w:pPr>
            <w:r>
              <w:rPr>
                <w:rFonts w:ascii="Arial" w:cs="Arial" w:eastAsia="Arial" w:hAnsi="Arial"/>
                <w:sz w:val="14"/>
                <w:szCs w:val="14"/>
                <w:b w:val="1"/>
                <w:bCs w:val="1"/>
                <w:color w:val="auto"/>
              </w:rPr>
              <w:t>Votes For</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4"/>
              </w:rPr>
              <w:t>Votes Withheld</w:t>
            </w:r>
          </w:p>
        </w:tc>
      </w:tr>
      <w:tr>
        <w:trPr>
          <w:trHeight w:val="209"/>
        </w:trPr>
        <w:tc>
          <w:tcPr>
            <w:tcW w:w="3240" w:type="dxa"/>
            <w:vAlign w:val="bottom"/>
          </w:tcPr>
          <w:p>
            <w:pPr>
              <w:spacing w:after="0" w:line="202" w:lineRule="exact"/>
              <w:rPr>
                <w:sz w:val="20"/>
                <w:szCs w:val="20"/>
                <w:color w:val="auto"/>
              </w:rPr>
            </w:pPr>
            <w:r>
              <w:rPr>
                <w:rFonts w:ascii="Arial" w:cs="Arial" w:eastAsia="Arial" w:hAnsi="Arial"/>
                <w:sz w:val="18"/>
                <w:szCs w:val="18"/>
                <w:color w:val="auto"/>
              </w:rPr>
              <w:t>Edward G. Murphy, Ph.D.</w:t>
            </w:r>
          </w:p>
        </w:tc>
        <w:tc>
          <w:tcPr>
            <w:tcW w:w="23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7,022,390</w:t>
            </w:r>
          </w:p>
        </w:tc>
        <w:tc>
          <w:tcPr>
            <w:tcW w:w="23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33,699</w:t>
            </w:r>
          </w:p>
        </w:tc>
      </w:tr>
      <w:tr>
        <w:trPr>
          <w:trHeight w:val="316"/>
        </w:trPr>
        <w:tc>
          <w:tcPr>
            <w:tcW w:w="3240" w:type="dxa"/>
            <w:vAlign w:val="bottom"/>
          </w:tcPr>
          <w:p>
            <w:pPr>
              <w:spacing w:after="0"/>
              <w:rPr>
                <w:sz w:val="20"/>
                <w:szCs w:val="20"/>
                <w:color w:val="auto"/>
              </w:rPr>
            </w:pPr>
            <w:r>
              <w:rPr>
                <w:rFonts w:ascii="Arial" w:cs="Arial" w:eastAsia="Arial" w:hAnsi="Arial"/>
                <w:sz w:val="18"/>
                <w:szCs w:val="18"/>
                <w:color w:val="auto"/>
              </w:rPr>
              <w:t>Kent A. Murphy, Ph.D.</w:t>
            </w:r>
          </w:p>
        </w:tc>
        <w:tc>
          <w:tcPr>
            <w:tcW w:w="5460" w:type="dxa"/>
            <w:vAlign w:val="bottom"/>
            <w:gridSpan w:val="3"/>
          </w:tcPr>
          <w:p>
            <w:pPr>
              <w:jc w:val="right"/>
              <w:ind w:right="2380"/>
              <w:spacing w:after="0"/>
              <w:rPr>
                <w:sz w:val="20"/>
                <w:szCs w:val="20"/>
                <w:color w:val="auto"/>
              </w:rPr>
            </w:pPr>
            <w:r>
              <w:rPr>
                <w:rFonts w:ascii="Arial" w:cs="Arial" w:eastAsia="Arial" w:hAnsi="Arial"/>
                <w:sz w:val="18"/>
                <w:szCs w:val="18"/>
                <w:color w:val="auto"/>
              </w:rPr>
              <w:t>7,019,665</w:t>
            </w:r>
          </w:p>
        </w:tc>
        <w:tc>
          <w:tcPr>
            <w:tcW w:w="880" w:type="dxa"/>
            <w:vAlign w:val="bottom"/>
          </w:tcPr>
          <w:p>
            <w:pPr>
              <w:jc w:val="right"/>
              <w:spacing w:after="0"/>
              <w:rPr>
                <w:sz w:val="20"/>
                <w:szCs w:val="20"/>
                <w:color w:val="auto"/>
              </w:rPr>
            </w:pPr>
            <w:r>
              <w:rPr>
                <w:rFonts w:ascii="Arial" w:cs="Arial" w:eastAsia="Arial" w:hAnsi="Arial"/>
                <w:sz w:val="18"/>
                <w:szCs w:val="18"/>
                <w:color w:val="auto"/>
              </w:rPr>
              <w:t>36,424</w:t>
            </w:r>
          </w:p>
        </w:tc>
      </w:tr>
    </w:tbl>
    <w:p>
      <w:pPr>
        <w:spacing w:after="0" w:line="156"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The following directors’ terms of office continued after our 2007 annual meeting of stockholders: N. Leigh Anderson, Ph.D., John C. Backus, Bobbie Kilberg and Richard W. Roedel.</w:t>
      </w:r>
    </w:p>
    <w:p>
      <w:pPr>
        <w:spacing w:after="0" w:line="51" w:lineRule="exact"/>
        <w:rPr>
          <w:sz w:val="20"/>
          <w:szCs w:val="20"/>
          <w:color w:val="auto"/>
        </w:rPr>
      </w:pPr>
    </w:p>
    <w:p>
      <w:pPr>
        <w:ind w:left="900" w:right="4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Ratification of the appointment of Grant Thornton, LLP as our independent registered public accounting firm for the year ending December 31,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Votes For</w:t>
            </w:r>
          </w:p>
        </w:tc>
        <w:tc>
          <w:tcPr>
            <w:tcW w:w="1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Votes Against</w:t>
            </w:r>
          </w:p>
        </w:tc>
        <w:tc>
          <w:tcPr>
            <w:tcW w:w="1540" w:type="dxa"/>
            <w:vAlign w:val="bottom"/>
          </w:tcPr>
          <w:p>
            <w:pPr>
              <w:spacing w:after="0"/>
              <w:rPr>
                <w:sz w:val="15"/>
                <w:szCs w:val="15"/>
                <w:color w:val="auto"/>
              </w:rPr>
            </w:pPr>
          </w:p>
        </w:tc>
        <w:tc>
          <w:tcPr>
            <w:tcW w:w="2140" w:type="dxa"/>
            <w:vAlign w:val="bottom"/>
            <w:gridSpan w:val="2"/>
          </w:tcPr>
          <w:p>
            <w:pPr>
              <w:jc w:val="right"/>
              <w:ind w:right="1540"/>
              <w:spacing w:after="0"/>
              <w:rPr>
                <w:sz w:val="20"/>
                <w:szCs w:val="20"/>
                <w:color w:val="auto"/>
              </w:rPr>
            </w:pPr>
            <w:r>
              <w:rPr>
                <w:rFonts w:ascii="Arial" w:cs="Arial" w:eastAsia="Arial" w:hAnsi="Arial"/>
                <w:sz w:val="14"/>
                <w:szCs w:val="14"/>
                <w:b w:val="1"/>
                <w:bCs w:val="1"/>
                <w:color w:val="auto"/>
                <w:w w:val="85"/>
              </w:rPr>
              <w:t>Abstained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09"/>
        </w:trPr>
        <w:tc>
          <w:tcPr>
            <w:tcW w:w="920" w:type="dxa"/>
            <w:vAlign w:val="bottom"/>
          </w:tcPr>
          <w:p>
            <w:pPr>
              <w:spacing w:after="0"/>
              <w:rPr>
                <w:sz w:val="18"/>
                <w:szCs w:val="18"/>
                <w:color w:val="auto"/>
              </w:rPr>
            </w:pPr>
          </w:p>
        </w:tc>
        <w:tc>
          <w:tcPr>
            <w:tcW w:w="2540" w:type="dxa"/>
            <w:vAlign w:val="bottom"/>
          </w:tcPr>
          <w:p>
            <w:pPr>
              <w:spacing w:after="0" w:line="202" w:lineRule="exact"/>
              <w:rPr>
                <w:sz w:val="20"/>
                <w:szCs w:val="20"/>
                <w:color w:val="auto"/>
              </w:rPr>
            </w:pPr>
            <w:r>
              <w:rPr>
                <w:rFonts w:ascii="Arial" w:cs="Arial" w:eastAsia="Arial" w:hAnsi="Arial"/>
                <w:sz w:val="18"/>
                <w:szCs w:val="18"/>
                <w:color w:val="auto"/>
              </w:rPr>
              <w:t>7,036,093</w:t>
            </w:r>
          </w:p>
        </w:tc>
        <w:tc>
          <w:tcPr>
            <w:tcW w:w="15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12,963</w:t>
            </w:r>
          </w:p>
        </w:tc>
        <w:tc>
          <w:tcPr>
            <w:tcW w:w="15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15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none</w:t>
            </w:r>
          </w:p>
        </w:tc>
      </w:tr>
      <w:tr>
        <w:trPr>
          <w:trHeight w:val="410"/>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25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OTHER INFORMATION</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920" w:type="dxa"/>
            <w:vAlign w:val="bottom"/>
          </w:tcPr>
          <w:p>
            <w:pPr>
              <w:ind w:left="460"/>
              <w:spacing w:after="0"/>
              <w:rPr>
                <w:sz w:val="20"/>
                <w:szCs w:val="20"/>
                <w:color w:val="auto"/>
              </w:rPr>
            </w:pPr>
            <w:r>
              <w:rPr>
                <w:rFonts w:ascii="Arial" w:cs="Arial" w:eastAsia="Arial" w:hAnsi="Arial"/>
                <w:sz w:val="18"/>
                <w:szCs w:val="18"/>
                <w:color w:val="auto"/>
                <w:w w:val="91"/>
              </w:rPr>
              <w:t>None.</w:t>
            </w:r>
          </w:p>
        </w:tc>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on the Exhibit Index hereto are filed, furnished or incorporated by reference (as stated therein) as part of this Quarterly Report on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Luna Innovations Incorporated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2007</w:t>
      </w:r>
    </w:p>
    <w:p>
      <w:pPr>
        <w:spacing w:after="0" w:line="15" w:lineRule="exact"/>
        <w:rPr>
          <w:sz w:val="20"/>
          <w:szCs w:val="20"/>
          <w:color w:val="auto"/>
        </w:rPr>
      </w:pPr>
    </w:p>
    <w:p>
      <w:pPr>
        <w:ind w:left="55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E. M</w:t>
      </w:r>
      <w:r>
        <w:rPr>
          <w:rFonts w:ascii="Arial" w:cs="Arial" w:eastAsia="Arial" w:hAnsi="Arial"/>
          <w:sz w:val="14"/>
          <w:szCs w:val="14"/>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Dale E. Messick</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and duly authorized Officer)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0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7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the Registrant. (Exhibit 3.2)</w:t>
            </w:r>
          </w:p>
        </w:tc>
        <w:tc>
          <w:tcPr>
            <w:tcW w:w="0" w:type="dxa"/>
            <w:vAlign w:val="bottom"/>
          </w:tcPr>
          <w:p>
            <w:pPr>
              <w:spacing w:after="0"/>
              <w:rPr>
                <w:sz w:val="1"/>
                <w:szCs w:val="1"/>
                <w:color w:val="auto"/>
              </w:rPr>
            </w:pPr>
          </w:p>
        </w:tc>
      </w:tr>
      <w:tr>
        <w:trPr>
          <w:trHeight w:val="316"/>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ind w:left="20"/>
              <w:spacing w:after="0"/>
              <w:rPr>
                <w:sz w:val="20"/>
                <w:szCs w:val="20"/>
                <w:color w:val="auto"/>
              </w:rPr>
            </w:pPr>
            <w:r>
              <w:rPr>
                <w:rFonts w:ascii="Arial" w:cs="Arial" w:eastAsia="Arial" w:hAnsi="Arial"/>
                <w:sz w:val="18"/>
                <w:szCs w:val="18"/>
                <w:color w:val="auto"/>
              </w:rPr>
              <w:t>(2)</w:t>
            </w: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Amended and Restated Bylaws of the Registrant. (Exhibit 3.4)</w:t>
            </w:r>
          </w:p>
        </w:tc>
        <w:tc>
          <w:tcPr>
            <w:tcW w:w="0" w:type="dxa"/>
            <w:vAlign w:val="bottom"/>
          </w:tcPr>
          <w:p>
            <w:pPr>
              <w:spacing w:after="0"/>
              <w:rPr>
                <w:sz w:val="1"/>
                <w:szCs w:val="1"/>
                <w:color w:val="auto"/>
              </w:rPr>
            </w:pPr>
          </w:p>
        </w:tc>
      </w:tr>
      <w:tr>
        <w:trPr>
          <w:trHeight w:val="318"/>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10.1</w:t>
            </w:r>
          </w:p>
        </w:tc>
        <w:tc>
          <w:tcPr>
            <w:tcW w:w="360" w:type="dxa"/>
            <w:vAlign w:val="bottom"/>
          </w:tcPr>
          <w:p>
            <w:pPr>
              <w:ind w:left="20"/>
              <w:spacing w:after="0"/>
              <w:rPr>
                <w:sz w:val="20"/>
                <w:szCs w:val="20"/>
                <w:color w:val="auto"/>
              </w:rPr>
            </w:pPr>
            <w:r>
              <w:rPr>
                <w:rFonts w:ascii="Arial" w:cs="Arial" w:eastAsia="Arial" w:hAnsi="Arial"/>
                <w:sz w:val="18"/>
                <w:szCs w:val="18"/>
                <w:color w:val="auto"/>
                <w:w w:val="86"/>
              </w:rPr>
              <w:t>(3) †</w:t>
            </w: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w w:val="91"/>
              </w:rPr>
              <w:t>Development and Supply Agreement by and between Luna Innovations Incorporated and Intuitive Surgical, Inc. dated June 11, 2007.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10.2</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Senior Management Bonus Plan</w:t>
            </w:r>
          </w:p>
        </w:tc>
        <w:tc>
          <w:tcPr>
            <w:tcW w:w="0" w:type="dxa"/>
            <w:vAlign w:val="bottom"/>
          </w:tcPr>
          <w:p>
            <w:pPr>
              <w:spacing w:after="0"/>
              <w:rPr>
                <w:sz w:val="1"/>
                <w:szCs w:val="1"/>
                <w:color w:val="auto"/>
              </w:rPr>
            </w:pPr>
          </w:p>
        </w:tc>
      </w:tr>
      <w:tr>
        <w:trPr>
          <w:trHeight w:val="318"/>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31.1</w:t>
            </w:r>
          </w:p>
        </w:tc>
        <w:tc>
          <w:tcPr>
            <w:tcW w:w="360" w:type="dxa"/>
            <w:vAlign w:val="bottom"/>
          </w:tcPr>
          <w:p>
            <w:pPr>
              <w:spacing w:after="0"/>
              <w:rPr>
                <w:sz w:val="24"/>
                <w:szCs w:val="24"/>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w w:val="91"/>
              </w:rPr>
              <w:t>Certification of the Chief Executive Officer pursuant to Rule 13a-14(a) and Rule 15d-14(a) of the Securities Exchange Act of 1934, as adopted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318"/>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31.2</w:t>
            </w:r>
          </w:p>
        </w:tc>
        <w:tc>
          <w:tcPr>
            <w:tcW w:w="360" w:type="dxa"/>
            <w:vAlign w:val="bottom"/>
          </w:tcPr>
          <w:p>
            <w:pPr>
              <w:spacing w:after="0"/>
              <w:rPr>
                <w:sz w:val="24"/>
                <w:szCs w:val="24"/>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w w:val="91"/>
              </w:rPr>
              <w:t>Certification of the Chief Financial Officer pursuant to Rule 13a-14(a) and Rule 15d-14(a) of the Securities Exchange Act of 1934, as adopted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318"/>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32.1</w:t>
            </w:r>
          </w:p>
        </w:tc>
        <w:tc>
          <w:tcPr>
            <w:tcW w:w="360" w:type="dxa"/>
            <w:vAlign w:val="bottom"/>
          </w:tcPr>
          <w:p>
            <w:pPr>
              <w:spacing w:after="0"/>
              <w:rPr>
                <w:sz w:val="24"/>
                <w:szCs w:val="24"/>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18"/>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32.2</w:t>
            </w:r>
          </w:p>
        </w:tc>
        <w:tc>
          <w:tcPr>
            <w:tcW w:w="360" w:type="dxa"/>
            <w:vAlign w:val="bottom"/>
          </w:tcPr>
          <w:p>
            <w:pPr>
              <w:spacing w:after="0"/>
              <w:rPr>
                <w:sz w:val="24"/>
                <w:szCs w:val="24"/>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right="3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June 2, 2006 (file No. 000-52008). The number given in parenthesis indicates the corresponding exhibit number in such Form 8-K.</w:t>
      </w:r>
    </w:p>
    <w:p>
      <w:pPr>
        <w:ind w:left="460" w:right="2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Registration Statement on Form S-1, as amended, dated June 2, 2006 (file No. 333-131764). The number given in parenthesis indicates the corresponding exhibit number in such Form S-1.</w:t>
      </w: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June 11, 2007 (file No. 000-52008). The number given in parenthesis indicates the corresponding exhibit number in such Form 8-K.</w:t>
      </w:r>
    </w:p>
    <w:p>
      <w:pPr>
        <w:spacing w:after="0" w:line="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ind w:left="105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CONFIDENTIAL TREATMENT REQUESTED: Certain portions of this document have been omitted pursuant to a request for confidential treatment and, where applicable, have been marked with an asterisk (“[****]”) to denote where omissions have been made. The confidential material has been filed separately with the Securities and Exchange Commission.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UNA</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NNOVATIONS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ONUS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2007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of us share in Luna’s vision to bring together the best ideas and people, to be a leading technology development and commercialization company, solving important problems in a way that benefit the world. Through collaboration and hard work, we are moving Luna Innovations to the next level. We all play a significant part in Luna’s on-going technological advances and financial success. In recognition of the impact each of us has on overall company performance; we have implemented a Senior Management Cash Bonus Plan in addition to an All Innovator Bonus Plan.</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Eligibility: President &amp; Chief Executive Officer; Chief Operating Officer; Chief Financial Officer; Chief Commercialization Officer; President nanoPharma Division; President Advanced Systems Division; President Contract Research Division; Vice President &amp; General Manager; Luna Technologies Division; Vice President and General Counsel; Vice President Human Resources; Vice President Intellectual Property; Chief Technology Officer; and Chief Scientific Officer.</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2007 plan is structured as a percentage of each participant’s annual salary, is triggered if 95% of both revenue and net income budgets are met, and is earned based upon performance in two tiers. The first tier, with a target percentage equal to 50% of the participant’s 2006 target percentage, is based upon the achievement of annual goals. Within this tier, bonuses are 35% based upon the achievement of the 2007 budget revenue target, 35% based upon the achievement of the 2007 budget net income target, and 30% based upon personal achievement of milestones/goals. Amounts earned for the revenue and net income components of the first tier will be determined in accordance with Attachment (A).</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the company achieves the 95% trigger for Tier 1 payments as described in the preceding paragraph, then participants in the Plan may be eligible for Tier 2 payments as described in this paragraph. The second tier of payments will be earned based upon improvements to the budgeted net loss for 2007. To the extent that the company’s actual net loss is less than $[****], the company will fund a pool for second tier payments, as defined in Attachment B. Participants will receive their pro-rata share of the second tier pool based upon the ratio of their 2007 target level payment to the aggregate 2007 target level payments of all participants in this plan up to an amount equal to their Tier 2 target. It is anticipated that an improvement in net loss of approximately $[****] will be required to fund the second tier pool at an amount equal to 50% of the 2006 target percentage. If the 2007 net loss is improved by more than $[****], then Tier 2 payments will be increased by an amount equal to the ratio of actual improvement divided by $1 million multiplied by the Tier 2 target percentage, subject to a maximum of 150% for each participant and an aggregate Tier 2 payment for all participants of $750,000.00</w:t>
      </w:r>
    </w:p>
    <w:p>
      <w:pPr>
        <w:sectPr>
          <w:pgSz w:w="11900" w:h="16838" w:orient="portrait"/>
          <w:cols w:equalWidth="0" w:num="1">
            <w:col w:w="11420"/>
          </w:cols>
          <w:pgMar w:left="240" w:top="125"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items will not be considered in determining the amount to be funded in the second tier:</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Bonuses earned under this plan will be paid annually, following completion of the independent audit of the company’s financial statements.</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Note that this is just one piece of Luna’s overall compensation plan. In addition to the bonus plan, Luna continues to provide competitive market salaries, performance-based stock options, and comprehensive welfare and benefits programs.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Casual, inappropriate discussion between Innovators concerning any part of individual compensation plans, participation and/or amounts of bonus payouts, is grounds for disciplinary action including, but not limited to, exclusion from future participation in the plan and/or dismissal.</w:t>
      </w:r>
    </w:p>
    <w:p>
      <w:pPr>
        <w:sectPr>
          <w:pgSz w:w="11900" w:h="16838" w:orient="portrait"/>
          <w:cols w:equalWidth="0" w:num="1">
            <w:col w:w="11380"/>
          </w:cols>
          <w:pgMar w:left="240" w:top="280" w:right="2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7480" w:type="dxa"/>
            <w:vAlign w:val="bottom"/>
            <w:gridSpan w:val="3"/>
          </w:tcPr>
          <w:p>
            <w:pPr>
              <w:jc w:val="center"/>
              <w:ind w:left="3857"/>
              <w:spacing w:after="0"/>
              <w:rPr>
                <w:sz w:val="20"/>
                <w:szCs w:val="20"/>
                <w:color w:val="auto"/>
              </w:rPr>
            </w:pPr>
            <w:r>
              <w:rPr>
                <w:rFonts w:ascii="Arial" w:cs="Arial" w:eastAsia="Arial" w:hAnsi="Arial"/>
                <w:sz w:val="18"/>
                <w:szCs w:val="18"/>
                <w:b w:val="1"/>
                <w:bCs w:val="1"/>
                <w:color w:val="auto"/>
                <w:w w:val="99"/>
              </w:rPr>
              <w:t>ATTACHMENT (A)</w:t>
            </w:r>
          </w:p>
        </w:tc>
        <w:tc>
          <w:tcPr>
            <w:tcW w:w="3940" w:type="dxa"/>
            <w:vAlign w:val="bottom"/>
          </w:tcPr>
          <w:p>
            <w:pPr>
              <w:spacing w:after="0"/>
              <w:rPr>
                <w:sz w:val="18"/>
                <w:szCs w:val="18"/>
                <w:color w:val="auto"/>
              </w:rPr>
            </w:pPr>
          </w:p>
        </w:tc>
      </w:tr>
      <w:tr>
        <w:trPr>
          <w:trHeight w:val="228"/>
        </w:trPr>
        <w:tc>
          <w:tcPr>
            <w:tcW w:w="7480" w:type="dxa"/>
            <w:vAlign w:val="bottom"/>
            <w:gridSpan w:val="3"/>
          </w:tcPr>
          <w:p>
            <w:pPr>
              <w:jc w:val="center"/>
              <w:ind w:left="3877"/>
              <w:spacing w:after="0"/>
              <w:rPr>
                <w:sz w:val="20"/>
                <w:szCs w:val="20"/>
                <w:color w:val="auto"/>
              </w:rPr>
            </w:pPr>
            <w:r>
              <w:rPr>
                <w:rFonts w:ascii="Arial" w:cs="Arial" w:eastAsia="Arial" w:hAnsi="Arial"/>
                <w:sz w:val="18"/>
                <w:szCs w:val="18"/>
                <w:b w:val="1"/>
                <w:bCs w:val="1"/>
                <w:color w:val="auto"/>
                <w:w w:val="88"/>
              </w:rPr>
              <w:t>Incentive Plan Performance Curve</w:t>
            </w:r>
          </w:p>
        </w:tc>
        <w:tc>
          <w:tcPr>
            <w:tcW w:w="3940" w:type="dxa"/>
            <w:vAlign w:val="bottom"/>
          </w:tcPr>
          <w:p>
            <w:pPr>
              <w:spacing w:after="0"/>
              <w:rPr>
                <w:sz w:val="19"/>
                <w:szCs w:val="19"/>
                <w:color w:val="auto"/>
              </w:rPr>
            </w:pPr>
          </w:p>
        </w:tc>
      </w:tr>
      <w:tr>
        <w:trPr>
          <w:trHeight w:val="378"/>
        </w:trPr>
        <w:tc>
          <w:tcPr>
            <w:tcW w:w="7480" w:type="dxa"/>
            <w:vAlign w:val="bottom"/>
            <w:gridSpan w:val="3"/>
          </w:tcPr>
          <w:p>
            <w:pPr>
              <w:spacing w:after="0"/>
              <w:rPr>
                <w:sz w:val="20"/>
                <w:szCs w:val="20"/>
                <w:color w:val="auto"/>
              </w:rPr>
            </w:pPr>
            <w:r>
              <w:rPr>
                <w:rFonts w:ascii="Arial" w:cs="Arial" w:eastAsia="Arial" w:hAnsi="Arial"/>
                <w:sz w:val="18"/>
                <w:szCs w:val="18"/>
                <w:color w:val="auto"/>
                <w:w w:val="96"/>
              </w:rPr>
              <w:t>The following curve is based on the achievement of budgeted net income and budgeted revenue.</w:t>
            </w:r>
          </w:p>
        </w:tc>
        <w:tc>
          <w:tcPr>
            <w:tcW w:w="3940" w:type="dxa"/>
            <w:vAlign w:val="bottom"/>
          </w:tcPr>
          <w:p>
            <w:pPr>
              <w:spacing w:after="0"/>
              <w:rPr>
                <w:sz w:val="24"/>
                <w:szCs w:val="24"/>
                <w:color w:val="auto"/>
              </w:rPr>
            </w:pPr>
          </w:p>
        </w:tc>
      </w:tr>
      <w:tr>
        <w:trPr>
          <w:trHeight w:val="340"/>
        </w:trPr>
        <w:tc>
          <w:tcPr>
            <w:tcW w:w="748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6"/>
              </w:rPr>
              <w:t>Company Budgeted Net Income and Net</w:t>
            </w:r>
          </w:p>
        </w:tc>
        <w:tc>
          <w:tcPr>
            <w:tcW w:w="3940" w:type="dxa"/>
            <w:vAlign w:val="bottom"/>
          </w:tcPr>
          <w:p>
            <w:pPr>
              <w:spacing w:after="0"/>
              <w:rPr>
                <w:sz w:val="24"/>
                <w:szCs w:val="24"/>
                <w:color w:val="auto"/>
              </w:rPr>
            </w:pPr>
          </w:p>
        </w:tc>
      </w:tr>
      <w:tr>
        <w:trPr>
          <w:trHeight w:val="149"/>
        </w:trPr>
        <w:tc>
          <w:tcPr>
            <w:tcW w:w="7480" w:type="dxa"/>
            <w:vAlign w:val="bottom"/>
            <w:gridSpan w:val="3"/>
          </w:tcPr>
          <w:p>
            <w:pPr>
              <w:jc w:val="center"/>
              <w:ind w:right="1640"/>
              <w:spacing w:after="0" w:line="149" w:lineRule="exact"/>
              <w:rPr>
                <w:sz w:val="20"/>
                <w:szCs w:val="20"/>
                <w:color w:val="auto"/>
              </w:rPr>
            </w:pPr>
            <w:r>
              <w:rPr>
                <w:rFonts w:ascii="Arial" w:cs="Arial" w:eastAsia="Arial" w:hAnsi="Arial"/>
                <w:sz w:val="14"/>
                <w:szCs w:val="14"/>
                <w:b w:val="1"/>
                <w:bCs w:val="1"/>
                <w:color w:val="auto"/>
                <w:w w:val="86"/>
              </w:rPr>
              <w:t>Revenue Versus Actual Net Income and Net Revenue</w:t>
            </w:r>
          </w:p>
        </w:tc>
        <w:tc>
          <w:tcPr>
            <w:tcW w:w="3940" w:type="dxa"/>
            <w:vAlign w:val="bottom"/>
          </w:tcPr>
          <w:p>
            <w:pPr>
              <w:jc w:val="center"/>
              <w:ind w:right="1456"/>
              <w:spacing w:after="0" w:line="149" w:lineRule="exact"/>
              <w:rPr>
                <w:sz w:val="20"/>
                <w:szCs w:val="20"/>
                <w:color w:val="auto"/>
              </w:rPr>
            </w:pPr>
            <w:r>
              <w:rPr>
                <w:rFonts w:ascii="Arial" w:cs="Arial" w:eastAsia="Arial" w:hAnsi="Arial"/>
                <w:sz w:val="14"/>
                <w:szCs w:val="14"/>
                <w:b w:val="1"/>
                <w:bCs w:val="1"/>
                <w:color w:val="auto"/>
                <w:w w:val="86"/>
              </w:rPr>
              <w:t>Proposed Award Payout</w:t>
            </w:r>
          </w:p>
        </w:tc>
      </w:tr>
      <w:tr>
        <w:trPr>
          <w:trHeight w:val="168"/>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(Percent of Budgeted)</w:t>
            </w:r>
          </w:p>
        </w:tc>
        <w:tc>
          <w:tcPr>
            <w:tcW w:w="1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jc w:val="center"/>
              <w:ind w:right="1436"/>
              <w:spacing w:after="0"/>
              <w:rPr>
                <w:sz w:val="20"/>
                <w:szCs w:val="20"/>
                <w:color w:val="auto"/>
              </w:rPr>
            </w:pPr>
            <w:r>
              <w:rPr>
                <w:rFonts w:ascii="Arial" w:cs="Arial" w:eastAsia="Arial" w:hAnsi="Arial"/>
                <w:sz w:val="14"/>
                <w:szCs w:val="14"/>
                <w:b w:val="1"/>
                <w:bCs w:val="1"/>
                <w:color w:val="auto"/>
                <w:w w:val="87"/>
              </w:rPr>
              <w:t>(Percent of Target Award)</w:t>
            </w:r>
          </w:p>
        </w:tc>
      </w:tr>
      <w:tr>
        <w:trPr>
          <w:trHeight w:val="216"/>
        </w:trPr>
        <w:tc>
          <w:tcPr>
            <w:tcW w:w="7480" w:type="dxa"/>
            <w:vAlign w:val="bottom"/>
            <w:gridSpan w:val="3"/>
            <w:shd w:val="clear" w:color="auto" w:fill="CCEEFF"/>
          </w:tcPr>
          <w:p>
            <w:pPr>
              <w:jc w:val="center"/>
              <w:ind w:right="1640"/>
              <w:spacing w:after="0"/>
              <w:rPr>
                <w:sz w:val="20"/>
                <w:szCs w:val="20"/>
                <w:color w:val="auto"/>
              </w:rPr>
            </w:pPr>
            <w:r>
              <w:rPr>
                <w:rFonts w:ascii="Arial" w:cs="Arial" w:eastAsia="Arial" w:hAnsi="Arial"/>
                <w:sz w:val="18"/>
                <w:szCs w:val="18"/>
                <w:color w:val="auto"/>
                <w:w w:val="90"/>
              </w:rPr>
              <w:t>Above 150%</w:t>
            </w:r>
          </w:p>
        </w:tc>
        <w:tc>
          <w:tcPr>
            <w:tcW w:w="3940" w:type="dxa"/>
            <w:vAlign w:val="bottom"/>
            <w:shd w:val="clear" w:color="auto" w:fill="CCEEFF"/>
          </w:tcPr>
          <w:p>
            <w:pPr>
              <w:jc w:val="center"/>
              <w:ind w:right="1456"/>
              <w:spacing w:after="0"/>
              <w:rPr>
                <w:sz w:val="20"/>
                <w:szCs w:val="20"/>
                <w:color w:val="auto"/>
              </w:rPr>
            </w:pPr>
            <w:r>
              <w:rPr>
                <w:rFonts w:ascii="Arial" w:cs="Arial" w:eastAsia="Arial" w:hAnsi="Arial"/>
                <w:sz w:val="18"/>
                <w:szCs w:val="18"/>
                <w:color w:val="auto"/>
                <w:w w:val="86"/>
              </w:rPr>
              <w:t>150%</w:t>
            </w:r>
          </w:p>
        </w:tc>
      </w:t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940" w:type="dxa"/>
            <w:vAlign w:val="bottom"/>
          </w:tcPr>
          <w:p>
            <w:pPr>
              <w:jc w:val="center"/>
              <w:ind w:right="1456"/>
              <w:spacing w:after="0"/>
              <w:rPr>
                <w:sz w:val="20"/>
                <w:szCs w:val="20"/>
                <w:color w:val="auto"/>
              </w:rPr>
            </w:pPr>
            <w:r>
              <w:rPr>
                <w:rFonts w:ascii="Arial" w:cs="Arial" w:eastAsia="Arial" w:hAnsi="Arial"/>
                <w:sz w:val="18"/>
                <w:szCs w:val="18"/>
                <w:color w:val="auto"/>
                <w:w w:val="86"/>
              </w:rPr>
              <w:t>150%</w:t>
            </w:r>
          </w:p>
        </w:tc>
      </w:tr>
      <w:tr>
        <w:trPr>
          <w:trHeight w:val="216"/>
        </w:trPr>
        <w:tc>
          <w:tcPr>
            <w:tcW w:w="5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140%</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940" w:type="dxa"/>
            <w:vAlign w:val="bottom"/>
            <w:shd w:val="clear" w:color="auto" w:fill="CCEEFF"/>
          </w:tcPr>
          <w:p>
            <w:pPr>
              <w:jc w:val="center"/>
              <w:ind w:right="1456"/>
              <w:spacing w:after="0"/>
              <w:rPr>
                <w:sz w:val="20"/>
                <w:szCs w:val="20"/>
                <w:color w:val="auto"/>
              </w:rPr>
            </w:pPr>
            <w:r>
              <w:rPr>
                <w:rFonts w:ascii="Arial" w:cs="Arial" w:eastAsia="Arial" w:hAnsi="Arial"/>
                <w:sz w:val="18"/>
                <w:szCs w:val="18"/>
                <w:color w:val="auto"/>
                <w:w w:val="86"/>
              </w:rPr>
              <w:t>140%</w:t>
            </w:r>
          </w:p>
        </w:tc>
      </w:t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w w:val="86"/>
              </w:rPr>
              <w:t>130%</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940" w:type="dxa"/>
            <w:vAlign w:val="bottom"/>
          </w:tcPr>
          <w:p>
            <w:pPr>
              <w:jc w:val="center"/>
              <w:ind w:right="1456"/>
              <w:spacing w:after="0"/>
              <w:rPr>
                <w:sz w:val="20"/>
                <w:szCs w:val="20"/>
                <w:color w:val="auto"/>
              </w:rPr>
            </w:pPr>
            <w:r>
              <w:rPr>
                <w:rFonts w:ascii="Arial" w:cs="Arial" w:eastAsia="Arial" w:hAnsi="Arial"/>
                <w:sz w:val="18"/>
                <w:szCs w:val="18"/>
                <w:color w:val="auto"/>
                <w:w w:val="86"/>
              </w:rPr>
              <w:t>130%</w:t>
            </w:r>
          </w:p>
        </w:tc>
      </w:tr>
      <w:tr>
        <w:trPr>
          <w:trHeight w:val="216"/>
        </w:trPr>
        <w:tc>
          <w:tcPr>
            <w:tcW w:w="5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120%</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940" w:type="dxa"/>
            <w:vAlign w:val="bottom"/>
            <w:shd w:val="clear" w:color="auto" w:fill="CCEEFF"/>
          </w:tcPr>
          <w:p>
            <w:pPr>
              <w:jc w:val="center"/>
              <w:ind w:right="1456"/>
              <w:spacing w:after="0"/>
              <w:rPr>
                <w:sz w:val="20"/>
                <w:szCs w:val="20"/>
                <w:color w:val="auto"/>
              </w:rPr>
            </w:pPr>
            <w:r>
              <w:rPr>
                <w:rFonts w:ascii="Arial" w:cs="Arial" w:eastAsia="Arial" w:hAnsi="Arial"/>
                <w:sz w:val="18"/>
                <w:szCs w:val="18"/>
                <w:color w:val="auto"/>
                <w:w w:val="86"/>
              </w:rPr>
              <w:t>120%</w:t>
            </w:r>
          </w:p>
        </w:tc>
      </w:t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940" w:type="dxa"/>
            <w:vAlign w:val="bottom"/>
          </w:tcPr>
          <w:p>
            <w:pPr>
              <w:jc w:val="center"/>
              <w:ind w:right="1456"/>
              <w:spacing w:after="0"/>
              <w:rPr>
                <w:sz w:val="20"/>
                <w:szCs w:val="20"/>
                <w:color w:val="auto"/>
              </w:rPr>
            </w:pPr>
            <w:r>
              <w:rPr>
                <w:rFonts w:ascii="Arial" w:cs="Arial" w:eastAsia="Arial" w:hAnsi="Arial"/>
                <w:sz w:val="18"/>
                <w:szCs w:val="18"/>
                <w:color w:val="auto"/>
                <w:w w:val="86"/>
              </w:rPr>
              <w:t>110%</w:t>
            </w:r>
          </w:p>
        </w:tc>
      </w:tr>
      <w:tr>
        <w:trPr>
          <w:trHeight w:val="216"/>
        </w:trPr>
        <w:tc>
          <w:tcPr>
            <w:tcW w:w="5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940" w:type="dxa"/>
            <w:vAlign w:val="bottom"/>
            <w:shd w:val="clear" w:color="auto" w:fill="CCEEFF"/>
          </w:tcPr>
          <w:p>
            <w:pPr>
              <w:jc w:val="center"/>
              <w:ind w:right="1456"/>
              <w:spacing w:after="0"/>
              <w:rPr>
                <w:sz w:val="20"/>
                <w:szCs w:val="20"/>
                <w:color w:val="auto"/>
              </w:rPr>
            </w:pPr>
            <w:r>
              <w:rPr>
                <w:rFonts w:ascii="Arial" w:cs="Arial" w:eastAsia="Arial" w:hAnsi="Arial"/>
                <w:sz w:val="18"/>
                <w:szCs w:val="18"/>
                <w:b w:val="1"/>
                <w:bCs w:val="1"/>
                <w:color w:val="auto"/>
                <w:w w:val="95"/>
              </w:rPr>
              <w:t>100%</w:t>
            </w: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w w:val="88"/>
              </w:rPr>
              <w:t>95%</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940" w:type="dxa"/>
            <w:vAlign w:val="bottom"/>
          </w:tcPr>
          <w:p>
            <w:pPr>
              <w:jc w:val="center"/>
              <w:ind w:right="1456"/>
              <w:spacing w:after="0"/>
              <w:rPr>
                <w:sz w:val="20"/>
                <w:szCs w:val="20"/>
                <w:color w:val="auto"/>
              </w:rPr>
            </w:pPr>
            <w:r>
              <w:rPr>
                <w:rFonts w:ascii="Arial" w:cs="Arial" w:eastAsia="Arial" w:hAnsi="Arial"/>
                <w:sz w:val="18"/>
                <w:szCs w:val="18"/>
                <w:color w:val="auto"/>
                <w:w w:val="88"/>
              </w:rPr>
              <w:t>90%</w:t>
            </w:r>
          </w:p>
        </w:tc>
      </w:tr>
    </w:tbl>
    <w:p>
      <w:pPr>
        <w:jc w:val="center"/>
        <w:ind w:right="1456"/>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Kent A. Murphy, certify that:</w:t>
      </w:r>
    </w:p>
    <w:p>
      <w:pPr>
        <w:spacing w:after="0" w:line="90"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60" w:firstLine="443"/>
        <w:spacing w:after="0" w:line="259"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4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2007</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Kent A. Murphy, Ph.D.</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90"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60" w:firstLine="443"/>
        <w:spacing w:after="0" w:line="259" w:lineRule="auto"/>
        <w:tabs>
          <w:tab w:leader="none" w:pos="11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4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2007</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E. M</w:t>
      </w:r>
      <w:r>
        <w:rPr>
          <w:rFonts w:ascii="Arial" w:cs="Arial" w:eastAsia="Arial" w:hAnsi="Arial"/>
          <w:sz w:val="14"/>
          <w:szCs w:val="14"/>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Dale E. Messick</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Luna Innovations Incorporated (the “Company”) on Form 10-Q for the period ending June 30, 2007 as filed with the Securities and Exchange Commission on the date hereof (the “Report”), I, Kent A. Murphy, Chief Executive Officer of the Company, certify, pursuant to 18 U.S.C. § 1350, as adopted pursuant to § 906 of the Sarbanes-Oxley Act of 2002, that to my knowledge:</w:t>
      </w:r>
    </w:p>
    <w:p>
      <w:pPr>
        <w:spacing w:after="0" w:line="59" w:lineRule="exact"/>
        <w:rPr>
          <w:sz w:val="20"/>
          <w:szCs w:val="20"/>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Kent A. Murphy, Ph.D.</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13, 2007</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Luna Innovations Incorporated (the “Company”) on Form 10-Q for the period ending June 30, 2007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59" w:lineRule="exact"/>
        <w:rPr>
          <w:sz w:val="20"/>
          <w:szCs w:val="20"/>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E. M</w:t>
      </w:r>
      <w:r>
        <w:rPr>
          <w:rFonts w:ascii="Arial" w:cs="Arial" w:eastAsia="Arial" w:hAnsi="Arial"/>
          <w:sz w:val="14"/>
          <w:szCs w:val="14"/>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Dale E. Messick</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13,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Letter"/>
      <w:start w:val="3"/>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2019-12-12T03:31:05Z</dcterms:created>
  <dcterms:modified xsi:type="dcterms:W3CDTF">2019-12-12T03:31:05Z</dcterms:modified>
</cp:coreProperties>
</file>