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LUNA INNOVATIONS INCORPORATED</w:t>
      </w:r>
    </w:p>
    <w:p>
      <w:pPr>
        <w:spacing w:after="0" w:line="50" w:lineRule="exact"/>
        <w:rPr>
          <w:sz w:val="24"/>
          <w:szCs w:val="24"/>
          <w:color w:val="auto"/>
        </w:rPr>
      </w:pPr>
    </w:p>
    <w:tbl>
      <w:tblPr>
        <w:tblLayout w:type="fixed"/>
        <w:tblInd w:w="200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5380" w:type="dxa"/>
            <w:vAlign w:val="bottom"/>
            <w:gridSpan w:val="3"/>
          </w:tcPr>
          <w:p>
            <w:pPr>
              <w:jc w:val="center"/>
              <w:ind w:right="1812"/>
              <w:spacing w:after="0"/>
              <w:rPr>
                <w:sz w:val="20"/>
                <w:szCs w:val="20"/>
                <w:color w:val="auto"/>
              </w:rPr>
            </w:pPr>
            <w:r>
              <w:rPr>
                <w:rFonts w:ascii="Arial" w:cs="Arial" w:eastAsia="Arial" w:hAnsi="Arial"/>
                <w:sz w:val="14"/>
                <w:szCs w:val="14"/>
                <w:b w:val="1"/>
                <w:bCs w:val="1"/>
                <w:i w:val="1"/>
                <w:iCs w:val="1"/>
                <w:color w:val="auto"/>
                <w:w w:val="84"/>
              </w:rPr>
              <w:t>(Exact name of registrant as specified in its charter)</w:t>
            </w:r>
          </w:p>
        </w:tc>
      </w:tr>
      <w:tr>
        <w:trPr>
          <w:trHeight w:val="272"/>
        </w:trPr>
        <w:tc>
          <w:tcPr>
            <w:tcW w:w="1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40" w:type="dxa"/>
            <w:vAlign w:val="bottom"/>
          </w:tcPr>
          <w:p>
            <w:pPr>
              <w:spacing w:after="0"/>
              <w:rPr>
                <w:sz w:val="23"/>
                <w:szCs w:val="23"/>
                <w:color w:val="auto"/>
              </w:rPr>
            </w:pPr>
          </w:p>
        </w:tc>
      </w:tr>
      <w:tr>
        <w:trPr>
          <w:trHeight w:val="428"/>
        </w:trPr>
        <w:tc>
          <w:tcPr>
            <w:tcW w:w="1960" w:type="dxa"/>
            <w:vAlign w:val="bottom"/>
          </w:tcPr>
          <w:p>
            <w:pPr>
              <w:jc w:val="center"/>
              <w:ind w:right="146"/>
              <w:spacing w:after="0"/>
              <w:rPr>
                <w:sz w:val="20"/>
                <w:szCs w:val="20"/>
                <w:color w:val="auto"/>
              </w:rPr>
            </w:pPr>
            <w:r>
              <w:rPr>
                <w:rFonts w:ascii="Arial" w:cs="Arial" w:eastAsia="Arial" w:hAnsi="Arial"/>
                <w:sz w:val="18"/>
                <w:szCs w:val="18"/>
                <w:b w:val="1"/>
                <w:bCs w:val="1"/>
                <w:color w:val="auto"/>
                <w:w w:val="88"/>
              </w:rPr>
              <w:t>Delaware</w:t>
            </w:r>
          </w:p>
        </w:tc>
        <w:tc>
          <w:tcPr>
            <w:tcW w:w="5380" w:type="dxa"/>
            <w:vAlign w:val="bottom"/>
            <w:gridSpan w:val="3"/>
          </w:tcPr>
          <w:p>
            <w:pPr>
              <w:jc w:val="center"/>
              <w:ind w:left="3982"/>
              <w:spacing w:after="0"/>
              <w:rPr>
                <w:sz w:val="20"/>
                <w:szCs w:val="20"/>
                <w:color w:val="auto"/>
              </w:rPr>
            </w:pPr>
            <w:r>
              <w:rPr>
                <w:rFonts w:ascii="Arial" w:cs="Arial" w:eastAsia="Arial" w:hAnsi="Arial"/>
                <w:sz w:val="18"/>
                <w:szCs w:val="18"/>
                <w:b w:val="1"/>
                <w:bCs w:val="1"/>
                <w:color w:val="auto"/>
                <w:w w:val="87"/>
              </w:rPr>
              <w:t>54-1560050</w:t>
            </w:r>
          </w:p>
        </w:tc>
      </w:tr>
      <w:tr>
        <w:trPr>
          <w:trHeight w:val="149"/>
        </w:trPr>
        <w:tc>
          <w:tcPr>
            <w:tcW w:w="19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40" w:type="dxa"/>
            <w:vAlign w:val="bottom"/>
          </w:tcPr>
          <w:p>
            <w:pPr>
              <w:jc w:val="center"/>
              <w:ind w:left="1072"/>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1960" w:type="dxa"/>
            <w:vAlign w:val="bottom"/>
          </w:tcPr>
          <w:p>
            <w:pPr>
              <w:jc w:val="center"/>
              <w:ind w:right="146"/>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40" w:type="dxa"/>
            <w:vAlign w:val="bottom"/>
          </w:tcPr>
          <w:p>
            <w:pPr>
              <w:jc w:val="center"/>
              <w:ind w:left="1072"/>
              <w:spacing w:after="0"/>
              <w:rPr>
                <w:sz w:val="20"/>
                <w:szCs w:val="20"/>
                <w:color w:val="auto"/>
              </w:rPr>
            </w:pPr>
            <w:r>
              <w:rPr>
                <w:rFonts w:ascii="Arial" w:cs="Arial" w:eastAsia="Arial" w:hAnsi="Arial"/>
                <w:sz w:val="14"/>
                <w:szCs w:val="14"/>
                <w:b w:val="1"/>
                <w:bCs w:val="1"/>
                <w:i w:val="1"/>
                <w:iCs w:val="1"/>
                <w:color w:val="auto"/>
                <w:w w:val="87"/>
              </w:rPr>
              <w:t>Identification Number)</w:t>
            </w:r>
          </w:p>
        </w:tc>
      </w:tr>
      <w:tr>
        <w:trPr>
          <w:trHeight w:val="364"/>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8"/>
                <w:szCs w:val="18"/>
                <w:b w:val="1"/>
                <w:bCs w:val="1"/>
                <w:color w:val="auto"/>
                <w:w w:val="88"/>
              </w:rPr>
              <w:t>One Riverside Circle, Suite 400</w:t>
            </w:r>
          </w:p>
        </w:tc>
      </w:tr>
      <w:tr>
        <w:trPr>
          <w:trHeight w:val="220"/>
        </w:trPr>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8"/>
                <w:szCs w:val="18"/>
                <w:b w:val="1"/>
                <w:bCs w:val="1"/>
                <w:color w:val="auto"/>
                <w:w w:val="87"/>
              </w:rPr>
              <w:t>Roanoke, VA 24016</w:t>
            </w:r>
          </w:p>
        </w:tc>
      </w:tr>
      <w:tr>
        <w:trPr>
          <w:trHeight w:val="172"/>
        </w:trPr>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20" w:type="dxa"/>
            <w:vAlign w:val="bottom"/>
            <w:gridSpan w:val="2"/>
          </w:tcPr>
          <w:p>
            <w:pPr>
              <w:jc w:val="center"/>
              <w:ind w:right="2352"/>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r>
      <w:tr>
        <w:trPr>
          <w:trHeight w:val="354"/>
        </w:trPr>
        <w:tc>
          <w:tcPr>
            <w:tcW w:w="1960" w:type="dxa"/>
            <w:vAlign w:val="bottom"/>
          </w:tcPr>
          <w:p>
            <w:pPr>
              <w:spacing w:after="0"/>
              <w:rPr>
                <w:sz w:val="24"/>
                <w:szCs w:val="24"/>
                <w:color w:val="auto"/>
              </w:rPr>
            </w:pPr>
          </w:p>
        </w:tc>
        <w:tc>
          <w:tcPr>
            <w:tcW w:w="2940" w:type="dxa"/>
            <w:vAlign w:val="bottom"/>
            <w:gridSpan w:val="2"/>
          </w:tcPr>
          <w:p>
            <w:pPr>
              <w:jc w:val="center"/>
              <w:ind w:left="482"/>
              <w:spacing w:after="0"/>
              <w:rPr>
                <w:sz w:val="20"/>
                <w:szCs w:val="20"/>
                <w:color w:val="auto"/>
              </w:rPr>
            </w:pPr>
            <w:r>
              <w:rPr>
                <w:rFonts w:ascii="Arial" w:cs="Arial" w:eastAsia="Arial" w:hAnsi="Arial"/>
                <w:sz w:val="18"/>
                <w:szCs w:val="18"/>
                <w:b w:val="1"/>
                <w:bCs w:val="1"/>
                <w:color w:val="auto"/>
                <w:w w:val="89"/>
              </w:rPr>
              <w:t>(540) 769-8400</w:t>
            </w:r>
          </w:p>
        </w:tc>
        <w:tc>
          <w:tcPr>
            <w:tcW w:w="2440" w:type="dxa"/>
            <w:vAlign w:val="bottom"/>
          </w:tcPr>
          <w:p>
            <w:pPr>
              <w:spacing w:after="0"/>
              <w:rPr>
                <w:sz w:val="24"/>
                <w:szCs w:val="24"/>
                <w:color w:val="auto"/>
              </w:rPr>
            </w:pPr>
          </w:p>
        </w:tc>
      </w:tr>
      <w:tr>
        <w:trPr>
          <w:trHeight w:val="172"/>
        </w:trPr>
        <w:tc>
          <w:tcPr>
            <w:tcW w:w="1960" w:type="dxa"/>
            <w:vAlign w:val="bottom"/>
          </w:tcPr>
          <w:p>
            <w:pPr>
              <w:spacing w:after="0"/>
              <w:rPr>
                <w:sz w:val="14"/>
                <w:szCs w:val="14"/>
                <w:color w:val="auto"/>
              </w:rPr>
            </w:pPr>
          </w:p>
        </w:tc>
        <w:tc>
          <w:tcPr>
            <w:tcW w:w="5380" w:type="dxa"/>
            <w:vAlign w:val="bottom"/>
            <w:gridSpan w:val="3"/>
          </w:tcPr>
          <w:p>
            <w:pPr>
              <w:jc w:val="center"/>
              <w:ind w:right="1792"/>
              <w:spacing w:after="0"/>
              <w:rPr>
                <w:sz w:val="20"/>
                <w:szCs w:val="20"/>
                <w:color w:val="auto"/>
              </w:rPr>
            </w:pPr>
            <w:r>
              <w:rPr>
                <w:rFonts w:ascii="Arial" w:cs="Arial" w:eastAsia="Arial" w:hAnsi="Arial"/>
                <w:sz w:val="14"/>
                <w:szCs w:val="14"/>
                <w:b w:val="1"/>
                <w:bCs w:val="1"/>
                <w:i w:val="1"/>
                <w:iCs w:val="1"/>
                <w:color w:val="auto"/>
                <w:w w:val="84"/>
              </w:rPr>
              <w:t>(Registrant’s Telephone Number, Including Area Code)</w:t>
            </w:r>
          </w:p>
        </w:tc>
      </w:tr>
    </w:tbl>
    <w:p>
      <w:pPr>
        <w:spacing w:after="0" w:line="3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108" w:lineRule="exact"/>
        <w:rPr>
          <w:sz w:val="24"/>
          <w:szCs w:val="24"/>
          <w:color w:val="auto"/>
        </w:rPr>
      </w:pPr>
    </w:p>
    <w:p>
      <w:pPr>
        <w:sectPr>
          <w:pgSz w:w="11900" w:h="16838" w:orient="portrait"/>
          <w:cols w:equalWidth="0" w:num="2">
            <w:col w:w="8140" w:space="720"/>
            <w:col w:w="25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4">
            <w:col w:w="8440" w:space="180"/>
            <w:col w:w="500" w:space="180"/>
            <w:col w:w="140" w:space="100"/>
            <w:col w:w="1880"/>
          </w:cols>
          <w:pgMar w:left="240" w:top="230" w:right="239" w:bottom="1440" w:gutter="0" w:footer="0" w:header="0"/>
          <w:type w:val="continuous"/>
        </w:sectPr>
      </w:pPr>
    </w:p>
    <w:p>
      <w:pPr>
        <w:ind w:right="100" w:firstLine="456"/>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July 25, 2008, there were 11,000,268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66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48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rPr>
              <w:t>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13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48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13</w:t>
            </w: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PART II. OTHER INFORMATION</w:t>
              </w:r>
            </w:hyperlink>
          </w:p>
        </w:tc>
        <w:tc>
          <w:tcPr>
            <w:tcW w:w="796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LEGAL PROCEEDINGS</w:t>
              </w:r>
            </w:hyperlink>
          </w:p>
        </w:tc>
        <w:tc>
          <w:tcPr>
            <w:tcW w:w="7640" w:type="dxa"/>
            <w:vAlign w:val="bottom"/>
            <w:gridSpan w:val="8"/>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14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8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14</w:t>
            </w: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3560" w:type="dxa"/>
            <w:vAlign w:val="bottom"/>
            <w:gridSpan w:val="3"/>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48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4320" w:type="dxa"/>
            <w:vAlign w:val="bottom"/>
            <w:gridSpan w:val="4"/>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25</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640" w:type="dxa"/>
            <w:vAlign w:val="bottom"/>
            <w:gridSpan w:val="8"/>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25</w:t>
            </w: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8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48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25</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EXHIBIT INDEX</w:t>
              </w:r>
            </w:hyperlink>
          </w:p>
        </w:tc>
        <w:tc>
          <w:tcPr>
            <w:tcW w:w="9180" w:type="dxa"/>
            <w:vAlign w:val="bottom"/>
            <w:gridSpan w:val="13"/>
          </w:tcPr>
          <w:p>
            <w:pPr>
              <w:spacing w:after="0"/>
              <w:rPr>
                <w:sz w:val="17"/>
                <w:szCs w:val="17"/>
                <w:color w:val="auto"/>
              </w:rPr>
            </w:pPr>
          </w:p>
        </w:tc>
        <w:tc>
          <w:tcPr>
            <w:tcW w:w="940" w:type="dxa"/>
            <w:vAlign w:val="bottom"/>
          </w:tcPr>
          <w:p>
            <w:pPr>
              <w:ind w:left="760"/>
              <w:spacing w:after="0" w:line="196" w:lineRule="exact"/>
              <w:rPr>
                <w:sz w:val="20"/>
                <w:szCs w:val="20"/>
                <w:color w:val="auto"/>
              </w:rPr>
            </w:pPr>
            <w:r>
              <w:rPr>
                <w:rFonts w:ascii="Arial" w:cs="Arial" w:eastAsia="Arial" w:hAnsi="Arial"/>
                <w:sz w:val="18"/>
                <w:szCs w:val="18"/>
                <w:color w:val="auto"/>
                <w:w w:val="79"/>
              </w:rPr>
              <w:t>25</w:t>
            </w:r>
          </w:p>
        </w:tc>
      </w:tr>
      <w:tr>
        <w:trPr>
          <w:trHeight w:val="383"/>
        </w:trPr>
        <w:tc>
          <w:tcPr>
            <w:tcW w:w="1000" w:type="dxa"/>
            <w:vAlign w:val="bottom"/>
          </w:tcPr>
          <w:p>
            <w:pPr>
              <w:spacing w:after="0"/>
              <w:rPr>
                <w:sz w:val="24"/>
                <w:szCs w:val="24"/>
                <w:color w:val="auto"/>
              </w:rPr>
            </w:pPr>
          </w:p>
        </w:tc>
        <w:tc>
          <w:tcPr>
            <w:tcW w:w="5160" w:type="dxa"/>
            <w:vAlign w:val="bottom"/>
            <w:gridSpan w:val="11"/>
          </w:tcPr>
          <w:p>
            <w:pPr>
              <w:ind w:left="46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0" w:type="dxa"/>
            <w:vAlign w:val="bottom"/>
          </w:tcPr>
          <w:p>
            <w:pPr>
              <w:jc w:val="center"/>
              <w:ind w:left="141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jc w:val="center"/>
              <w:ind w:left="1412"/>
              <w:spacing w:after="0"/>
              <w:rPr>
                <w:sz w:val="20"/>
                <w:szCs w:val="20"/>
                <w:color w:val="auto"/>
              </w:rPr>
            </w:pPr>
            <w:r>
              <w:rPr>
                <w:rFonts w:ascii="Arial" w:cs="Arial" w:eastAsia="Arial" w:hAnsi="Arial"/>
                <w:sz w:val="18"/>
                <w:szCs w:val="18"/>
                <w:b w:val="1"/>
                <w:bCs w:val="1"/>
                <w:color w:val="auto"/>
                <w:w w:val="90"/>
              </w:rPr>
              <w:t>Luna Innovations Incorporated</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0" w:type="dxa"/>
            <w:vAlign w:val="bottom"/>
          </w:tcPr>
          <w:p>
            <w:pPr>
              <w:jc w:val="center"/>
              <w:ind w:left="1412"/>
              <w:spacing w:after="0"/>
              <w:rPr>
                <w:sz w:val="20"/>
                <w:szCs w:val="20"/>
                <w:color w:val="auto"/>
              </w:rPr>
            </w:pPr>
            <w:r>
              <w:rPr>
                <w:rFonts w:ascii="Arial" w:cs="Arial" w:eastAsia="Arial" w:hAnsi="Arial"/>
                <w:sz w:val="18"/>
                <w:szCs w:val="18"/>
                <w:b w:val="1"/>
                <w:bCs w:val="1"/>
                <w:color w:val="auto"/>
                <w:w w:val="84"/>
              </w:rPr>
              <w:t>Consolidated Balance Sheets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15,252,639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12,046,945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8,496,352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9,716,610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Refundable income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2,280,710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1,675,239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26,918,453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24,167,961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5,771,855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1,883,646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8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135,690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 assets</w:t>
            </w:r>
          </w:p>
        </w:tc>
        <w:tc>
          <w:tcPr>
            <w:tcW w:w="8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35,309,644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32,548,878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 payable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3,083,539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3,024,973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5,041,519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1,374,705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1,672,400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10,226,088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10,053,056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Long-term capital lease obligation</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9,285,714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354,418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19,866,220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15,412,145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stock, par value $0.001, 100,000,000 shares authorized, 10,999,177 and 10,704,456 shares issued and</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36,452,904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34,496,063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(21,020,479)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(17,370,034)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15,443,424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17,136,733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35,309,644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32,548,878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616"/>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2"/>
                <w:szCs w:val="12"/>
                <w:color w:val="auto"/>
              </w:rPr>
            </w:pPr>
          </w:p>
        </w:tc>
        <w:tc>
          <w:tcPr>
            <w:tcW w:w="2040" w:type="dxa"/>
            <w:vAlign w:val="bottom"/>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6,947,276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5,852,109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13,549,023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11,138,706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2,931,027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2,003,171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5,249,203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3,786,747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9,878,303</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7,855,280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18,798,226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14,925,453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4,382,001</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4,048,424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8,575,648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7,898,039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1,427,553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911,768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2,769,232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1,712,189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5,809,554</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4,960,192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11,344,880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9,610,228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4,068,749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2,895,088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7,453,346,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5,315,225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expense</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5,833,670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5,185,965</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11,094,102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10,400,984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(1,764,921)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(2,290,877)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(3,640,756)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(5,085,759)</w:t>
            </w: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(33,576)</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113,107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113,107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(1,798,497)</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(2,177,770)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(3,650,445)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(4,859,865)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(1,798,497)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(2,177,770)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(3,650,445)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(4,859,865)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40" w:right="60" w:hanging="2206"/>
        <w:spacing w:after="0" w:line="458" w:lineRule="auto"/>
        <w:tabs>
          <w:tab w:leader="none" w:pos="2620" w:val="left"/>
        </w:tabs>
        <w:rPr>
          <w:sz w:val="20"/>
          <w:szCs w:val="20"/>
          <w:color w:val="auto"/>
        </w:rPr>
      </w:pPr>
      <w:r>
        <w:rPr>
          <w:rFonts w:ascii="Arial" w:cs="Arial" w:eastAsia="Arial" w:hAnsi="Arial"/>
          <w:sz w:val="18"/>
          <w:szCs w:val="18"/>
          <w:color w:val="auto"/>
        </w:rPr>
        <w:t>Basic and Diluted</w:t>
      </w:r>
      <w:r>
        <w:rPr>
          <w:sz w:val="20"/>
          <w:szCs w:val="20"/>
          <w:color w:val="auto"/>
        </w:rPr>
        <w:tab/>
      </w:r>
      <w:r>
        <w:rPr>
          <w:rFonts w:ascii="Arial" w:cs="Arial" w:eastAsia="Arial" w:hAnsi="Arial"/>
          <w:sz w:val="18"/>
          <w:szCs w:val="18"/>
          <w:u w:val="single" w:color="auto"/>
          <w:color w:val="auto"/>
        </w:rPr>
        <w:t xml:space="preserve">10,935,370 10,136,446 10,858,367 10,053,371 </w:t>
      </w: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-345440</wp:posOffset>
            </wp:positionV>
            <wp:extent cx="2804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(3,650,445)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(4,859,865)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1,422,902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1,096,555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Deferred credits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(297,695)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1,443,585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(2,551,848)</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Intangible property costs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(291,452)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(1,368,537)</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(used in) financing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Proceeds from (payment of) debt obligations,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4,928,150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options and warrants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1280"/>
              <w:spacing w:after="0"/>
              <w:rPr>
                <w:sz w:val="20"/>
                <w:szCs w:val="20"/>
                <w:color w:val="auto"/>
              </w:rPr>
            </w:pPr>
            <w:r>
              <w:rPr>
                <w:rFonts w:ascii="Arial" w:cs="Arial" w:eastAsia="Arial" w:hAnsi="Arial"/>
                <w:sz w:val="18"/>
                <w:szCs w:val="18"/>
                <w:color w:val="auto"/>
              </w:rPr>
              <w:t>Net cash from (used in) financing activities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5,016,995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3,205,694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(3,933,638)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12,046,945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17,866,753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15,252,639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13,933,115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33,781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during the period for: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schedule of non-cash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Warrants issued in connection with debt modification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58,194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right="6700" w:firstLine="8"/>
        <w:spacing w:after="0" w:line="347" w:lineRule="auto"/>
        <w:tabs>
          <w:tab w:leader="none" w:pos="44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Luna Innovations Incorporated (“Luna Innovations”) was incorporated in the Commonwealth of Virginia in 1990 and subsequently reincorporated in the State of Delaware in April 2003. We research, develop and commercialize innovative technologies in two primary areas of focus: instrumentation and test &amp; measurement products and healthcare products. We have a disciplined and integrated business model that is designed to accelerate the process of bringing new and innovative products to market. We identify technologies that can fulfill unmet market needs and then take these technologies from the applied research stage through commercialization.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(US GAAP) and with the instructions to Form 10-Q and Article 10 of Regulation S-X of the Securities Exchange Act of 1934. Accordingly, they do not include all of the information and footnotes required by US GAAP for audited financial statements. The unaudited consolidated financial statements have been prepared on the same basis as the annual financial statements and in the opinion of management reflect all adjustments, consisting of only normal recurring accruals, considered necessary to present fairly our financial position at June 30, 2008 and results of operations and cash flows for the three and six months ended June 30, 2008 and 2007. The results of operations for the three and six months ended June 30, 2008 are not necessarily indicative of the results that may be expected for the year ending December 31, 2008.</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consolidated financial statements, including the Company’s significant accounting policies, should be read in conjunction with the audited Consolidated Financial Statements and the notes thereto included in the Company’s Form 10-K as filed with the Securities and Exchange Commission on March 19, 2008. As used herein, the terms “Luna”, “Company”, “we”, “our” and “us” mean Luna Innovations Incorporated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Policy</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consolidated financial statements are prepared in accordance with US GAAP and include the accounts of the Company, its wholly owned subsidiaries and other entities in which the Company has a controlling financial interest. We eliminate from our financial results all significant intercompany transactions. We do not have any investments in entities we believe are variable interest entities for which the Company is the primary beneficiary.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 Although these estimates and assumptions are based on our knowledge of current events and actions we may undertake in the future, actual results may differ.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We compute net loss per share in accordance with Statement of Financial Accounting Standards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per share data is computed by dividing loss available to common shareholders by the weighted average number of shares outstanding during the period. Diluted per share data is computed by dividing loss available to common shareholders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effect of 3,355,336 and 3,239,961 common stock equivalents are ignored for the three months ended June 30, 2008 and 2007, respectively, as they are antidilutive to earnings per share. The effect of 3,312,639 and 3,203,316 common stock equivalents for the six months ended June 30, 2008 and 2007, respectively, are similarly ignored. In addition, the conversion of $5.0 million in convertible promissory notes would have been antidilutive for such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 xml:space="preserve">We have a stock-based compensation plan, which is described further in Note 9 to the Financial Statements in our Form 10-K as filed with the Securities and Exchange Commission on March 19, 2008. We apply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in determining the compensation expense recognized under our stock-based compensation plan. Compensation expense is computed using the Black-Scholes option pricing model. We amortize share-based compensation for such awards on a straight-line basis over the related service period of the awards taking into account the effects of the employees’ expected exercise and post-vesting employment termination behavior. We account for equity instruments issued to non-employees in accordance with the provisions of SFAS No. 123R and Emerging Issues Task Force (EITF) Issue No. 96-18.</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5"/>
              </w:rPr>
              <w:t>Six Months Ended</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20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June 30, 2008</w:t>
            </w:r>
          </w:p>
        </w:tc>
        <w:tc>
          <w:tcPr>
            <w:tcW w:w="940" w:type="dxa"/>
            <w:vAlign w:val="bottom"/>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June 30, 2007</w:t>
            </w:r>
          </w:p>
        </w:tc>
        <w:tc>
          <w:tcPr>
            <w:tcW w:w="140" w:type="dxa"/>
            <w:vAlign w:val="bottom"/>
          </w:tcPr>
          <w:p>
            <w:pPr>
              <w:spacing w:after="0"/>
              <w:rPr>
                <w:sz w:val="14"/>
                <w:szCs w:val="1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3.78 to 3.87 %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Expected life of option (years)</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8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risk-free interest rate is based on US Treasury interest rates, the terms of which are consistent with the expected life of the stock options. Expected volatility for the six months ended June 30, 2008 and 2007, respectively, is based upon the average volatility of comparable public companies due to the lack of historical market price data for our stock on such date. The expected life and estimated post employment termination behavior is based upon historical experience of homogeneous groups within our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our 2003 Stock Plan and 2006 Equity Incentive Plan is presented below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7"/>
          </w:tcPr>
          <w:p>
            <w:pPr>
              <w:ind w:left="14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45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2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Weighted</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45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Price per Share</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Value (1)</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 (1)</w:t>
            </w:r>
          </w:p>
        </w:tc>
      </w:tr>
      <w:tr>
        <w:trPr>
          <w:trHeight w:val="142"/>
        </w:trPr>
        <w:tc>
          <w:tcPr>
            <w:tcW w:w="4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Range</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4,747,815</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$ 0.35 -$8.20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$31,477,522</w:t>
            </w:r>
          </w:p>
        </w:tc>
        <w:tc>
          <w:tcPr>
            <w:tcW w:w="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2,543,218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$19,366,620</w:t>
            </w: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502,750</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$ 6.55- $6.74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(132,133)</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$ 0.35 -$1.77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(83,241)</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$ 0.35 -$6.00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5,035,191</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$ 0.35 -$8.20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$27,941,472</w:t>
            </w:r>
          </w:p>
        </w:tc>
        <w:tc>
          <w:tcPr>
            <w:tcW w:w="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2,557,187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$17,818,506</w:t>
            </w: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175,400</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$ 8.04 -$8.04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(96,666)</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$ 0.35 -$6.00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(20,456)</w:t>
            </w:r>
          </w:p>
        </w:tc>
        <w:tc>
          <w:tcPr>
            <w:tcW w:w="106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$ 0.35 -$6.00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5,093,469</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$ 0.35 -$8.20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12,284,795</w:t>
            </w:r>
          </w:p>
        </w:tc>
        <w:tc>
          <w:tcPr>
            <w:tcW w:w="9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2,673,023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9,474,494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in-the-money options only. The aggregate intrinsic value is based on the price of $4.62, which was the closing price of the Company’s Common Stock on the NASDAQ Global Market on June 30, 2008.</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June 30, 2008, our 5,093,469 outstanding stock options had a weighted average remaining contractual term of 7.7 years, and of these 2,673,023 are exercisable and have a weighted average remaining contractual term of 6.8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grants exercised during the three months ending June 30, 2008 and 2007 was $0.5 million and $0.7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total aggregate intrinsic value represents the total amount by which the fair market value of stock exceeded the exercise price for options exercised.</w:t>
      </w:r>
    </w:p>
    <w:p>
      <w:pPr>
        <w:spacing w:after="0" w:line="18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months ended June 30, 2008 and 2007, we recognized $663,260 and $558,343 in share-based payment expense and for the six months ended June 30, 2008 and 2007, we recognized $1,422,902 and $1,096,555 in share-based payment expense. We expect to recognize approximately $7.3 million over the remaining requisite service period of approximately five years for options outstanding as of June 30,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deferred tax asset of $600,000 was recorded at June 30, 2008 and December 31, 2007, based upon management’s assessment that more likely than not the benefit will be realized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Inventory consists of finished goods and parts valued at the lower of cost (determined on the first-in, first-out basis) or market. We provide reserves for estimated obsolescence or unmarketable inventory equal to the difference between the cost of the inventory and the estimated market value based upon assumptions about future demand and market conditions. Inventory reserves at June 30, 2008 and December 31, 2007 were $44,206 and $41,108,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Notes, Warrants, Amortization of Debt Discount, and Fair Value Determination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May 2008 we amended the terms of our notes with principal amounts totaling $5.0 million with Carilion Clinic to extend their due date to December 31, 2012 and to subordinate them to our new credit facility with Silicon Valley Bank. We issued warrants to purchase 10,000 shares of Luna Common Stock at a price of $7.98 per share in connection with the amended terms. The warrants expire on December 31, 2017. We valued the warrants using the Black-Scholes option pricing model, recorded a deferred prepaid financing charge, and recorded the warrant issuance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June 2008, the Financial Accounting Standards Board (FASB) ratified Emerging Issues Task Force (EITF) 07-5, </w:t>
      </w:r>
      <w:r>
        <w:rPr>
          <w:rFonts w:ascii="Arial" w:cs="Arial" w:eastAsia="Arial" w:hAnsi="Arial"/>
          <w:sz w:val="16"/>
          <w:szCs w:val="16"/>
          <w:i w:val="1"/>
          <w:iCs w:val="1"/>
          <w:color w:val="auto"/>
        </w:rPr>
        <w:t>Determining Whether an Instrument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Embedded Feature) is Indexed to an Entity’s Own Stock </w:t>
      </w:r>
      <w:r>
        <w:rPr>
          <w:rFonts w:ascii="Arial" w:cs="Arial" w:eastAsia="Arial" w:hAnsi="Arial"/>
          <w:sz w:val="16"/>
          <w:szCs w:val="16"/>
          <w:color w:val="auto"/>
        </w:rPr>
        <w:t>(EITF 07-5). EITF 07-5 addresses the determination of whether a financial instrument (or an embedded</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is indexed to an entity’s own stock. EITF 07-5 is effective for fiscal years beginning after December 15, 2008, and interim periods within those fiscal years. The adoption of EITF 07-5 is not expected to have a material impact on our consolidated financial statements.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In May 2008, the FASB issued SFAS No.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identifies a hierarchy for selecting accounting principles to be used in preparing financial statements that are presented in conformity with U.S. GAAP for nongovernmental entities. SFAS 162 is effective 60 days following the SEC’s approval of the Public Company Accounting Oversight Board amendments to AU Section 411, </w:t>
      </w:r>
      <w:r>
        <w:rPr>
          <w:rFonts w:ascii="Arial" w:cs="Arial" w:eastAsia="Arial" w:hAnsi="Arial"/>
          <w:sz w:val="18"/>
          <w:szCs w:val="18"/>
          <w:i w:val="1"/>
          <w:iCs w:val="1"/>
          <w:color w:val="auto"/>
        </w:rPr>
        <w:t>The Meaning of Present</w:t>
      </w:r>
      <w:r>
        <w:rPr>
          <w:rFonts w:ascii="Arial" w:cs="Arial" w:eastAsia="Arial" w:hAnsi="Arial"/>
          <w:sz w:val="18"/>
          <w:szCs w:val="18"/>
          <w:color w:val="auto"/>
        </w:rPr>
        <w:t xml:space="preserve"> </w:t>
      </w:r>
      <w:r>
        <w:rPr>
          <w:rFonts w:ascii="Arial" w:cs="Arial" w:eastAsia="Arial" w:hAnsi="Arial"/>
          <w:sz w:val="18"/>
          <w:szCs w:val="18"/>
          <w:i w:val="1"/>
          <w:iCs w:val="1"/>
          <w:color w:val="auto"/>
        </w:rPr>
        <w:t>Fairly in Conformity with Generally Accepted Accounting Principles</w:t>
      </w:r>
      <w:r>
        <w:rPr>
          <w:rFonts w:ascii="Arial" w:cs="Arial" w:eastAsia="Arial" w:hAnsi="Arial"/>
          <w:sz w:val="18"/>
          <w:szCs w:val="18"/>
          <w:color w:val="auto"/>
        </w:rPr>
        <w:t>.</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requires entities to recognize assets acquired, liabilities assumed, and any noncontrolling interest in an acquiree, measured at the fair market value at the acquisition date. SFAS No. 141(R) is applied prospectively to business combinations for which the acquisition date is on or after the beginning of the first fiscal year beginning after December 15, 2008. Since we have no current acquisition plans, we do not believe that the adoption of SFAS No. 141(R) will have a material impact on our financial statements.</w:t>
      </w:r>
    </w:p>
    <w:p>
      <w:pPr>
        <w:sectPr>
          <w:pgSz w:w="11900" w:h="16838" w:orient="portrait"/>
          <w:cols w:equalWidth="0" w:num="1">
            <w:col w:w="11420"/>
          </w:cols>
          <w:pgMar w:left="240" w:top="459" w:right="239" w:bottom="99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99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SFAS No. 160 establishes accounting and reporting standards for the noncontrolling interest in a subsidiary and the deconsolidation of a subsidiary. It requires consolidated net income to be reported at amounts that include the amounts attributable to both the parent and a noncontrolling interest. SFAS No. 160 is effective for fiscal years ending on or after December 15, 2008. We do not believe that the adoption of SFAS No. 160 will have a material impact on our financial statements.</w:t>
      </w:r>
    </w:p>
    <w:p>
      <w:pPr>
        <w:spacing w:after="0" w:line="113"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 xml:space="preserve">In June 2007, the FASB ratified EITF 07-3, </w:t>
      </w:r>
      <w:r>
        <w:rPr>
          <w:rFonts w:ascii="Arial" w:cs="Arial" w:eastAsia="Arial" w:hAnsi="Arial"/>
          <w:sz w:val="15"/>
          <w:szCs w:val="15"/>
          <w:i w:val="1"/>
          <w:iCs w:val="1"/>
          <w:color w:val="auto"/>
        </w:rPr>
        <w:t>Accounting for Nonrefundable Advance Payments for Goods or Services Received for Use in Future Research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Development Activities </w:t>
      </w:r>
      <w:r>
        <w:rPr>
          <w:rFonts w:ascii="Arial" w:cs="Arial" w:eastAsia="Arial" w:hAnsi="Arial"/>
          <w:sz w:val="15"/>
          <w:szCs w:val="15"/>
          <w:color w:val="auto"/>
        </w:rPr>
        <w:t>(EITF 07-3). EITF 07-3 requires that nonrefundable advance payments for goods or services that will be used or rendered for future</w:t>
      </w:r>
      <w:r>
        <w:rPr>
          <w:rFonts w:ascii="Arial" w:cs="Arial" w:eastAsia="Arial" w:hAnsi="Arial"/>
          <w:sz w:val="15"/>
          <w:szCs w:val="15"/>
          <w:i w:val="1"/>
          <w:iCs w:val="1"/>
          <w:color w:val="auto"/>
        </w:rPr>
        <w:t xml:space="preserve"> </w:t>
      </w:r>
      <w:r>
        <w:rPr>
          <w:rFonts w:ascii="Arial" w:cs="Arial" w:eastAsia="Arial" w:hAnsi="Arial"/>
          <w:sz w:val="15"/>
          <w:szCs w:val="15"/>
          <w:color w:val="auto"/>
        </w:rPr>
        <w:t>research and development activities be deferred and capitalized and recognized as an expense as the goods are delivered or the related services are performed.</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EITF 07-3 is effective, on a prospective basis, for fiscal years beginning after December 15, 2007. The adoption of EITF 07-3 did not have a material impact on our consolidated financial statements.</w:t>
      </w:r>
    </w:p>
    <w:p>
      <w:pPr>
        <w:spacing w:after="0" w:line="13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SFAS No. 159 permits entities to choose to measure many financial instruments and certain other items at fair value.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items for which the fair value option has been elected will be recognized in earnings at each subsequent reporting date. The adoption of SFAS No. 159 did not have a material impact on our financial statements.</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clarifies the principle that fair value should be based on the assumptions market participants would use when pricing an asset or liability and establishes a fair value hierarchy that prioritizes the information used to develop those assumptions. SFAS No. 157 is effective for the fiscal year beginning January 1, 2007. Our adoption of SFAS No. 157 did not have a material impact on our consolidated financial statements.</w:t>
      </w:r>
    </w:p>
    <w:p>
      <w:pPr>
        <w:spacing w:after="0" w:line="2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&amp; Debt Facility</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May 21, 2008, the Company canceled its previous line of credit agreement with First National Bank, and entered into a $10 million maximum debt facility with Silicon Valley Bank. Included in this facility is a four year term debt of $5 million and a revolving line of credit facility available for the remaining $5 million. The facility has a total debt capacity of $10 million. At June 30, 2008, there was an outstanding balance of $5 million under the term loan, and no outstanding balance under the revolving facility. As part of the facility, Silicon Valley Bank issued a $479,667 letter of credit on our behalf to the Industrial Development Authority of Montgomery County, Virginia, as required under an office lease. The Silicon Valley Bank letter of credit was issued as a replacement for the previous letter of credit issued on our behalf by First National Bank in the amount of $599,583.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Capital Structure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For the six months ended June 30, 2008, our capital structure changed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700" w:type="dxa"/>
            <w:vAlign w:val="bottom"/>
            <w:gridSpan w:val="3"/>
            <w:vMerge w:val="restart"/>
          </w:tcPr>
          <w:p>
            <w:pPr>
              <w:jc w:val="right"/>
              <w:ind w:right="33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85"/>
        </w:trPr>
        <w:tc>
          <w:tcPr>
            <w:tcW w:w="300" w:type="dxa"/>
            <w:vAlign w:val="bottom"/>
          </w:tcPr>
          <w:p>
            <w:pPr>
              <w:spacing w:after="0"/>
              <w:rPr>
                <w:sz w:val="6"/>
                <w:szCs w:val="6"/>
                <w:color w:val="auto"/>
              </w:rPr>
            </w:pPr>
          </w:p>
        </w:tc>
        <w:tc>
          <w:tcPr>
            <w:tcW w:w="8240" w:type="dxa"/>
            <w:vAlign w:val="bottom"/>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8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10,704,456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$ 10,704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34,496,063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135,133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in lieu of cash bonus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Adjustment of estimated IPO-related expenses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2"/>
          </w:tcPr>
          <w:p>
            <w:pPr>
              <w:spacing w:after="0"/>
              <w:rPr>
                <w:sz w:val="20"/>
                <w:szCs w:val="20"/>
                <w:color w:val="auto"/>
              </w:rPr>
            </w:pPr>
            <w:r>
              <w:rPr>
                <w:rFonts w:ascii="Arial" w:cs="Arial" w:eastAsia="Arial" w:hAnsi="Arial"/>
                <w:sz w:val="18"/>
                <w:szCs w:val="18"/>
                <w:color w:val="auto"/>
              </w:rPr>
              <w:t>Balances, March 31, 2008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10,902,511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$ 10,903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35,701,818</w:t>
            </w:r>
          </w:p>
        </w:tc>
        <w:tc>
          <w:tcPr>
            <w:tcW w:w="0" w:type="dxa"/>
            <w:vAlign w:val="bottom"/>
          </w:tcPr>
          <w:p>
            <w:pPr>
              <w:spacing w:after="0"/>
              <w:rPr>
                <w:sz w:val="1"/>
                <w:szCs w:val="1"/>
                <w:color w:val="auto"/>
              </w:rPr>
            </w:pPr>
          </w:p>
        </w:tc>
      </w:tr>
      <w:tr>
        <w:trPr>
          <w:trHeight w:val="218"/>
        </w:trPr>
        <w:tc>
          <w:tcPr>
            <w:tcW w:w="300" w:type="dxa"/>
            <w:vAlign w:val="bottom"/>
            <w:shd w:val="clear" w:color="auto" w:fill="CCEEFF"/>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Warrants issued in exchange for debt modification, representing deferred loan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Balances, June 30, 2008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10,999,177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36,452,904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operations are divided into two operating segments—Technology Development and Product and Licensing.</w:t>
      </w:r>
    </w:p>
    <w:p>
      <w:pPr>
        <w:spacing w:after="0" w:line="171"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Product and Licensing segment develops and sells products or licenses technologies based on commercially viable concepts developed, in whole or in part, by the Technology Development segment. The Product and Licensing segment derives its revenue from product sales, product development fees and technology licenses.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Chief Executive Officer and his direct reports collectively represent our chief operating decision makers, and they evaluate segment performance based primarily on revenue and operating income or loss. The accounting policies of our segments are the same as those described in the summary of significant accounting policies. See Note 1 to our Financial Statements, “Organization and Summary of Significant Accounting Policies,” presented in Form 10-K as filed with the Securities and Exchange Commission on March 19, 2008.</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revenues and operating loss for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8"/>
              </w:rPr>
              <w:t>Three Months Ended June 30,</w:t>
            </w:r>
          </w:p>
        </w:tc>
        <w:tc>
          <w:tcPr>
            <w:tcW w:w="100" w:type="dxa"/>
            <w:vAlign w:val="bottom"/>
          </w:tcPr>
          <w:p>
            <w:pPr>
              <w:spacing w:after="0"/>
              <w:rPr>
                <w:sz w:val="14"/>
                <w:szCs w:val="14"/>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Technology Development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6,947,276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5,852,109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13,549,023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$ 11,138,706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Product and License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2,931,027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2,003,171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5,249,203</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3,786,747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9,878,303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7,855,280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18,798,226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14,925,453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Technology Development Operating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(301,455)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(830,162)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(591,104)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8"/>
              </w:rPr>
              <w:t>$ (1,940,975)</w:t>
            </w: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Operating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(1,463,466)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(1,460,715)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(3,049,652)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(3,144,784)</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Total Operating Loss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(1,764,921)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(2,290,877)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(3,640,756)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8"/>
              </w:rPr>
              <w:t>$ (5,085,759)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Additional segment information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28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2007</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$ 30,434,233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27,806,034</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4,875,411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4,742,844</w:t>
            </w:r>
          </w:p>
        </w:tc>
      </w:tr>
      <w:tr>
        <w:trPr>
          <w:trHeight w:val="222"/>
        </w:trPr>
        <w:tc>
          <w:tcPr>
            <w:tcW w:w="8280" w:type="dxa"/>
            <w:vAlign w:val="bottom"/>
          </w:tcPr>
          <w:p>
            <w:pPr>
              <w:ind w:left="8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$ 35,309,644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32,548,878</w:t>
            </w: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material inter-segment revenues for any period presented.</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United States Government accounted for approximately 74% and 81% of total consolidated revenues for the three months ended June 30, 2008 and 2007, and 71% and 82% of revenues for the six months ending June 30, 2008 and June 30, 2007, respectively.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International revenues (customers outside of the United States) accounted for 6.3% and 0.0% of total revenues for the three months ended June 30, 2008 and 2007, and 5.1% and 0.6% of total revenues for the six months ended June 30, 2008 and 2007.</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Guarantees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September 10, 2007, we filed a complaint against our former auditing and accounting firm in connection with the firm’s auditing and opining on the accuracy of several years of our consolidated financial statements in preparation for our registration with the Securities and Exchange Commission and our Initial Public Offering, or IPO, of securities. On July 23, 2008, the parties settled the litigation at a mediation without any admission of liability, or adjudication of fact or law. The material terms of settlement include payment to Luna of $1.0 million in exchange for mutual releases of all claims and counterclaims and dismissal with prejudice of all claims and counterclaims.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are from time to time involved in certain legal proceedings in the ordinary course of conducting our business. While the ultimate liability pursuant to these actions cannot currently be determined, if we are unsuccessful in our litigation with Hansen Medical, Inc., our business may be materially harmed.</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an outstanding letter of credit at June 30, 2008, of $479,667 to the Industrial Development Authority of Montgomery County, Virginia, to support a lease of office space. This letter of credit expires in 2011.</w:t>
      </w:r>
    </w:p>
    <w:p>
      <w:pPr>
        <w:spacing w:after="0" w:line="13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June 2007, our Luna Technologies Division executed a non-cancelable, non-reschedulable $1.3 million purchase order for multiple shipments of tunable lasers to be delivered over an 18-month period beginning in September 2007. As of June 30, 2008, approximately $0.3 million of this commitment remained.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2004, we received a grant of $0.9 million from the City of Danville, Virginia under a Grant Agreement to support the expansion of economic and commercial growth within the City. Under the Grant Agreement, we agreed to locate a nanomaterials manufacturing and research facility and maintain its operations in Danville until March 25, 2009. As of September 25, 2006, we had not fully met the capital expenditures and job milestones under this agreement, and, as a result, we may be obligated to repay the City of Danville a portion of the $0.9 million in funds based on a formula of the pro rata shortfall of such expenditures and jobs falling below such required levels. Because of the failure to meet these milestones and the continuing obligation to maintain our investment and employees at this location through March 25, 2009, we currently have classified the full amount of the grant as a liability on our balance sheet in anticipation of potentially returning the funds.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indemnification agreements with our officers and directors, to the extent permitted by law, pursuant to which we have agreed to reimburse the officers and directors for legal expenses in the event of litigation and regulatory matters. The terms of these indemnification agreements provide for no limitation to the maximum potential future payments. We have a directors and officers insurance policy that may, in certain instances, mitigate the potential liability and payments.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research, develop and commercialize innovative technologies in two primary areas of focus: instrumentation and test &amp; measurement, sensing, and instrumentation products and healthcare products. 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 Although revenues from product sales currently represent less than half of our total revenues, we continue to invest in product development and commercialization, which we anticipate will lead to increased product sales growth. In the future, we expect that revenues from product sales will represent a larger proportion of our total revenues. In addition, we anticipate that these revenues will reflect a broader and more diversified mix of products as we develop and commercialize new products.</w:t>
      </w:r>
    </w:p>
    <w:p>
      <w:pPr>
        <w:sectPr>
          <w:pgSz w:w="11900" w:h="16838" w:orient="portrait"/>
          <w:cols w:equalWidth="0" w:num="1">
            <w:col w:w="11420"/>
          </w:cols>
          <w:pgMar w:left="240" w:top="459" w:right="23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31"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developed a disciplined and integrated process to accelerate the development and commercialization of innovative technologies. Our business model employs a market-driven approach and provides the infrastructure, resources and know-how throughout the process of developing and commercializing new products. To manage a diverse set of products effectively across a range of development stages, we are organized into two main groups: our Technology Development Division and our Products Division. These groups work together through all product development stages, including: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Searching for emerging technologies based on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applied research;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commercializing innovative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Applying proven technologies and products to new market opportunities.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revenues were $9.9 million and $7.9 million during the three months ended June 30, 2008 and 2007, respectively, and we had net losses of $1.8 million and $2.3 million for the same periods, respectively. We generate revenues through technology development services provided under contractual arrangements, product sales and license fees. Historically, our technology development revenues have accounted for a large and growing proportion of our total revenues, and we expect that they will continue to represent a significant portion of our total revenues for the foreseeable future. Our technology development revenues grew from $5.9 million to $6.9 million for the three month periods ended June 30, 2007 and June 30, 2008, respectively. We regularly have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$28.8 million as of June 30, 2008.</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Revenues from product sales currently represent a smaller proportion of our total revenues, and, historically, we have derived most of these revenues from the sales of our sensing systems and products that make use of light-transmitting optical fibers, or fiber optics. License revenues associated with our proprietary technologies have been significant in prior years. In the near term, we expect revenues from product sales to increase primarily in areas associated with our fiber optic instrumentation and test and measurement platforms. We also expect to increase our investments in product development and commercialization, which we anticipate will lead to increased product sales growth. In the future, we expect that revenues from product sales will represent a larger proportion of our total revenues and that as we develop and commercialize new products, these revenues will reflect a broader and more diversified mix of products.</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incurred consolidated net losses of approximately $3.7 million and $4.9 million for the six month periods ended June 30, 2008 and 2007, respectively. We expect to continue to incur significant additional expenses as we expand our business, including increased expenses for research and development, sales and marketing, manufacturing, and finance and accounting personnel. We may also grow our business in part through acquisitions of additional companies and complementary technologies which could cause us to incur transaction expenses, amortization or write-offs of intangible assets and other acquisition-related expenses. As a result, we expect that we will continue to incur losses in 2008 and that these losses could be substantial.</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operating expenses include stock-based compensation charges. We recorded stock-based compensation charges of $1.4 million for the six months ended June 30, 2008. We also expect to record an aggregate stock-based compensation charge for stock options granted through June 30, 2008 of $7.3 million, to be recognized in future periods through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generate revenues from technology development (contract research), contract product development, and product sales. We derive technology development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or upon the achievement of certain milestones built into the contracts. Our product revenues reflect amounts that we receive from sales of our products or development of products for third parties and currently represent approximately 28% of our total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Cost of revenues associated with technology development revenues consists of costs associated with performing the related research activities, including direct labor, amounts paid to subcontractors and overhead allocated to technology development activities.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warranty; and inventory obsolescence, as well as overhead allocated to these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and development,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Division; product development activities not provided under contracts with third parties; and overhead costs related to these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21, 2008, we had canceled our senior secured revolving credit facility with First National Bank, and entered into a new $10 million debt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w:t>
      </w:r>
    </w:p>
    <w:p>
      <w:pPr>
        <w:sectPr>
          <w:pgSz w:w="11900" w:h="16838" w:orient="portrait"/>
          <w:cols w:equalWidth="0" w:num="1">
            <w:col w:w="11420"/>
          </w:cols>
          <w:pgMar w:left="240" w:top="459" w:right="239" w:bottom="778"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778"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Silicon Valley Bank. At June 30, 2008, a $5 million term loan was outstanding under this new facility. Interest expense includes interest accrued on the outstanding aggregate principal of the senior convertible promissory notes issued to Carilion Clinic on December 30, 2005, and interest payable on the Silicon Valley Bank debt term loan.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income includes amounts earned on our cash deposits with financial institutions. During 2007 and the first two quarters of 2008, we invested the proceeds of the Carilion financing transactions and the net proceeds from our initial public offering in a money market account, and we draw from that account as needed to fund ongoing operations. We have currently invested the proceeds from the Silicon Valley Bank debt facility in a money market account.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(US GAAP).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 Our significant accounting policies are described in the Management Discussion and Analysis section and the notes to our audited consolidated financial statements previously included in our Annual Report on Form 10-K for the period ended December 31, 2007, as filed with the Securities and Exchange Commission on March 19,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Three Months Ended June 30,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revenues increased 26% to $9.9 million for the three months ended June 30, 2008, from $7.9 million for the three months ended June 30, 2007. Approximately 54% of the growth in revenues from the corresponding period in 2007 was due to increased revenues from our Technology Development Division, and approximately 46% of the increase was due to increased product sales and product development revenues. We generated approximately $2.9 million in product sales in the second quarter of 2008 as compared with $2.0 million in the second quarter of 2007, an increase of approximately 45%, due primarily to increases in product development revenue and increased sales of fiber optic test and measurement equipment by our Luna Technologies division.</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Growth in our technology development revenues contributed to our overall growth in revenues for the second quarter of 2008 as compared with the second quarter of 2007. Technology development revenues increased 19% to $6.9 million for the three months ended June 30, 2008 from $5.9 million for the corresponding 2007 period. This increase was primarily a result of a continued strong success in obtaining research contracts, an increase in the size of certain awards, and the addition of direct contract personnel.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revenues increased 17% to $5.8 million for the three months ended June 30, 2008 from $5.0 million for the corresponding 2007 period. The main component of this overall increase was increased costs of labor and materials related to increases in product development and fiber optic product sales. Technology development cost of sales increases accounted for approximately $0.3 million, or 39%, and product sales cost increases accounted for approximately $0.5 million, or 61%, respectively, of the overall increase in costs of revenues.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Technology development costs increased 8% to $4.4 million for the three months ended June 30, 2008 from $4.0 million in the same period in 2007. This increase was comprised primarily of additional direct labor and the associated overhead related to our growing portfolio of funded research contracts.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overall gross margin improved as compared with the second quarter of 2007. Our overall gross margin during the three months ended June 30, 2008 was 41% compared to 37% during the same period in 2007. During the three months ended June 30, 2008, technology development activity returned a gross margin of approximately 37% compared to 31% in the same period of 2007. The gross margin increase was partially attributable to increasing participation in non-SBIR-funded contracts, which typically provide for higher billing rates than SBIR-funded contracts. Product sales activity returned a gross margin of 51% for the three months ended June 30, 2008, compared to 55% for the same period in 2007. This decrease is primarily due to increased costs on certain product development contracts for the quarter ended June 30, 2008, relative to the quarter ended June 30,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expense increased 12% to $5.8 million for the three months ended June 30, 2008 from $5.2 million for the corresponding quarter in 2007. The increase in the second quarter of 2008 as compared to the same period in 2007 was due primarily to increased legal expenses associated with on-going legal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Net interest income decreased from approximately $113,000 for the three months ended June 30, 2007, to a net interest expense of $34,000 for the three months ended June 30, 2008. This decrease was attributable to a reduction in invested cash and lower interest rates, combined with an increase in interest payments due to the addition of a $5.0 million term loan from the Silicon Valley Bank debt facility.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the exception of approximately $30,000 in interest expense incurred on the $5.0 million Silicon Valley Bank term loan, nearly all of the interest expense incurred during the three months ended June 30, 2008, was incurred on our convertible promissory notes issued to Carilion Clinic on December 30, 2005. These notes have an aggregate outstanding principal of approximately $5.0 million and accrue simple interest at a rate of 6.0% per year. During the three month period ended June 30, 2008, interest expense on the Carilion notes was approximately $75,000. In addition, interest income for the three months ended June 30, 2008, totaled $78,000.</w:t>
      </w:r>
    </w:p>
    <w:p>
      <w:pPr>
        <w:spacing w:after="0" w:line="224" w:lineRule="exact"/>
        <w:rPr>
          <w:sz w:val="20"/>
          <w:szCs w:val="20"/>
          <w:color w:val="auto"/>
        </w:rPr>
      </w:pPr>
    </w:p>
    <w:p>
      <w:pPr>
        <w:ind w:right="5580"/>
        <w:spacing w:after="0" w:line="344" w:lineRule="auto"/>
        <w:rPr>
          <w:sz w:val="20"/>
          <w:szCs w:val="20"/>
          <w:color w:val="auto"/>
        </w:rPr>
      </w:pPr>
      <w:r>
        <w:rPr>
          <w:rFonts w:ascii="Arial" w:cs="Arial" w:eastAsia="Arial" w:hAnsi="Arial"/>
          <w:sz w:val="18"/>
          <w:szCs w:val="18"/>
          <w:b w:val="1"/>
          <w:bCs w:val="1"/>
          <w:i w:val="1"/>
          <w:iCs w:val="1"/>
          <w:color w:val="auto"/>
        </w:rPr>
        <w:t xml:space="preserve">Six Months Ended June 30, 2008 Compared to Six Months Ended June 30, 2007 </w:t>
      </w:r>
      <w:r>
        <w:rPr>
          <w:rFonts w:ascii="Arial" w:cs="Arial" w:eastAsia="Arial" w:hAnsi="Arial"/>
          <w:sz w:val="18"/>
          <w:szCs w:val="18"/>
          <w:i w:val="1"/>
          <w:iCs w:val="1"/>
          <w:color w:val="auto"/>
        </w:rPr>
        <w:t>Revenues</w:t>
      </w:r>
    </w:p>
    <w:p>
      <w:pPr>
        <w:spacing w:after="0" w:line="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Total revenues increased 26% to $18.8 million for the six months ended June 30, 2008, from $14.9 million for the six months ended June 30, 2007. Approximately 62% of the growth in revenues from the corresponding period in 2007 was due to increased revenues from our Technology Development Division, and approximately 38% of the increase was due to increased product sales and product development revenues. Product sales and product development revenues</w:t>
      </w:r>
    </w:p>
    <w:p>
      <w:pPr>
        <w:sectPr>
          <w:pgSz w:w="11900" w:h="16838" w:orient="portrait"/>
          <w:cols w:equalWidth="0" w:num="1">
            <w:col w:w="11420"/>
          </w:cols>
          <w:pgMar w:left="240" w:top="459" w:right="239" w:bottom="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t>increased 39%, to $5.2 million for the six months ended June 30, 2008, as compared to $3.8 million for the six months ended June 30, 2007. This increase was primarily a result of increased sensing product sales as well as an increase in product development activity.</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Growth in our technology development revenues also contributed to our overall growth in revenues for the first and second quarter of 2008 as compared with the same period in 2007. Technology development revenues increased 22% to $13.5 million for the six months ended June 30, 2008 from $11.1 million for the corresponding 2007 period. This increase was primarily a result of a continued strong success in obtaining research contracts, an increase in the size of certain awards, and the addition of direct contract personnel.</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During the period ending March 31, 2008, we identified certain product development contracts, which we account for using the percentage of completion method, where our estimated cost to complete increased significantly from our prior estimates. The resulting decrease in the overall percentage of completion resulted in an adjustment to reduce revenues previously recognized. Pursuant to the provisions of SOP 81-1, </w:t>
      </w:r>
      <w:r>
        <w:rPr>
          <w:rFonts w:ascii="Arial" w:cs="Arial" w:eastAsia="Arial" w:hAnsi="Arial"/>
          <w:sz w:val="18"/>
          <w:szCs w:val="18"/>
          <w:i w:val="1"/>
          <w:iCs w:val="1"/>
          <w:color w:val="auto"/>
        </w:rPr>
        <w:t>Accounting for the Performance of Construction-Type and Certain Production-Type Contracts</w:t>
      </w:r>
      <w:r>
        <w:rPr>
          <w:rFonts w:ascii="Arial" w:cs="Arial" w:eastAsia="Arial" w:hAnsi="Arial"/>
          <w:sz w:val="18"/>
          <w:szCs w:val="18"/>
          <w:color w:val="auto"/>
        </w:rPr>
        <w:t>, we reduced our product and licensing revenues for the period ending March 31, 2008 on a cumulative basis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$0.3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Cost of revenues increased 18% to $11.3 million for the six months ended June 30, 2008 from $9.6 million for the corresponding 2007 period. The main component of this overall increase was increased costs of labor and materials related to increases in product sales and product development revenue. New technology development cost of sales increases accounted for approximately $0.7 million, or 39%, and product sales cost increases accounted for approximately $1.1 million, or 61%, respectively, of the overall increase in costs of revenues.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Technology development costs increased 9% to $8.6 million for the six months ended June 30, 2008 from $7.9 million in the same period in 2007. This increase was comprised primarily of additional direct labor and the associated overhead related performing under our research contracts.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overall gross margin improved as compared with the first six months of 2007. Our overall gross margin during the six months ended June 30, 2008 was 40% compared to 36% during the same period in 2007. During the six months ended June 30, 2008, technology development activity returned a gross margin of approximately 37% compared to 29% in the same period of 2007. Product and license activity returned a gross margin of 47% for the six months ended June 30, 2008, compared to 55% for the same period in 2007. The decrease in gross margin associated with our product and license segment was primarily attributable to the cumulative adjustment in product and license revenue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expense increased 7% to $11.1 million for the six months ended June 30, 2008 from $10.4 million for the corresponding period in 2007. The primary driver of the increase in the first six months of 2008 as compared to the same period in 2007 was increased legal expenses associated with on-going legal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interest income decreased from $0.2 million in net interest income for the six months ended June 30, 2007 to approximately $9,000 in net interest expense for the six months ended June 30, 2008. This decrease was attributable to a reduction in invested cash and lower interest rates, and an increase in interest payments due to the addition of a $5.0 million term loan from the Silicon Valley Bank debt facility.</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With the exception of approximately $30,000 in interest expense incurred on the $5.0 million Silicon Valley Bank term loan, nearly all of the interest expense during the six months ended June 30, 2008, was incurred on our convertible promissory notes issued to Carilion Clinic on December 30, 2005. These notes have an aggregate outstanding principal of approximately $5.0 million and accrue simple interest at a rate of 6.0% per year. During the six month period ended June 30, 2008, interest expense on such notes was approximately $0.2 million. Interest income for the six months ended June 30, 2008 totaled $0.2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Until May 2008, we had a $3.0 million senior secured revolving credit facility with First National Bank that was collateralized by a security interest in substantially all of our assets. The interest rate on borrowings under our secured revolving credit facility was equal to the prime rate, limited to no less than 6.0% and no greater than 10.0% per annum, with interest payable monthly. This agreement also provided a $1.0 million sub-limit for letters of credit.</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Beginning in May 2008, we canceled our $3.0 million senior secured revolving credit facility with First National Bank, and entered into a $10.0 million credit facility with Silicon Valley Bank, which includes a four year term debt of $5.0 million and a remaining facility of up to $5.0 million available under a four-year revolving line of credit, based on the balance of our term loan at June 30, 2008. As we repay the term debt principal, the revolving facility available increases, so that at any time, the term debt plus the revolving debt may be equal to up to $10 million. For the remainder of 2008, we will pay only the interest portion of the loan. The interest rate on borrowings under the secured revolving facility is a floating per annum rate of one half of one percentage point above the prime interest rate. Interest on the term loan is a floating per annum rate of one percentage point above the prime interest rate. Beginning in January, 2009, we will begin to pay interest and principal monthly, so that principal is paid back ratably over 42 months. This agreement also provided a $1.0 million sub-limit for letters of credit. The facility is secured by certain company assets and is subject to customary covenants, including covenants requiring us to meet EBITDA milestones and liquidity ratios. In connection with the credit facility with Silicon Valley Bank, Carilion Clinic agreed to extend the maturity date of the existing $5.0 million aggregate principal amount in notes payable to Carilion Clinic to December 31, 2012, from the original date of December 30, 2009, and to subordinate the Carilion Clinic debt to that of Silicon Valley Bank.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used approximately $1.0 million and $2.6 million of net cash from operations during the six months ended June 30, 2008 and 2007, respectively. The decrease in cash used in operations resulted from a decrease of $1.2 million in net loss, as well as other working capital account changes. The change in working capital accounts for the six months ended June 30, 2008 includes a $0.6 million decrease in deferred revenue arising from the timing difference between receipt of cash and the recognition of revenue for certain long-term development contracts to be accounted for using the percentage of completion method, and a $1.2 million increase due to improved accounts receivable collections.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Cash used in investing activities for the six months ended June 30, 2008 related primarily to the purchase of property and equipment and legal fees associated with securing patent rights to certain technology. Our overall cash used in investing activities was $0.8 million in the six months ended June 30, 2008, compared to $1.4 million in the corresponding June 30, 2007 period. This decrease reflects higher capital spending incurred in 2007 in support of our facilities expansions.</w:t>
      </w:r>
    </w:p>
    <w:p>
      <w:pPr>
        <w:sectPr>
          <w:pgSz w:w="11900" w:h="16838" w:orient="portrait"/>
          <w:cols w:equalWidth="0" w:num="1">
            <w:col w:w="11420"/>
          </w:cols>
          <w:pgMar w:left="240" w:top="459"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31"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Cash flows generated by financing activities for the six months ended June 30, 2008 was $5.0 million representing an increase compared to cash flow used in financing activities for the six months ended June 30, 2007. This increase was primarily attributable to the $5.0 million draw from our credit facility with Silicon Valley Bank, with interest-only payable for the remainder of 2008, and principal payments (with interest) paid ratably over 42 months.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June 30, 2008, total cash and cash equivalents were approximately $15.3 million. We believe that our current cash on hand and cash available under our line of credit agreement will be sufficient to fund operations for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lease our facilities in Blacksburg, Charlottesville, Danville, Hampton, and Roanoke, Virginia under operating leases that expire on various dates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through January 2014 or under a month-to-month arrangement. Upon expiration of the leases, we may exercise certain renewal options as specified in the leases.</w:t>
      </w:r>
    </w:p>
    <w:p>
      <w:pPr>
        <w:spacing w:after="0" w:line="19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also lease certain computer equipment and software under capital lease agreements that expire through January 2010. The assets subject to these obligations are included in property and equipment on our consolidated balance sheet.</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Our Luna Technologies Division has an agreement with a supplier to purchase tunable lasers and estimates its non-cancellable obligation to be approximately $0.3 million through 2008.</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2004, we received a grant of $0.9 million from the City of Danville, Virginia under a Grant Agreement to support the expansion of economic and commercial growth within the City. Under the Grant Agreement, we agreed to locate a nanomaterials manufacturing and research facility and maintain its operations in Danville until March 25, 2009. As of September 25, 2006, we had not fully met the capital expenditures and job milestones under this agreement, and, as a result, we may be obligated to repay the City of Danville a portion of the $0.9 million in funds based on a formula of the pro rata shortfall of such expenditures and jobs falling below such required levels. Because of the failure to meet these milestones and the continuing obligation to maintain our investment and employees at this location through March 25, 2009, we currently have classified the full amount of the grant as a liability on our balance sheet in anticipation of potentially returning the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material off-balance sheet arrangements as defined in Regulation S-K 303(a)(4)(ii).</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United States interest rates, particularly because as of June 30, 2008, our cash reserves were maintained in money market investment accounts and were not exposed to material market risks.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 As of June 30, 2008 we had $15.3 million deposited in cash and cash equivalents bearing a weighted-average interest rate of 2.45%.</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exposed to interest rate fluctuations, as a result of our Silicon Valley Bank term loan and revolving debt facility both having interest rates subject to market fluctuations. We do not currently use derivative instruments to alter the interest rate characteristics of any of our debt. The interest rate on our revolving debt facility with Silicon Valley Bank is at prime plus one half of one percentage point. The interest rate on our term loan with Silicon Valley Bank is at prime plus one percentage point. At June 30, 2008 this resulted in a 5.5% and 6.0% rate for the revolving debt facility and the term loan, respectively. A 10% fluctuation in interest rates would not have a material impact on our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product sales to foreign customers are denominated in U.S. dollars and we do not receive payments in foreign currency. As such, we are not directly exposed to currency gains or losses resulting from fluctuations in foreign exchange rates.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Securities Exchange Act of 1934 (the “Exchange Act”) Rules 13a-15(e) and 15d-15(e)) as of the end of the period covered by this report (the “Evaluation Date”), have concluded that as of the Evaluation Date, our disclosure controls and procedures were effective to ensure that information required to be disclosed in the reports that we file or submit under the Exchange Act (i) is recorded, processed, summarized and reported within the time periods specified in the rules and forms of the Securities and Exchange Commission and (ii) is accumulated and communicated to our management, including our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400"/>
          </w:cols>
          <w:pgMar w:left="240" w:top="459" w:right="259" w:bottom="481"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481"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September 10, 2007, we filed a complaint against our former auditing and accounting firm in connection with the firm’s auditing and opining on the accuracy of several years of our consolidated financial statements in preparation for our registration with the Securities and Exchange Commission and our Initial Public Offering, or IPO, of securities. The complaint alleges that the firm breached its contract with us and committed negligence when it failed to ensure that it was independent to audit our financial statements as required by the SEC regulations and by failing to inform us that it was not independent to audit our financial statements. These actions, resulting in our termination of this firm and our hiring of a new independent firm, caused a delay in our IPO, thereby resulted in a lower amount of capital raised, and the incurrence of significant additional expenses. The defendant answered our complaint and counterclaimed alleging breach of contract, breach of implied contract and unjust enrichment. The firm’s counterclaim alleges that we failed to pay it certain fees for services performed. We answered the counterclaim. On July 23, 2008, the parties settled the litigation at a mediation without any admission of liability, or adjudication of fact or law. The material terms of settlement include payment to Luna of $1.0 million and a mutual general release, as well as joint dismissal with prejudice of all claims and counterclaims.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22, 2007, Hansen Medical Inc., a company for which we had conducted certain research and performed certain services, filed a complaint against us in the Superior Court of the State of California, County of Santa Clara. On March 18, 2008, the Complaint was amended and alleges misappropriation of trade secrets, aiding and abetting breach of fiduciary duty, unfair competition, breach of contract, conversion, intentional interference with contract, breach of implied covenant of good faith and fair dealing, declaratory judgment, and fraud. In addition to money damages in an unspecified amount, the plaintiff company seeks, among other things, equitable relief, including an injunction against our using the allegedly misappropriated Hansen trade secrets in connection with our work with Intuitive Surgical, Inc. (“Intuitive”) or otherwise. We have answered the complaint and intend to defend ourselves vigorously in this matter. We also filed a counterclaim against the plaintiff company and an amended counterclaim on March 18, 2008. Our counterclaim asserts claims for declaratory judgment, misappropriation of trade secrets, breach of contract, unfair competition under the California Business and Professional Code, breach of implied covenant of good faith and fair dealing, declaratory judgment, and unjust enrichment. We seek money damages from the counterclaim defendant in an amount to be proven at trial and equitable, including declaratory, relief. In April 2008, the parties participated in a non-binding arbitration. In May 2008, the arbitrator rendered a non-binding award. In June 2008, Luna rejected the non-binding award, and the case is proceeding to trial on the merits. While we believe the plaintiff’s claims are without merit, we cannot predict the ultimate outcome of this litigation.</w:t>
      </w:r>
    </w:p>
    <w:p>
      <w:pPr>
        <w:spacing w:after="0" w:line="1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30, 2006, we were served with a complaint filed by a former employee in the Circuit Court for the City of Roanoke, Virginia, alleging that we breached a consulting agreement with the former employee, and that we are indebted to the former employee in an unspecified amount of at least $100,000. We have answered the complaint and intend to defend ourselves vigorously in this matter. While we believe the former employee’s claims are without merit, counsel for such former employee has indicated that he may file additional claims against us. To date, no such additional claims have been filed. However, we cannot predict whether such former employee will file additional litigation against us or our subsidiaries or the ultimate outcome of any such litigation.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Securities and Exchange Commission also contain forward-looking statements that involve risks or uncertainties. Our actual results could differ materially from those anticipated in these forward-looking statements as a result of certain factors, including the risks we face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revenue and net loss could be adversely affected.</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by developing and commercializing multiple products concurrently across many industries, technologies and markets. Our ability to grow by developing and commercializing multiple products simultaneously requires that we manage a diverse range of projects and expand our personnel resources. Our inability to do any of these could prevent us from successfully implementing our growth strategy, and our revenues and profits could be adversely affected.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be subject to operating difficulties, additional expenditures and limited revenue growth.</w:t>
      </w:r>
    </w:p>
    <w:p>
      <w:pPr>
        <w:spacing w:after="0" w:line="116"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During the most recently completed calendar quarter, the labor market, particularly for highly-specialized scientists and engineers remained tight. If we are unable to recruit a sufficient number of qualified personnel, we may be unable to staff and manage projects adequately, which may slow the rate of growth of our technology development revenue or our product development efforts.</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have incurred recent losses, and because our strategy for expansion may be costly to implement, we may experience continuing losses which may be significant.</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incurred consolidated net losses of approximately $7.8 million for the year ended December 31, 2007, and $3.7 million for the six months ending June 30, 2008.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significant transaction expenses,</w:t>
      </w:r>
    </w:p>
    <w:p>
      <w:pPr>
        <w:sectPr>
          <w:pgSz w:w="11900" w:h="16838" w:orient="portrait"/>
          <w:cols w:equalWidth="0" w:num="1">
            <w:col w:w="11400"/>
          </w:cols>
          <w:pgMar w:left="240" w:top="459" w:right="259" w:bottom="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t>amortization or write-offs of intangible assets and other acquisition-related expenses. As a result, we expect that we may likely continue to incur losses for the foreseeable future, and these losses could be substantial.</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131"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Because of the numerous risks and uncertainties associated with our business and our expansion strategy, we are unable to predict when or if we will be able to achieve profitability again.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 mix from technology development revenues to product sales and license revenues, we may not be able to fully execute our business model or grow our business.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business model and future growth depend on our ability to transition to a revenues mix that contains significantly larger product sales and license revenues components. Product sales and license revenues potentially offer greater scalability and higher gross margins than services-based technology development revenues. Our current plan is to increase our portfolio of commercial products and, accordingly, we expect that our future product sales and license revenues will represent a larger percentage of total revenues. However, if we are unable to develop and grow our product sales and license revenues to augment our technology development revenues, our ability to execute our business model or grow our business could suffer.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success of our business model depends on our ability to identify correctly market needs for new technologies. We intend to identify new market needs, but we may not always have success in doing so, in part because our technology development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16" w:lineRule="exact"/>
        <w:rPr>
          <w:sz w:val="20"/>
          <w:szCs w:val="20"/>
          <w:color w:val="auto"/>
        </w:rPr>
      </w:pPr>
    </w:p>
    <w:p>
      <w:pPr>
        <w:ind w:right="140" w:firstLine="456"/>
        <w:spacing w:after="0" w:line="300" w:lineRule="auto"/>
        <w:rPr>
          <w:sz w:val="20"/>
          <w:szCs w:val="20"/>
          <w:color w:val="auto"/>
        </w:rPr>
      </w:pPr>
      <w:r>
        <w:rPr>
          <w:rFonts w:ascii="Arial" w:cs="Arial" w:eastAsia="Arial" w:hAnsi="Arial"/>
          <w:sz w:val="15"/>
          <w:szCs w:val="15"/>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development-including our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carbon nanomaterials, which are nanomaterials in the form of a carbon sphere with three metal atoms enclosed inside-are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skilled employees would adversely affect our business and operating results.</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competitors aggressively recruit key employees. In the past, we have experienced difficulties in recruiting and hiring these personnel as a result of the tight labor market in certain fields. This fact, combined with our growth strategy and future needs for additional experienced personnel, particularly in highly specialized areas such as nanomaterial manufacturing and innovative ultrasound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where the supply of experienced qualified candidates is limited. Any failure to do so would have an adverse effect on our business.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our future success depends in a large part upon the continued service of key members of our senior management team. In particular, our Chairman, CEO and founder, Kent A. Murphy, Ph.D., is essential to our overall management as well as the development of our technologies, our culture and our strategic direction. All of our executive officers and key employees are at-will employees, and, except with respect to Kent A. Murphy, Ph.D., we do not maintain any key-person life insurance policies. The loss of any of our management or key personnel could seriously harm our business.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rely and will continue to rely on contract research, including government-funded research contracts, for a significant portion of our revenues. A decline in government funding of existing or future government research contracts, including Small Business Innovation Research (or SBIR) revenues, could adversely affect our revenues and cash flows and our ability to fund our growth.</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Technology development revenue, which consists primarily of government-funded research, accounted for approximately 70% and 74% of our consolidated total revenues for the three months ended June 30, 2008 and 2007, respectively. As a result, we are vulnerable to adverse changes in our revenues and cash flows if a significant number of our research contracts and subcontracts are simultaneously delayed or canceled for budgetary, performance or other reasons. The U.S. government, for example,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the U.S. government’s use of contract research providers, including curtailment due to government budget reductions and related fiscal matters. These or other factors could cause U.S. defense and other federal agencies to conduct research internally rather than through commercial research organizations, to reduce their overall contract research requirements or to exercise their rights to terminate contracts. Any of these actions could limit our ability to obtain new contract awards and adversely affect our revenues and cash flows and our ability to fund our growth.</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also derive a significant portion of our technology development revenues from SBIR contracts. SBIR revenues accounted for approximately 44% and 61% of our consolidated total revenues for the three months ended June 30, 2008 and 2007, respectively. Contract research, including SBIR, will remain a significant portion of our consolidated total revenues for the foreseeable future. Our strategy for developing innovative technologies and products depends in large part on our ability to continue to enter into and generate revenues from non-SBIR contract research.</w:t>
      </w:r>
    </w:p>
    <w:p>
      <w:pPr>
        <w:sectPr>
          <w:pgSz w:w="11900" w:h="16838" w:orient="portrait"/>
          <w:cols w:equalWidth="0" w:num="1">
            <w:col w:w="11420"/>
          </w:cols>
          <w:pgMar w:left="240" w:top="459" w:right="239" w:bottom="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In addition, we may not be successful in securing future contracts. Our customers’ priorities regarding funding for certain projects may change and funding resources may no longer be available at previous levels.</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rely and will continue to rely on contracts and grants awarded under the SBIR program for a significant portion of our revenues. A finding by the Small Business Administration, or SBA, that we no longer qualify to receive SBIR funding could adversely affect our business.</w:t>
      </w:r>
    </w:p>
    <w:p>
      <w:pPr>
        <w:spacing w:after="0" w:line="8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may not qualify to participate in the Small Business Administration’s, or SBA’s, SBIR program or receive new SBIR awards from federal agencies in the future. In order to qualify for SBIR contracts and grants, at least 51% of our equity must be owned and controlled by U.S. citizens or permanent resident aliens, or by another entity that is at least 51% owned or controlled by U.S. citizens or permanent resident aliens, and we must have 500 or fewer employees. These eligibility criteria are applied as of the time of the award of a contract or grant. In determining whether we satisfy the 51% equity ownership requirement, agreements to merge, stock options, convertible debt and other similar instruments are given “present effect” by the SBA, as though the underlying securities were actually issued unless the exercisability or conversion of such securities is speculative, remote or beyond the control of the security holder. We therefore believe our outstanding options and warrants held by eligible individuals may be counted as, and our convertible debt may be excluded from, outstanding equity for purposes of meeting the 51% equity ownership requirement.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we are currently in compliance with the SBIR eligibility criteria but we cannot provide assurance that the SBA will interpret its regulations in our favor. We believe that over 60% of our equity is owned or controlled by U.S. citizens, and that we currently have fewer than 500 employees. We must be able to certify that we meet the SBIR ownership and size requirements as of the time we enter into each SBIR contract or grant, and SBA may review our size status in connection with each SBIR contract or grant. As we grow our business, it is foreseeable that we will eventually exceed the SBIR eligibility limitations and we may need to find other sources to fund our research and development efforts. If we are unsuccessful in obtaining additional contracts or funding grants because we cannot meet the eligibility requirements or if our customers decide to reduce or discontinue support of our products, we may be required to seek alternative sources of revenues or capital.</w:t>
      </w:r>
    </w:p>
    <w:p>
      <w:pPr>
        <w:spacing w:after="0" w:line="118"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b w:val="1"/>
          <w:bCs w:val="1"/>
          <w:i w:val="1"/>
          <w:iCs w:val="1"/>
          <w:color w:val="auto"/>
        </w:rPr>
        <w:t>The SBA could determine that, as a result of Carilion Clinic’s equity ownership, the number of our employees exceeds the size limitation placed on SBA contract and SBIR grant recipients, and therefore we will not be eligible to receive future SBA contracts and SBIR grants.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U.S. ownership eligibility criteria discussed above, to be eligible for SBA contracts and SBIR grants, the number of our employees including those of any entities that are considered to be affiliated with us, cannot exceed 500. As of June 30, 2008, including all of our divisions, we had 205 full time employees. However, in determining whether we are affiliated with any other entity, the SBA analyzes whether another entity controls or has the power to control us. If the SBA determines that another entity controls or has the power to control us, it will aggregate that entity’s employees (and the employees of its subsidiaries and affiliates) with our own for purposes of applying the 500 employee test.</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SBA may make an affiliation determination based on stock ownership. For example, the SBA may presume that two or more entities have the power to control a company if the entities each own, control or has the power to control, less than 50 percent of the company’s stock, such minority holdings are equal or approximately equal in size, and the aggregate of the minority holdings is large as compared to any other stock holding. However, this presumption may be rebutted by showing that such control or power to control does not in fact exist. As of June 30, 2008, Carilion Clinic held approximately 20.3% of our common stock, and Dr. Kent Murphy held approximately 24.0% of our common stock</w:t>
      </w:r>
      <w:r>
        <w:rPr>
          <w:rFonts w:ascii="Arial" w:cs="Arial" w:eastAsia="Arial" w:hAnsi="Arial"/>
          <w:sz w:val="16"/>
          <w:szCs w:val="16"/>
          <w:b w:val="1"/>
          <w:bCs w:val="1"/>
          <w:color w:val="auto"/>
        </w:rPr>
        <w:t>.</w:t>
      </w:r>
      <w:r>
        <w:rPr>
          <w:rFonts w:ascii="Arial" w:cs="Arial" w:eastAsia="Arial" w:hAnsi="Arial"/>
          <w:sz w:val="16"/>
          <w:szCs w:val="16"/>
          <w:color w:val="auto"/>
        </w:rPr>
        <w:t xml:space="preserve"> Thus, applying the criteria stated above, the SBA could find that both Carilion Clinic and Dr. Murphy own less than 50% of the stock, their percentages are roughly equal, and their respective percentages are large compared to any other stock holding. We believe that the relative beneficial ownership of our individual stockholders rebuts the presumption of control by Carilion Clinic because the shares held by our officers and directors constitute the controlling interest in us. However, if the SBA were to make a determination that we are affiliated with Carilion Clinic, we would exceed the size limitations as Carilion Clinic has over 500 employees, and we therefore would lose eligibility for new SBA contracts, public contracts, grants and other awards that are set aside for small businesses, including SBIR grants.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products or enhance our existing products, obtain important regulatory approvals, enhance our operating infrastructure, complete our development activities, build our commercial scale manufacturing facilities and acquire complementary businesses and technologies. Accordingly, we may need to engage in equity or debt financings to secure additional funds for these investments.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we raise additional funds through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our initial public offering. Furthermore, such financings may jeopardize our ability to apply for SBIR grants or qualify for SBIR contracts or grants, and our dependence on SBIR grants may restrict our ability to raise additional outside capital. In addition, we may not be able to obtain continued SBIR funding, or other additional financing on terms favorable to us, if at all. In order to retain SBIR eligibility, we may be restricted in our ability to raise certain forms of equity capital from institutional investors. For example, in connection with the closing of our financing with Carilion Clinic on December 30, 2005, we were not able to raise all proceeds through the issuance of equity without potentially jeopardizing our SBIR eligibility. We therefore elected to issue debt in the amount of $5.0 million of the total $8.0 million raised in such financing to maintain SBIR eligibility. Under the terms of these notes, as amended, we agreed that we will not draw down any amount under our then-existing senior secured credit facility with First National Bank or our existing line of credit with Silicon Valley Bank, or incur additional indebtedness other than under certain limited conditions. In addition, if we lose eligibility or elect to no longer compete for SBIR contracts prior to December 30, 2012, the holder of our $5.0 million senior convertible promissory notes has the right, at its discretion, to convert some or all of the principal and interest amounts into shares of our common stock, which would result in further dilution to our existing stockholders.</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unable to obtain adequate financing or financing on terms satisfactory to us, when we require it, our ability to continue to support our business growth and to respond to business challenges could be significantly limited.</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are unable to secure third-party reimbursement for our healthcare products, including our EDAC QUANTIFIER medical device, our revenue and net loss could be adversely affected.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both the United States and foreign markets where we intend to sell our medical products, third-party payors such as the government and health insurance companies are generally responsible for hospital and doctor reimbursement for medical products and services. Governments and insurance companies carefully review and increasingly challenge the prices charged for medical products and services. Reimbursement rates from private insurance companies vary depending on the procedure performed, the third party involved, the insurance plan involved, and other factors. In the United States, reimbursement for medical procedures under the</w:t>
      </w:r>
    </w:p>
    <w:p>
      <w:pPr>
        <w:sectPr>
          <w:pgSz w:w="11900" w:h="16838" w:orient="portrait"/>
          <w:cols w:equalWidth="0" w:num="1">
            <w:col w:w="11400"/>
          </w:cols>
          <w:pgMar w:left="240" w:top="459" w:right="25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31"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Medicare and Medicaid programs is administered by Centers for Medicare &amp; Medicaid Services. Medicare reimburses both hospitals and physicians a pre-determined, fixed amount based on the procedure performed. This fixed amount is paid regardless of the actual costs incurred by the hospital or physician in furnishing the care and is often unrelated to the specific devices used in that procedure. Thus, any reimbursements that hospitals or physicians obtain for using our medical products will generally have to cover any additional costs that hospitals incur in purchasing such products.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Hospitals and medical centers to which we intend to sell our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QUANTIFIER product typically bill the services performed with our products to</w:t>
      </w:r>
    </w:p>
    <w:p>
      <w:pPr>
        <w:spacing w:after="0" w:line="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various third-party payors, such as Medicare, Medicaid and other government programs and private insurance plans. If our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QUANTIFIER is cleared for marketing in the United States by the FDA, we anticipate that Medicare reimbursement will be available for use of the device in cleared procedures. If, however, hospitals do not obtain sufficient reimbursement from third-party payors for procedures performed with our products, or if governmental and private payors’ policies do not permit reimbursement for services performed using our products, demand for our product may be negatively impacted.</w:t>
      </w:r>
    </w:p>
    <w:p>
      <w:pPr>
        <w:spacing w:after="0" w:line="17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countries outside the United States, reimbursement is obtained from various sources, including governmental authorities, private health insurance plans and labor unions. To sell our product in foreign markets, we may need to seek international reimbursement approvals. We cannot be certain whether such required approvals will be obtained in a timely manner or at all.</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Furthermore,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have a negative effect on our product revenue and net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face or will face substantial competition from a variety of companies in several different markets. Our competitors in contract research include, but are not limited to, companies such as General Dynamics Corporation, Lockheed Martin Corporation, SAIC, Inc. and SRA International, Inc. In the instrumentation and test and measurement products market, our competitors include, but are not limited to, large companies such as Agilent Technologies, Inc., Analog Devices, Inc., Freescale Semiconductor, Inc., JDS Uniphase Corp., Robert Bosch GmbH and Silicon Sensing, as well as emerging companies. In addition, in the MRI contrast agent market our competitors include Amersham Plc, Berlex Laboratories, Inc., Bracco Diagnostics, Inc., and Mallinckrodt Inc.</w:t>
      </w:r>
    </w:p>
    <w:p>
      <w:pPr>
        <w:spacing w:after="0" w:line="116" w:lineRule="exact"/>
        <w:rPr>
          <w:sz w:val="20"/>
          <w:szCs w:val="20"/>
          <w:color w:val="auto"/>
        </w:rPr>
      </w:pPr>
    </w:p>
    <w:p>
      <w:pPr>
        <w:ind w:right="740" w:firstLine="456"/>
        <w:spacing w:after="0" w:line="259"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face competition in a wide range of industries, including telecommunications, industrial instrumentation, healthcare, military and security applications.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debt facility with Silicon Valley Bank that requires us to meet certain restrictive covenants.</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May 2008, we entered into a $10.0 million credit facility with Silicon Valley Bank, which includes a four year term debt of $5.0 million and a four-year revolving line of credit facility available for the remaining $5.0 million, based on the balance of our term loan at June 30, 2008. The interest rate on borrowings under the secured revolving facility is a floating per annum rate of one half of one percentage point above the prime interest rate. Interest on the term loan is a floating per annum rate of one percentage point above the prime interest rate. Beginning in January, 2009, we will begin to pay interest and principal monthly, so that principal is paid back ratably over 42 months. This agreement also provided a $1.0 million sub-limit for letters of credit. As part of this agreement, we provided blanket collateral of substantially all of the company’s assets, and agreed to be subject to certain loan covenants, including but not limited to, financial covenants requiring the on-going attainment of certain financial ratios, and the attainment of a minimum adjusted EBITDA that increases through-out the first year of the term loan period. If we fail to maintain these ratios or attain the required EBITDA, or fail to comply with any other covenant, we could be deemed to have an Event of Default. In the case of an Event of Default, we could be required to immediately remit all outstanding funds then due under the debt facility; or prepare our collateral for sale to satisfy the amount of outstanding funds owed to Silicon Valley Bank. If there is an Event of Default and we continue in the borrowing relationship with Silicon Valley Bank, the default interest rate would increase by five percentage points over the applicable rate for the term and revolving debt facilities, which could adversely affect our cash flows.</w:t>
      </w:r>
    </w:p>
    <w:p>
      <w:pPr>
        <w:spacing w:after="0" w:line="12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be obligated to repay part of the proceeds received in connection with a grant from the City of Danville, Virginia, for failing make certain agreed upon expenditures and failing to meet certain employment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2004, we received a grant of $900,000 from the City of Danville, Virginia under a Grant Agreement to support the expansion of economic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commercial growth within the City. Under the Grant Agreement, we agreed to locate a nanomaterials manufacturing and research facility and maintain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Danville until March 25, 2009. Our obligations under this Grant Agreement require us to incur significant expenditures in order to retain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grant. Specifically, we agreed under the Grant Agreement to invest at least $5.2 million in capital equipment expenditures and $1.2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facilities by September 25, 2006 and to maintain such investments in our Danville facility until March 25, 2009. We also agreed to create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25, 2006 at least 54 new full-time jobs at the Danville facility at an average annual wage of at least $39,000 plus benefits, and to maintain these jobs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such facility until March 25, 2009. These contractual requirements obligate us to an annual payroll obligation exceeding $2.0 million until March 25, 2009.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such hiring results in salaries in excess of the required minimum wages, our annual payroll obligation could be substantially greater than $2.0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September 25, 2006, we had not fully met these capital expenditures and job milestones, and, as a result, we may be asked to repay the City of Danville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$0.9 million in funds based on a formula of the pro rata shortfall of such expenditures and jobs falling below such required levels. Because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failure to meet these milestones and the continuing obligation to maintain our investment and employees at this location through March 25, 2009,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classified the full amount of the grant as a liability on our balance sheet in anticipation of potentially returning the funds.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20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produced most of our products on a custom order basis rather than pursuant to large contracts that require production on a large volume basis. Accordingly, other than the commercial manufacture of products by our Luna Technologies Division, we have no experience manufacturing products in large volume. Because our experience in large scale manufacturing is limited, we may encounter unforeseen difficulties in our efforts to manufacture other products or materials in commercial quantities or have to rely on third-party contractors over which we do not have direct control to manufacture our products. For example,</w:t>
      </w:r>
    </w:p>
    <w:p>
      <w:pPr>
        <w:sectPr>
          <w:pgSz w:w="11900" w:h="16838" w:orient="portrait"/>
          <w:cols w:equalWidth="0" w:num="1">
            <w:col w:w="11420"/>
          </w:cols>
          <w:pgMar w:left="240" w:top="459" w:right="239" w:bottom="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we have engaged a third-party contract manufacturer to produce our line of tunable lasers. We also may need to develop or in-license Trimetasphere nanomaterial purification and isolation technology, which would result in manufacturing delays or shortfalls. We may also encounter difficulties and delays in manufacturing our products for the following reasons:</w:t>
      </w:r>
    </w:p>
    <w:p>
      <w:pPr>
        <w:spacing w:after="0" w:line="59" w:lineRule="exact"/>
        <w:rPr>
          <w:sz w:val="20"/>
          <w:szCs w:val="20"/>
          <w:color w:val="auto"/>
        </w:rPr>
      </w:pPr>
    </w:p>
    <w:p>
      <w:pPr>
        <w:ind w:left="5620" w:right="1380" w:hanging="5045"/>
        <w:spacing w:after="0" w:line="440"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plan to expand our manufacturing operations, and our production processes may have to change to accommodate this growth; 17</w:t>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are unable to keep up with demand for our products, our revenue growth could be impaired, market acceptance for our products could be adversely affected and our customers might instead purchase our 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8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primarily rely on third-party vendors for the manufacture of the specialized components used in our products. Although we do not have any sole source suppliers of materials,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Moreover, none of these third-party vendors is obligated to continue to supply us with components. Our reliance on these vendors subjects us to a number of risks that could impact our ability to manufacture our products and harm our business, including interruption of supply. Although we are now manufacturing tunable lasers in low rate initial production, we expect our overall reliance on third-party vendors to continue.</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Any significant delay or interruption in the supply of components, or our inability to obtain substitute components or materials from alternate sources at acceptable prices in a timely manner, could impair our ability to meet the demand of our customers and harm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none of our current products are known by us to be hazardous or subject to environmental regulation, it is possible our current or future products, particularly carbon-based nanomaterials, may become subject to environmental, or other,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4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Our Products Division currently conducts business internationally and we might considerably expand our international activities in the future. Our international business operations are subject to a variety of risks associated with conducting business internationally, including:</w:t>
      </w:r>
    </w:p>
    <w:p>
      <w:pPr>
        <w:spacing w:after="0" w:line="4" w:lineRule="exact"/>
        <w:rPr>
          <w:sz w:val="20"/>
          <w:szCs w:val="20"/>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unsuccessful in our litigation with Hansen Medical, Inc., our business may be materially harmed.</w:t>
      </w:r>
    </w:p>
    <w:p>
      <w:pPr>
        <w:spacing w:after="0" w:line="171"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On June 22, 2007, Hansen Medical Inc., a company for which we had conducted certain research, filed a complaint against us in the Superior Court of the State of California, County of Santa Clara. On March 18, 2008, the Complaint was amended and alleges misappropriation of trade secrets, aiding and abetting breach of fiduciary duty, unfair competition, breach of contract, conversion, intentional interference with contract, breach of implied covenant of good faith and fair dealing, declaratory judgment, and fraud. In addition to money damages in an unspecified amount, the plaintiff company seeks, among other things, equitable relief, including an injunction against our using the allegedly misappropriated trade secrets in connection with another project of ours. We have answered the complaint and intend to defend ourselves vigorously in this matter. We also filed a counterclaim against the plaintiff company and an amended counterclaim on March 18, 2008. Our counterclaim asserts claims for declaratory judgment, misappropriation of trade secrets, breach of contract, unfair competition under the California Business and Professional Code, breach of implied covenant of good faith and fair dealing, declaratory judgment, and unjust enrichment. We seek money damages from the counterclaim defendant in an amount to be proven at trial and equitable, including declaratory, relief. In April 2008, the parties participated in a non-binding arbitration. In May 2008, the arbitrator rendered a non-binding award. In June 2008, Luna rejected the non-binding award, and the case is proceeding to trial on the merits. While we believe the plaintiff’s claims are without merit, we cannot predict the ultimate outcome of this litigation.</w:t>
      </w:r>
    </w:p>
    <w:p>
      <w:pPr>
        <w:spacing w:after="0" w:line="11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If we do not succeed in prosecuting our claims against Hansen Medical, Inc. or if Hansen Medical, Inc. prevails on one or more of its claims, we may not recover our damages. In addition, if Hansen Medical, Inc. is successful, we may be required to pay substantial damages, and we may lose the ability to freely use or license others to use certain of our intellectual property, any or all of which could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must comply with and are affected by laws and regulations relating to the award, administration and performance of U.S. government contracts. Government contract laws and regulations affect how we do business with our government customers and, in some instances, impose added costs on our business. A violation of specific laws and regulations could result in the imposition of fines and penalties or the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ranging from monetary fines, assessments, loss of the ability to do business with the U.S. government and certain other criminal penalties.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also be prohibited from commercially selling certain products that we develop under our Technology Development Division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113"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Our healthcare and medical products are subject to a lengthy and uncertain domestic regulatory approval process. If we do not obtain and maintain the necessary domestic regulatory approvals or clearances, we will not be able to market and sell our products for clinical use in the United States.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and potential products will require regulatory clearances or approvals prior to commercialization. In particular, our Trimetasphere</w:t>
      </w:r>
      <w:r>
        <w:rPr>
          <w:rFonts w:ascii="Arial" w:cs="Arial" w:eastAsia="Arial" w:hAnsi="Arial"/>
          <w:sz w:val="20"/>
          <w:szCs w:val="20"/>
          <w:color w:val="auto"/>
          <w:vertAlign w:val="superscript"/>
        </w:rPr>
        <w:t>®</w:t>
      </w:r>
    </w:p>
    <w:p>
      <w:pPr>
        <w:spacing w:after="0" w:line="1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nanomaterial-based MRI contrast agent and our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ultrasound diagnostic devices for measuring certain medical conditions will be considered a drug and medical devices, respectively, under the Federal Food, Drug &amp; Cosmetic Act, or FDC Act. Drugs and some medical devices are subject to rigorous preclinical testing and other approval requirements by the Food and Drug Administration, or FDA, pursuant to the FDC Act, and regulations under the FDC Act, as well as by similar health authorities in foreign countries. Various federal statutes and regulations also govern or influence the testing, manufacturing, safety, labeling, packaging, advertising, storage, registration, listing and recordkeeping related to marketing of these products. The process of obtaining these clearances or approvals and the subsequent compliance with appropriate federal statutes and regulations require the expenditure of substantial resources, which we may not have or be able to obtain on favorable terms.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w:t>
      </w:r>
    </w:p>
    <w:p>
      <w:pPr>
        <w:spacing w:after="0" w:line="168" w:lineRule="exact"/>
        <w:rPr>
          <w:sz w:val="20"/>
          <w:szCs w:val="20"/>
          <w:color w:val="auto"/>
        </w:rPr>
      </w:pPr>
    </w:p>
    <w:p>
      <w:pPr>
        <w:ind w:right="420" w:firstLine="456"/>
        <w:spacing w:after="0" w:line="300" w:lineRule="auto"/>
        <w:rPr>
          <w:sz w:val="20"/>
          <w:szCs w:val="20"/>
          <w:color w:val="auto"/>
        </w:rPr>
      </w:pPr>
      <w:r>
        <w:rPr>
          <w:rFonts w:ascii="Arial" w:cs="Arial" w:eastAsia="Arial" w:hAnsi="Arial"/>
          <w:sz w:val="15"/>
          <w:szCs w:val="15"/>
          <w:color w:val="auto"/>
        </w:rPr>
        <w:t>In general, the FDA regulates the research, testing, manufacturing, safety, labeling, storage, record keeping, promotion, distribution and production of medical devices in the United States to ensure that medical products distributed domestically are safe and effective for their intended uses. In order for us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market our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 other products for clinical use in the United States, we generally must first obtain clearance from the FDA pursuant to Section 510(k) of</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Food, Drug, and Cosmetic Act, which has occurred in the case of the EDAC</w:t>
      </w:r>
      <w:r>
        <w:rPr>
          <w:rFonts w:ascii="Arial" w:cs="Arial" w:eastAsia="Arial" w:hAnsi="Arial"/>
          <w:sz w:val="21"/>
          <w:szCs w:val="21"/>
          <w:color w:val="auto"/>
          <w:vertAlign w:val="superscript"/>
        </w:rPr>
        <w:t>®</w:t>
      </w:r>
      <w:r>
        <w:rPr>
          <w:rFonts w:ascii="Arial" w:cs="Arial" w:eastAsia="Arial" w:hAnsi="Arial"/>
          <w:sz w:val="17"/>
          <w:szCs w:val="17"/>
          <w:color w:val="auto"/>
        </w:rPr>
        <w:t>. Clearance under Section 510(k) requires demonstration that a new device is substantially equivalent to another device with 510(k) clearance or grandfather status. If we significantly modify our products after they receive FDA clearance, the FDA may require us to submit a separate 510(k) or premarket approval application, or PMA, for the modified product 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FDA may not act favorably or quickly in its review of our 510(k) or PMA submissions, or we may encounter significant difficulties and costs in our efforts to obtain FDA clearance or approval, all of which could delay or preclude sale of new products for clinical use in the United States. Furthermore, the FDA may request</w:t>
      </w:r>
    </w:p>
    <w:p>
      <w:pPr>
        <w:sectPr>
          <w:pgSz w:w="11900" w:h="16838" w:orient="portrait"/>
          <w:cols w:equalWidth="0" w:num="1">
            <w:col w:w="11400"/>
          </w:cols>
          <w:pgMar w:left="240" w:top="459" w:right="25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280"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Complying with FDA regulations is an expensive and time-consuming process. Our failure to comply fully with such regulations could subject us to enforcement actions.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commercially distributed medical device products will be subject to numerous post-market regulatory requirements, including the following:</w:t>
      </w:r>
    </w:p>
    <w:p>
      <w:pPr>
        <w:spacing w:after="0" w:line="113" w:lineRule="exact"/>
        <w:rPr>
          <w:sz w:val="20"/>
          <w:szCs w:val="20"/>
          <w:color w:val="auto"/>
        </w:rPr>
      </w:pPr>
    </w:p>
    <w:p>
      <w:pPr>
        <w:ind w:left="900" w:right="4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FDC Act that may pose a risk to health; and</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also become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medical device manufacturing facilities are subject to periodic inspection by regulatory authorities and our operations will continue to be regulated by the FDA for compliance with Good Manufacturing Practice requirements 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medical product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w:t>
      </w:r>
    </w:p>
    <w:p>
      <w:pPr>
        <w:spacing w:after="0" w:line="12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medical products are subject to various international regulatory processes and approval requirements. If we do not obtain and maintain the necessary international regulatory approvals, we may not be able to market and sell our medical products in foreign countries.</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not yet received permission to affix the CE mark to our medical products. We do not know whether we will be able to obtain permission to affix the CE mark for new or modified products. If we are unable to obtain permission to affix the CE mark to our products, we will not be able to sell our products in member countries of the European Union.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subject to significant foreign and domestic government regulations, including environmental and health and safety regulations, and failure to comply with these regulations could harm our business.</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to incur potentially significant costs to comply with environmental regulations.</w:t>
      </w:r>
    </w:p>
    <w:p>
      <w:pPr>
        <w:sectPr>
          <w:pgSz w:w="11900" w:h="16838" w:orient="portrait"/>
          <w:cols w:equalWidth="0" w:num="1">
            <w:col w:w="11400"/>
          </w:cols>
          <w:pgMar w:left="240" w:top="459" w:right="259" w:bottom="238"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238"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 sold, and product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costly or result in production delays. We will continue to review the applicability and impact of both directives on the sale of our products within the European Union, and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 regulation could cause us to incur additional operating expenses, capital expenditures, or restrictions and delays in the development of our products and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development—such as the Trimetasphere ™ carbon nanomaterials products-because we cannot predict which of these products will ultimately reach the commercial market or whether the commercial versions of these products will incorporate proprietary technologies.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certain of our products—including our Trimetasphere™ carbon nanomaterials products-do not have foreign patent protection.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As in our litigation with Hansen Medical, Inc. described in Part II, Item 1, above, in any legal proceedings relating to intellectual property, we could incur substantial costs to bring suits in which we may assert our patent rights against others or defend ourselves in suits brought against us. An unfavorable outcome of any such litigation could have a material adverse effect on our business and results of operations.</w:t>
      </w:r>
    </w:p>
    <w:p>
      <w:pPr>
        <w:spacing w:after="0" w:line="12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routinely obtain confidentiality agreements and contractual provisions with our collaborators, employees, and consultants to protect our trade secrets and proprietary know-how. These agreements may be breached and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18"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development of our technologies and to achieve or maintain profitability.</w:t>
      </w:r>
    </w:p>
    <w:p>
      <w:pPr>
        <w:sectPr>
          <w:pgSz w:w="11900" w:h="16838" w:orient="portrait"/>
          <w:cols w:equalWidth="0" w:num="1">
            <w:col w:w="11420"/>
          </w:cols>
          <w:pgMar w:left="240" w:top="459" w:right="239" w:bottom="292"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292"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Luna and Luna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If third parties assert claims against us alleging that we infringe their patents or other intellectual property rights—including third parties that have asserted claims against businesses that we have acquired prior to our acquisition of these businesses—we could incur substantial costs and diversion of management resources in defending these claims, and the defense of these claims could have a material adverse effect on our business, financial condition, and results of operations.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 For example, we acquired a business that had received a letter in 2002 from a competitor alleging infringement of certain patents. The competitor sent an additional letter on January 14, 2004 to the business that we acquired, again alleging infringement of the competitor’s patents. Neither we nor the business that we acquired have received any further communications from this third party. We cannot currently predict whether this third party, or any other third party, will assert a claim against us, or whether any third parties that have asserted such claims against businesses that we have acquired will assert claims or pursue infringement litigation against us; nor can we predict the ultimate outcome of any such potential claims or litigation.</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 party licensees would comply with the use restrictions of such licenses. We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that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be successful in our efforts to retain title in patents, maintain ownership of intellectual property or in limiting the U.S. government’s rights in our proprietary technologies and intellectual property whether such intellectual property was developed in the performance of a federal funding agreement or developed at private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w:t>
      </w:r>
    </w:p>
    <w:p>
      <w:pPr>
        <w:spacing w:after="0" w:line="9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Before our initial public offering, there was no public market for our common stock, and in the future, an active public trading market may not be sustained. The public trading price for our common stock will continue to be affected by a number of factors, including:</w:t>
      </w:r>
    </w:p>
    <w:p>
      <w:pPr>
        <w:spacing w:after="0" w:line="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in earnings estimates, investors’ perceptions, recommendations by securities analysts or our failure to achieve analysts’ earnings estimates;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ectPr>
          <w:pgSz w:w="11900" w:h="16838" w:orient="portrait"/>
          <w:cols w:equalWidth="0" w:num="1">
            <w:col w:w="11400"/>
          </w:cols>
          <w:pgMar w:left="240" w:top="459" w:right="25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or our competitors’ results of operations or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new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involvement in, or resolution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to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lack of, limited or negative industry or security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our stock price could decline.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our existing stockholders sell a large number of shares of our common stock or the public market perceives that these sales may occur, the market price of our common stock could decline.</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of the date of our initial public offering, employees and former employees holding approximately 1.8 million shares of our common stock or options exercisable for our common stock had entered into an agreement to not sell more than 20.0% of such shares in any year during the five years following the effective date of our initial public offering, provided that if any shares subject to such annual limit are not sold in a given year then such shares may be sold in subsequent years. In addition, certain members of our management holding options exercisable for approximately 2.2 million shares of our common stock had entered into an agreement not to sell more than 15.0% of such shares in any year during the five years following the effective date of such initial public offering. On January 23, 2007, certain members of our management team entered into amended and restated stock sale restriction agreements whereby such officers agreed not to sell more than a fixed number of beneficially held shares of our common stock for a two year period ending December 31, 2008. On February 27, 2008, certain members of our management team entered into a second amended and restated stock sale restriction agreement whereby such officers agreed not to sell more than a fixed number of beneficially held shares of our common stock for a two year period ending December 31, 2010. As of March 31, 2008, such officers beneficially owned an aggregate of 3,485,746 shares of our common stock, including vested and unvested options to purchase common stock, which are subject to the sale restriction agreements. We have the right to waive any of these resale restrictions for employees and management at our discretion, and in such instance, the shares would become freely tradable.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 to period, which may reduce our stock price.</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Historically, our financial results have exhibited significant seasonality. For example, we typically have lower product and license revenue in the first half of the year and higher product revenue in the second half of the year. We expect such seasonality to continue. In addition, our financial results may fluctuate as a result of a number of factors, many of which are outside of our control, which may cause the market price of our common stock to fall.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in particular, the following risks:</w:t>
      </w:r>
    </w:p>
    <w:p>
      <w:pPr>
        <w:spacing w:after="0" w:line="35"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reduction of contract research funding;</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by government agencies, academic institutions or corporations not to exercise contract options or to modify, curtail or terminate our major contracts;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estimate or control contract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related to acquisitions, mergers or joint ventures;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one-time financial charges.</w:t>
      </w:r>
    </w:p>
    <w:p>
      <w:pPr>
        <w:spacing w:after="0" w:line="171"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our internal controls over financial reporting are found not to be effective or if we make disclosure of existing or potential significant deficiencies or material weaknesses in those controls, Investors could lose confidence in our financial reports, and our stock price may be adversely affected.</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Beginning with our Annual Report for the year ending December 31, 2007, 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 Additionally, our independent registered public accounting firm will be required to issue a report on management’s assessment of our internal control over financial reporting and a report on their evaluation of the operating effectiveness of our internal control over financial reporting beginning with our Annual Report for the year ending December 31, 2009.</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evaluate our existing internal control over financial reporting against the standards adopted by the Public Company Accounting Oversight Board, or PCAOB.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or our independent registered public accounting firm may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ectPr>
          <w:pgSz w:w="11900" w:h="16838" w:orient="portrait"/>
          <w:cols w:equalWidth="0" w:num="1">
            <w:col w:w="11420"/>
          </w:cols>
          <w:pgMar w:left="240" w:top="459" w:right="239" w:bottom="697"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697"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of June 30, 2008, our directors and management collectively controlled approximately 50% of our outstanding common stock.</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June 30, 2008, our directors and executive officers and their affiliates collectively controlled approximately 50% of our outstanding common stock. As a result, these stockholders, if they act together, will be able to influence our management and affairs and all matters requiring stockholder approval, including the election of directors and approval of significant corporate transactions. You and other stockholders will have minimal influence over these actions. This concentration of ownership may have the effect of delaying or preventing a change in control of our company and might adversely affect the market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and bylaws and Delaware law could discourage a takeover.</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enable our management to resist a takeover. These provisions include:</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Unregistered Sales of Equity Securities during the Three Months Ended June 30, 2008</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three months ended June 30, 2008, we issued warrants to purchase 10,000 shares of our common stock as a component of consideration for the amendment on May 21, 2008 of certain Senior Convertible Promissory Notes (“Notes”), dated December 30, 2005, issued by us and held by Carilion Clinic, formerly known as Carilion Health System (“Carilion”), as described in our Current Report on Form 8-K, filed on May 27, 2008. The amendment extended the maturity dates of the Notes from December 30, 2009 to December 31, 2012 and subordinated the indebtedness evidenced by the Notes to our indebtedness under the term loan and revolving line of credit we entered into and established with Silicon Valley Bank on May 21, 2008. These warrants are exercisable at $7.98 per share, the closing price of our common stock as reported on the NASDAQ Global Market on May 21, 2008, the date of issuance of the warrants, for the period beginning December 31, 2012 and continuing for five (5) years thereafter. These warrants were issued in reliance upon the exemption from registration provided in Section 4(2) of the Securities Act of 1933, as amended, and/or Regulation D promulgated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 from Sale of Registered Equity Securities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2, 2006, our Registration Statement on Form S-1, as amended (Reg. Nos. 333-131764) was declared effective in connection with the initial public offering of our common stock, pursuant to which we registered and directly sold an aggregate of 3,500,000 shares of our common stock at a price to the public of $6.00 per share. The offering closed on June 6, 2006, and, as a result, we received net proceeds of approximately $17.87 million (after underwriters’ discounts and commissions of approximately $1.47 million and additional offering-related costs of approximately $1.66 million). The managing underwriter of the offering was ThinkEquity Partners LLC. No payments for such expenses were made directly or indirectly to (i) any of our officers or directors or their associates, (ii) any persons owning 10% or more of any class of our equity securities, or (iii) any of our affiliates.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using, or expect to use, the net proceeds of the offering principally to fund further development and expansion of our products and product candidates, in particular our nanomaterial and ultrasound-related medical product candidates, and for general working capital purposes. We may also use a portion of the net proceeds for the acquisition of, or investment in, companies, technologies, products or assets that complement our business. We have no present commitments or binding agreements to enter into any acquisitions or investments. Pending these uses, we intend to continue to invest the net proceeds of our initial public offering in short-term, investment-grade interest-bearing securities or guaranteed obligations of the U.S. government.</w:t>
      </w:r>
    </w:p>
    <w:p>
      <w:pPr>
        <w:spacing w:after="0" w:line="116" w:lineRule="exact"/>
        <w:rPr>
          <w:sz w:val="20"/>
          <w:szCs w:val="20"/>
          <w:color w:val="auto"/>
        </w:rPr>
      </w:pPr>
    </w:p>
    <w:p>
      <w:pPr>
        <w:ind w:left="460" w:right="6240" w:hanging="452"/>
        <w:spacing w:after="0" w:line="362" w:lineRule="auto"/>
        <w:tabs>
          <w:tab w:leader="none" w:pos="242"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15, 2008, we held our 2008 annual meeting of stockholders. At the meeting the following actions were voted upon:</w:t>
      </w:r>
    </w:p>
    <w:p>
      <w:pPr>
        <w:spacing w:after="0" w:line="90" w:lineRule="exact"/>
        <w:rPr>
          <w:sz w:val="20"/>
          <w:szCs w:val="20"/>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the following three individuals as Class II directors to serve a three-year term expiring at the 2011 annual meeting of stockholders or until their respective successors have been elected and qualified: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3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5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Votes Withheld</w:t>
            </w:r>
          </w:p>
        </w:tc>
      </w:tr>
      <w:tr>
        <w:trPr>
          <w:trHeight w:val="201"/>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N. Leigh Anderson</w:t>
            </w:r>
          </w:p>
        </w:tc>
        <w:tc>
          <w:tcPr>
            <w:tcW w:w="304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7"/>
              </w:rPr>
              <w:t>9,593,599</w:t>
            </w:r>
          </w:p>
        </w:tc>
        <w:tc>
          <w:tcPr>
            <w:tcW w:w="5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71,038</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Bobbie Kilberg</w:t>
            </w:r>
          </w:p>
        </w:tc>
        <w:tc>
          <w:tcPr>
            <w:tcW w:w="4300" w:type="dxa"/>
            <w:vAlign w:val="bottom"/>
            <w:gridSpan w:val="3"/>
          </w:tcPr>
          <w:p>
            <w:pPr>
              <w:jc w:val="center"/>
              <w:ind w:left="2392"/>
              <w:spacing w:after="0"/>
              <w:rPr>
                <w:sz w:val="20"/>
                <w:szCs w:val="20"/>
                <w:color w:val="auto"/>
              </w:rPr>
            </w:pPr>
            <w:r>
              <w:rPr>
                <w:rFonts w:ascii="Arial" w:cs="Arial" w:eastAsia="Arial" w:hAnsi="Arial"/>
                <w:sz w:val="18"/>
                <w:szCs w:val="18"/>
                <w:color w:val="auto"/>
                <w:w w:val="87"/>
              </w:rPr>
              <w:t>9,591,934</w:t>
            </w:r>
          </w:p>
        </w:tc>
        <w:tc>
          <w:tcPr>
            <w:tcW w:w="880" w:type="dxa"/>
            <w:vAlign w:val="bottom"/>
          </w:tcPr>
          <w:p>
            <w:pPr>
              <w:jc w:val="right"/>
              <w:spacing w:after="0"/>
              <w:rPr>
                <w:sz w:val="20"/>
                <w:szCs w:val="20"/>
                <w:color w:val="auto"/>
              </w:rPr>
            </w:pPr>
            <w:r>
              <w:rPr>
                <w:rFonts w:ascii="Arial" w:cs="Arial" w:eastAsia="Arial" w:hAnsi="Arial"/>
                <w:sz w:val="18"/>
                <w:szCs w:val="18"/>
                <w:color w:val="auto"/>
              </w:rPr>
              <w:t>72,703</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Michael Daniels</w:t>
            </w:r>
          </w:p>
        </w:tc>
        <w:tc>
          <w:tcPr>
            <w:tcW w:w="4300" w:type="dxa"/>
            <w:vAlign w:val="bottom"/>
            <w:gridSpan w:val="3"/>
          </w:tcPr>
          <w:p>
            <w:pPr>
              <w:jc w:val="center"/>
              <w:ind w:left="2392"/>
              <w:spacing w:after="0"/>
              <w:rPr>
                <w:sz w:val="20"/>
                <w:szCs w:val="20"/>
                <w:color w:val="auto"/>
              </w:rPr>
            </w:pPr>
            <w:r>
              <w:rPr>
                <w:rFonts w:ascii="Arial" w:cs="Arial" w:eastAsia="Arial" w:hAnsi="Arial"/>
                <w:sz w:val="18"/>
                <w:szCs w:val="18"/>
                <w:color w:val="auto"/>
                <w:w w:val="87"/>
              </w:rPr>
              <w:t>9,593,599</w:t>
            </w:r>
          </w:p>
        </w:tc>
        <w:tc>
          <w:tcPr>
            <w:tcW w:w="880" w:type="dxa"/>
            <w:vAlign w:val="bottom"/>
          </w:tcPr>
          <w:p>
            <w:pPr>
              <w:jc w:val="right"/>
              <w:spacing w:after="0"/>
              <w:rPr>
                <w:sz w:val="20"/>
                <w:szCs w:val="20"/>
                <w:color w:val="auto"/>
              </w:rPr>
            </w:pPr>
            <w:r>
              <w:rPr>
                <w:rFonts w:ascii="Arial" w:cs="Arial" w:eastAsia="Arial" w:hAnsi="Arial"/>
                <w:sz w:val="18"/>
                <w:szCs w:val="18"/>
                <w:color w:val="auto"/>
              </w:rPr>
              <w:t>71,038</w:t>
            </w:r>
          </w:p>
        </w:tc>
      </w:tr>
    </w:tbl>
    <w:p>
      <w:pPr>
        <w:spacing w:after="0" w:line="142" w:lineRule="exact"/>
        <w:rPr>
          <w:sz w:val="20"/>
          <w:szCs w:val="20"/>
          <w:color w:val="auto"/>
        </w:rPr>
      </w:pPr>
    </w:p>
    <w:p>
      <w:pPr>
        <w:sectPr>
          <w:pgSz w:w="11900" w:h="16838" w:orient="portrait"/>
          <w:cols w:equalWidth="0" w:num="1">
            <w:col w:w="11420"/>
          </w:cols>
          <w:pgMar w:left="240" w:top="459" w:right="239" w:bottom="913" w:gutter="0" w:footer="0" w:header="0"/>
        </w:sect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913"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directors’ terms of office continued after our 2008 annual meeting of stockholders: Kent A. Murphy, Ph.D., Edward G. Murphy, M.D., John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Backus, and Richard W. Roedel.</w:t>
      </w:r>
    </w:p>
    <w:p>
      <w:pPr>
        <w:spacing w:after="0" w:line="84" w:lineRule="exact"/>
        <w:rPr>
          <w:sz w:val="20"/>
          <w:szCs w:val="20"/>
          <w:color w:val="auto"/>
        </w:rPr>
      </w:pPr>
    </w:p>
    <w:p>
      <w:pPr>
        <w:ind w:left="900" w:right="4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Ratification of the appointment of Grant Thornton, LLP as our independent registered public accounting firm for the year ending December 31, 2008.</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Votes Against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Abstained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6"/>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2"/>
              </w:rPr>
              <w:t>9,594,281</w:t>
            </w:r>
          </w:p>
        </w:tc>
        <w:tc>
          <w:tcPr>
            <w:tcW w:w="52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35,612</w:t>
            </w:r>
          </w:p>
        </w:tc>
        <w:tc>
          <w:tcPr>
            <w:tcW w:w="6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34,743</w:t>
            </w:r>
          </w:p>
        </w:tc>
        <w:tc>
          <w:tcPr>
            <w:tcW w:w="6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None</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5, 2008, the Compensation Committee of our Board of Directors approved our written Luna Innovations Incorporated Senior Management Incentive Compensation Plan, or 2008 Bonus Plan. Under the terms of the 2008 Bonus Plan, named executive officers are eligible for annual bonus payments based upon the achievement of specified objectives. Depending upon actual performance versus objectives, participants could receive between zero and 150% of their individual target bonus percentage. Eligibility is triggered only if 95% of our consolidated net income target is met. After this trigger is achieved, a bonus is awarded for each financial component if at least 95% of target for the respective component is achieved. The awards are calculated based upon the participant’s overall target with component weights, as follows: 35% based on the achievement of the budgeted 2008 net income budget target, 25% on the achievement of 2008, net budgeted revenue target, 25% on the achievement of the 2008 budgeted cash usage target and 15% on individual qualitative goals being met. It is anticipated that 2008 bonuses will be paid, if earned, in a combination of cash and stock or, under certain circumstances, entirely in stock. In addition, participants may elect to receive stock in lieu of cash payments due.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2008 Bonus Plan is filed with this report as Exhibit 10.2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Exhibit Index hereto are filed, furnished or incorporated by reference (as stated therein) as part of this Quarterly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Luna Innovations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25"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Dale E. Messick</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and duly authorized Officer)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732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 (1)</w:t>
      </w:r>
      <w:r>
        <w:rPr>
          <w:sz w:val="20"/>
          <w:szCs w:val="20"/>
          <w:color w:val="auto"/>
        </w:rPr>
        <w:tab/>
      </w:r>
      <w:r>
        <w:rPr>
          <w:rFonts w:ascii="Arial" w:cs="Arial" w:eastAsia="Arial" w:hAnsi="Arial"/>
          <w:sz w:val="16"/>
          <w:szCs w:val="16"/>
          <w:color w:val="auto"/>
        </w:rPr>
        <w:t>Amended and Restated Certificate of Incorporation of the Registrant. (Exhibit 3.2)</w:t>
      </w:r>
    </w:p>
    <w:p>
      <w:pPr>
        <w:spacing w:after="0" w:line="10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 (2)</w:t>
      </w:r>
      <w:r>
        <w:rPr>
          <w:sz w:val="20"/>
          <w:szCs w:val="20"/>
          <w:color w:val="auto"/>
        </w:rPr>
        <w:tab/>
      </w:r>
      <w:r>
        <w:rPr>
          <w:rFonts w:ascii="Arial" w:cs="Arial" w:eastAsia="Arial" w:hAnsi="Arial"/>
          <w:sz w:val="16"/>
          <w:szCs w:val="16"/>
          <w:color w:val="auto"/>
        </w:rPr>
        <w:t>Amended and Restated Bylaws of the Registrant. (Exhibit 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Subordination Agreement, Amendments to Senior Promissory Notes, and Warrant to Purchase Common Stock (Exhibit 99.1)</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Loan and Security Agreement between Silicon Valley Bank and Luna Innovations Incorporated. (Exhibit 99.1)</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5"/>
          <w:szCs w:val="15"/>
          <w:color w:val="auto"/>
        </w:rPr>
        <w:t>Senior Management Bonus Plan</w:t>
      </w:r>
    </w:p>
    <w:p>
      <w:pPr>
        <w:spacing w:after="0" w:line="117" w:lineRule="exact"/>
        <w:rPr>
          <w:sz w:val="20"/>
          <w:szCs w:val="20"/>
          <w:color w:val="auto"/>
        </w:rPr>
      </w:pPr>
    </w:p>
    <w:p>
      <w:pPr>
        <w:ind w:left="820" w:right="540" w:hanging="809"/>
        <w:spacing w:after="0" w:line="268"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 and Rule 15d-14(a) of the Securities Exchange Act of 1934, as adopted pursuant to Section 302 of the Sarbanes-Oxley Act of 2002.</w:t>
      </w:r>
    </w:p>
    <w:p>
      <w:pPr>
        <w:spacing w:after="0" w:line="78" w:lineRule="exact"/>
        <w:rPr>
          <w:sz w:val="20"/>
          <w:szCs w:val="20"/>
          <w:color w:val="auto"/>
        </w:rPr>
      </w:pPr>
    </w:p>
    <w:p>
      <w:pPr>
        <w:ind w:left="820" w:right="580" w:hanging="809"/>
        <w:spacing w:after="0" w:line="268"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Rule 13a-14(a) and Rule 15d-14(a) of the Securities Exchange Act of 1934, as adopted pursuant to Section 302 of the Sarbanes-Oxley Act of 2002.</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right="30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June 2, 2006 (file No. 000-52008). The number given in parentheses indicates the corresponding exhibit number in such Form 8-K.</w:t>
      </w:r>
    </w:p>
    <w:p>
      <w:pPr>
        <w:ind w:left="460" w:right="2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Registration Statement on Form S-1, as amended, dated June 2, 2006 (file No. 333-131764). The number given in parentheses indicates the corresponding exhibit number in such Form S-1.</w:t>
      </w:r>
    </w:p>
    <w:p>
      <w:pPr>
        <w:ind w:left="460" w:right="2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May 27, 2008 (file No. 000-52008). The number given in parentheses indicates the corresponding exhibit number in such Form 8-K.</w:t>
      </w:r>
    </w:p>
    <w:p>
      <w:pPr>
        <w:ind w:left="460" w:right="2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May 23, 2008 (file No. 000-52008). The number given in parentheses indicates the corresponding exhibit number in such Form 8-K.</w:t>
      </w:r>
    </w:p>
    <w:p>
      <w:pPr>
        <w:spacing w:after="0" w:line="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ectPr>
          <w:pgSz w:w="11900" w:h="16838" w:orient="portrait"/>
          <w:cols w:equalWidth="0" w:num="1">
            <w:col w:w="11400"/>
          </w:cols>
          <w:pgMar w:left="240" w:top="459" w:right="259" w:bottom="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0" w:gutter="0" w:footer="0" w:header="0"/>
          <w:type w:val="continuous"/>
        </w:sectPr>
      </w:pPr>
    </w:p>
    <w:bookmarkStart w:id="32" w:name="page33"/>
    <w:bookmarkEnd w:id="32"/>
    <w:p>
      <w:pPr>
        <w:ind w:left="105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CONFIDENTIAL TREATMENT REQUESTED: Certain portions of this document have been omitted pursuant to a request for confidential treatment and, where applicable, have been marked with an asterisk (“[****]”) to denote where omissions have been made. The confidential material has been filed separately with the Securities and Exchange Commission.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UNA</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NNOVATIONS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2008</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Every member of the Senior Management team shares in Luna’s vision to bring together the best ideas and people, to be a leading technology development and commercialization company, solving important problems that benefit the world. Through collaboration and hard work, the Senior Management Team ensures Luna Innovations continues its forward progress to the next level. Every member plays a significant part in Luna’s on-going technological advances and financial success. In recognition of the impact the Senior Management team has on the achievement of the fiscal year business plan, the Board of Directors has approved the Senior Management Incentive Compensation Plan for 2008.</w:t>
      </w:r>
    </w:p>
    <w:p>
      <w:pPr>
        <w:spacing w:after="0" w:line="1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Eligibility – Chairman &amp; CEO, Chief Financial Officer, VP Human Resources, President Technology Development Division, Chief Commercialization Officer, Chief Technology Officer, VP &amp; General Counsel, President Products Division, and President nanoWorks Division, and others as may be added from time to time with prior approval of the CEO and Compensation Committee, as appropriate.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2008 plan is structured as a percentage of each participant’s annual salary on 12/31/2008 and is triggered only if 95% of the consolidated net income target is met. After the trigger is achieved, a payment is awarded for each financial component if at least 95% of target (revenue and net income budgets, and budgeted cash usage) is achieved. The awards earned are calculated based upon the participant’s overall target with component weights as follows: 35% based on the achievement of the 2008 net income budget target, 25% is based the achievement of 2008 budget revenue target, 25% on cash usage, and finally 15% is based on the Senior Management team members individual performance. The 2008 financial performance targets can be found on Attachment A. The overall target percentage award for each plan participant is listed on Attachment C.</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Bonuses earned under this plan will be paid annually following the completion of the independent audit of the company’s financial statements. Payment of amounts earned may be made in cash or in common stock of the Company. Amounts to be paid in common stock will be determined by the achievement of Budgeted Cash Usage and paid according to Attachment B. Achievement of Target or below as listed on Attachment A, payment to plan participants will be in all stock. For the achievement of $[****] cash as of December 31, 2008, after giving pro-forma recognition of amounts to be paid in cash under this plan, the plan participant may choose to receive up to 50% in cash. For the achievement of $[****] cash as of December 31, 2008, after giving pro-forma recognition of amounts to be paid in cash under this plan, the plan participant may chose 100% in cash. Other payment scenarios are indicated on Attachment B. At their option, plan participants may elect stock in lieu of eligible cash payments. Stock price will be valued at the date amounts earned are approved by the compensation committee, which shall be within seven days of the Audit Opinion Date and, for shares elected to be received in lieu of eligible cash payments will be converted at a 1.05x multiplier. Amounts required to be paid in stock based upon the terms of this plan will be determined without such 1.05x multiplier.</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that the company [****] then the impacts of such [****] on the company’s consolidated financial statements shall be excluded for purposes of measuring performance against the related target metrics. Furthermore, to the extent that such [****], then such [****] shall also be excluded. [***] may be subject to review by the Compensation Committee of the Board of Directors.</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It is important to note that this is just one piece of Luna’s Senior Management compensation plan. Luna also provides competitive salaries to attract, retain and motivate key executive talent. In addition, our performance-based stock options program is designed to focus the Senior Management Team on Luna’s long term growth.</w:t>
      </w:r>
    </w:p>
    <w:p>
      <w:pPr>
        <w:sectPr>
          <w:pgSz w:w="11900" w:h="16838" w:orient="portrait"/>
          <w:cols w:equalWidth="0" w:num="1">
            <w:col w:w="11420"/>
          </w:cols>
          <w:pgMar w:left="240" w:top="125" w:right="239" w:bottom="1440" w:gutter="0" w:footer="0" w:header="0"/>
        </w:sectPr>
      </w:pPr>
    </w:p>
    <w:bookmarkStart w:id="33" w:name="page34"/>
    <w:bookmarkEnd w:id="33"/>
    <w:p>
      <w:pPr>
        <w:jc w:val="center"/>
        <w:ind w:right="-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2008 Incentive Plan Award Formula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formula is based on the achievement or exceeding the budgeted net income budgeted revenue targets, and budgeted cash for 2008.</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w w:val="90"/>
              </w:rPr>
              <w:t>Company Budgeted Net</w:t>
            </w:r>
          </w:p>
        </w:tc>
        <w:tc>
          <w:tcPr>
            <w:tcW w:w="6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Income Versus Actual</w:t>
            </w:r>
          </w:p>
        </w:tc>
        <w:tc>
          <w:tcPr>
            <w:tcW w:w="6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6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Proposed Award Payout</w:t>
            </w:r>
          </w:p>
        </w:tc>
        <w:tc>
          <w:tcPr>
            <w:tcW w:w="0" w:type="dxa"/>
            <w:vAlign w:val="bottom"/>
          </w:tcPr>
          <w:p>
            <w:pPr>
              <w:spacing w:after="0"/>
              <w:rPr>
                <w:sz w:val="1"/>
                <w:szCs w:val="1"/>
                <w:color w:val="auto"/>
              </w:rPr>
            </w:pPr>
          </w:p>
        </w:tc>
      </w:tr>
      <w:tr>
        <w:trPr>
          <w:trHeight w:val="168"/>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(Percent of Budgeted)</w:t>
            </w:r>
          </w:p>
        </w:tc>
        <w:tc>
          <w:tcPr>
            <w:tcW w:w="662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(Percent of Target Award)</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150%</w:t>
            </w: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Target-($[****])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0" w:type="dxa"/>
            <w:vAlign w:val="bottom"/>
          </w:tcPr>
          <w:p>
            <w:pPr>
              <w:spacing w:after="0"/>
              <w:rPr>
                <w:sz w:val="1"/>
                <w:szCs w:val="1"/>
                <w:color w:val="auto"/>
              </w:rPr>
            </w:pPr>
          </w:p>
        </w:tc>
      </w:tr>
      <w:tr>
        <w:trPr>
          <w:trHeight w:val="222"/>
        </w:trPr>
        <w:tc>
          <w:tcPr>
            <w:tcW w:w="1340" w:type="dxa"/>
            <w:vAlign w:val="bottom"/>
          </w:tcPr>
          <w:p>
            <w:pPr>
              <w:ind w:left="7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346"/>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Company Budgeted</w:t>
            </w:r>
          </w:p>
        </w:tc>
        <w:tc>
          <w:tcPr>
            <w:tcW w:w="6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Revenue Versus</w:t>
            </w:r>
          </w:p>
        </w:tc>
        <w:tc>
          <w:tcPr>
            <w:tcW w:w="66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Proposed Award Payout</w:t>
            </w: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Actual Net Revenue</w:t>
            </w:r>
          </w:p>
        </w:tc>
        <w:tc>
          <w:tcPr>
            <w:tcW w:w="66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rPr>
              <w:t>(Percent of Target</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 of Budgeted)</w:t>
            </w:r>
          </w:p>
        </w:tc>
        <w:tc>
          <w:tcPr>
            <w:tcW w:w="1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150%</w:t>
            </w: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Target-$[****]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0" w:type="dxa"/>
            <w:vAlign w:val="bottom"/>
          </w:tcPr>
          <w:p>
            <w:pPr>
              <w:spacing w:after="0"/>
              <w:rPr>
                <w:sz w:val="1"/>
                <w:szCs w:val="1"/>
                <w:color w:val="auto"/>
              </w:rPr>
            </w:pPr>
          </w:p>
        </w:tc>
      </w:tr>
      <w:tr>
        <w:trPr>
          <w:trHeight w:val="222"/>
        </w:trPr>
        <w:tc>
          <w:tcPr>
            <w:tcW w:w="1340" w:type="dxa"/>
            <w:vAlign w:val="bottom"/>
          </w:tcPr>
          <w:p>
            <w:pPr>
              <w:ind w:left="7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346"/>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Budgeted Cash Usage</w:t>
            </w:r>
          </w:p>
        </w:tc>
        <w:tc>
          <w:tcPr>
            <w:tcW w:w="66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w w:val="91"/>
              </w:rPr>
              <w:t>Proposed Award Payout</w:t>
            </w:r>
          </w:p>
        </w:tc>
        <w:tc>
          <w:tcPr>
            <w:tcW w:w="0" w:type="dxa"/>
            <w:vAlign w:val="bottom"/>
          </w:tcPr>
          <w:p>
            <w:pPr>
              <w:spacing w:after="0"/>
              <w:rPr>
                <w:sz w:val="1"/>
                <w:szCs w:val="1"/>
                <w:color w:val="auto"/>
              </w:rPr>
            </w:pPr>
          </w:p>
        </w:tc>
      </w:tr>
      <w:tr>
        <w:trPr>
          <w:trHeight w:val="135"/>
        </w:trPr>
        <w:tc>
          <w:tcPr>
            <w:tcW w:w="1460" w:type="dxa"/>
            <w:vAlign w:val="bottom"/>
            <w:gridSpan w:val="2"/>
            <w:vMerge w:val="continue"/>
          </w:tcPr>
          <w:p>
            <w:pPr>
              <w:spacing w:after="0"/>
              <w:rPr>
                <w:sz w:val="11"/>
                <w:szCs w:val="11"/>
                <w:color w:val="auto"/>
              </w:rPr>
            </w:pPr>
          </w:p>
        </w:tc>
        <w:tc>
          <w:tcPr>
            <w:tcW w:w="6620" w:type="dxa"/>
            <w:vAlign w:val="bottom"/>
          </w:tcPr>
          <w:p>
            <w:pPr>
              <w:spacing w:after="0"/>
              <w:rPr>
                <w:sz w:val="11"/>
                <w:szCs w:val="11"/>
                <w:color w:val="auto"/>
              </w:rPr>
            </w:pPr>
          </w:p>
        </w:tc>
        <w:tc>
          <w:tcPr>
            <w:tcW w:w="1500" w:type="dxa"/>
            <w:vAlign w:val="bottom"/>
          </w:tcPr>
          <w:p>
            <w:pPr>
              <w:spacing w:after="0" w:line="135" w:lineRule="exact"/>
              <w:rPr>
                <w:sz w:val="20"/>
                <w:szCs w:val="20"/>
                <w:color w:val="auto"/>
              </w:rPr>
            </w:pPr>
            <w:r>
              <w:rPr>
                <w:rFonts w:ascii="Arial" w:cs="Arial" w:eastAsia="Arial" w:hAnsi="Arial"/>
                <w:sz w:val="14"/>
                <w:szCs w:val="14"/>
                <w:b w:val="1"/>
                <w:bCs w:val="1"/>
                <w:color w:val="auto"/>
              </w:rPr>
              <w:t>(Percent of Target</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 Achieved)</w:t>
            </w:r>
          </w:p>
        </w:tc>
        <w:tc>
          <w:tcPr>
            <w:tcW w:w="1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150%</w:t>
            </w: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216"/>
        </w:trPr>
        <w:tc>
          <w:tcPr>
            <w:tcW w:w="1340" w:type="dxa"/>
            <w:vAlign w:val="bottom"/>
          </w:tcPr>
          <w:p>
            <w:pPr>
              <w:ind w:left="7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Target-$[****]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0" w:type="dxa"/>
            <w:vAlign w:val="bottom"/>
          </w:tcPr>
          <w:p>
            <w:pPr>
              <w:spacing w:after="0"/>
              <w:rPr>
                <w:sz w:val="1"/>
                <w:szCs w:val="1"/>
                <w:color w:val="auto"/>
              </w:rPr>
            </w:pPr>
          </w:p>
        </w:tc>
      </w:tr>
      <w:tr>
        <w:trPr>
          <w:trHeight w:val="222"/>
        </w:trPr>
        <w:tc>
          <w:tcPr>
            <w:tcW w:w="1340" w:type="dxa"/>
            <w:vAlign w:val="bottom"/>
          </w:tcPr>
          <w:p>
            <w:pPr>
              <w:ind w:left="7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bl>
    <w:p>
      <w:pPr>
        <w:sectPr>
          <w:pgSz w:w="11900" w:h="16838" w:orient="portrait"/>
          <w:cols w:equalWidth="0" w:num="1">
            <w:col w:w="10500"/>
          </w:cols>
          <w:pgMar w:left="240" w:top="274" w:right="11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 Award Stock vs Cash Payout Formula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3"/>
          </w:tcPr>
          <w:p>
            <w:pPr>
              <w:spacing w:after="0"/>
              <w:rPr>
                <w:sz w:val="20"/>
                <w:szCs w:val="20"/>
                <w:color w:val="auto"/>
              </w:rPr>
            </w:pPr>
            <w:r>
              <w:rPr>
                <w:rFonts w:ascii="Arial" w:cs="Arial" w:eastAsia="Arial" w:hAnsi="Arial"/>
                <w:sz w:val="14"/>
                <w:szCs w:val="14"/>
                <w:b w:val="1"/>
                <w:bCs w:val="1"/>
                <w:color w:val="auto"/>
              </w:rPr>
              <w:t>Budgeted Cash Usage</w:t>
            </w: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Award Payout</w:t>
            </w:r>
          </w:p>
        </w:tc>
        <w:tc>
          <w:tcPr>
            <w:tcW w:w="0" w:type="dxa"/>
            <w:vAlign w:val="bottom"/>
          </w:tcPr>
          <w:p>
            <w:pPr>
              <w:spacing w:after="0"/>
              <w:rPr>
                <w:sz w:val="1"/>
                <w:szCs w:val="1"/>
                <w:color w:val="auto"/>
              </w:rPr>
            </w:pPr>
          </w:p>
        </w:tc>
      </w:tr>
      <w:tr>
        <w:trPr>
          <w:trHeight w:val="142"/>
        </w:trPr>
        <w:tc>
          <w:tcPr>
            <w:tcW w:w="9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(Achieved-After Plan Payments)</w:t>
            </w:r>
          </w:p>
        </w:tc>
        <w:tc>
          <w:tcPr>
            <w:tcW w:w="10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CASH</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7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70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7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7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70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7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Target-$[****] or Below</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Kent A. Murphy, certify that:</w:t>
      </w:r>
    </w:p>
    <w:p>
      <w:pPr>
        <w:spacing w:after="0" w:line="90" w:lineRule="exact"/>
        <w:rPr>
          <w:sz w:val="20"/>
          <w:szCs w:val="20"/>
          <w:color w:val="auto"/>
        </w:rPr>
      </w:pPr>
    </w:p>
    <w:p>
      <w:pPr>
        <w:ind w:left="640" w:hanging="176"/>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Kent A. Murphy, Ph.D.</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640" w:hanging="176"/>
        <w:spacing w:after="0"/>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period ending June 30, 2008 as filed with the Securities and Exchange Commission on the date hereof (the “Report”), I, Kent A. Murphy, Chief Executive Officer of the Company, certify, pursuant to 18 U.S.C. § 1350, as adopted pursuant to § 906 of the Sarbanes-Oxley Act of 2002, that to my knowledge:</w:t>
      </w:r>
    </w:p>
    <w:p>
      <w:pPr>
        <w:spacing w:after="0" w:line="59" w:lineRule="exact"/>
        <w:rPr>
          <w:sz w:val="20"/>
          <w:szCs w:val="20"/>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Kent A. Murphy, Ph.D.</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7, 2008</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Luna Innovations Incorporated (the “Company”) on Form 10-Q for the period ending June 30, 2008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59"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E. M</w:t>
      </w:r>
      <w:r>
        <w:rPr>
          <w:rFonts w:ascii="Arial" w:cs="Arial" w:eastAsia="Arial" w:hAnsi="Arial"/>
          <w:sz w:val="14"/>
          <w:szCs w:val="14"/>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Dale E. Messick</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7,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lvl w:ilvl="1">
      <w:lvlJc w:val="left"/>
      <w:lvlText w:val="%2."/>
      <w:numFmt w:val="decimal"/>
      <w:start w:val="1"/>
    </w:lvl>
  </w:abstractNum>
  <w:abstractNum w:abstractNumId="23">
    <w:nsid w:val="54E49EB4"/>
    <w:multiLevelType w:val="hybridMultilevel"/>
    <w:lvl w:ilvl="0">
      <w:lvlJc w:val="left"/>
      <w:lvlText w:val="%1."/>
      <w:numFmt w:val="lowerLetter"/>
      <w:start w:val="1"/>
    </w:lvl>
    <w:lvl w:ilvl="1">
      <w:lvlJc w:val="left"/>
      <w:lvlText w:val="%2."/>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lvl w:ilvl="1">
      <w:lvlJc w:val="left"/>
      <w:lvlText w:val="%2."/>
      <w:numFmt w:val="decimal"/>
      <w:start w:val="1"/>
    </w:lvl>
  </w:abstractNum>
  <w:abstractNum w:abstractNumId="26">
    <w:nsid w:val="836C40E"/>
    <w:multiLevelType w:val="hybridMultilevel"/>
    <w:lvl w:ilvl="0">
      <w:lvlJc w:val="left"/>
      <w:lvlText w:val="%1."/>
      <w:numFmt w:val="lowerLetter"/>
      <w:start w:val="1"/>
    </w:lvl>
    <w:lvl w:ilvl="1">
      <w:lvlJc w:val="left"/>
      <w:lvlText w:val="%2."/>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2019-12-15T07:56:29Z</dcterms:created>
  <dcterms:modified xsi:type="dcterms:W3CDTF">2019-12-15T07:56:29Z</dcterms:modified>
</cp:coreProperties>
</file>