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9"/>
        <w:spacing w:after="0"/>
        <w:rPr>
          <w:sz w:val="20"/>
          <w:szCs w:val="20"/>
          <w:color w:val="auto"/>
        </w:rPr>
      </w:pPr>
      <w:r>
        <w:rPr>
          <w:rFonts w:ascii="Arial" w:cs="Arial" w:eastAsia="Arial" w:hAnsi="Arial"/>
          <w:sz w:val="27"/>
          <w:szCs w:val="27"/>
          <w:b w:val="1"/>
          <w:bCs w:val="1"/>
          <w:color w:val="auto"/>
        </w:rPr>
        <w:drawing>
          <wp:anchor simplePos="0" relativeHeight="251657728" behindDoc="1" locked="0" layoutInCell="0" allowOverlap="1">
            <wp:simplePos x="0" y="0"/>
            <wp:positionH relativeFrom="page">
              <wp:posOffset>159385</wp:posOffset>
            </wp:positionH>
            <wp:positionV relativeFrom="page">
              <wp:posOffset>539750</wp:posOffset>
            </wp:positionV>
            <wp:extent cx="7249795" cy="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49795" cy="6985"/>
                    </a:xfrm>
                    <a:prstGeom prst="rect">
                      <a:avLst/>
                    </a:prstGeom>
                    <a:noFill/>
                  </pic:spPr>
                </pic:pic>
              </a:graphicData>
            </a:graphic>
          </wp:anchor>
        </w:drawing>
        <w:t>UNITED STATES</w:t>
      </w:r>
    </w:p>
    <w:p>
      <w:pPr>
        <w:spacing w:after="0" w:line="67" w:lineRule="exact"/>
        <w:rPr>
          <w:sz w:val="24"/>
          <w:szCs w:val="24"/>
          <w:color w:val="auto"/>
        </w:rPr>
      </w:pPr>
    </w:p>
    <w:p>
      <w:pPr>
        <w:jc w:val="center"/>
        <w:ind w:right="-19"/>
        <w:spacing w:after="0"/>
        <w:rPr>
          <w:sz w:val="20"/>
          <w:szCs w:val="20"/>
          <w:color w:val="auto"/>
        </w:rPr>
      </w:pPr>
      <w:r>
        <w:rPr>
          <w:rFonts w:ascii="Arial" w:cs="Arial" w:eastAsia="Arial" w:hAnsi="Arial"/>
          <w:sz w:val="27"/>
          <w:szCs w:val="27"/>
          <w:b w:val="1"/>
          <w:bCs w:val="1"/>
          <w:color w:val="auto"/>
        </w:rPr>
        <w:t>SECURITIES AND EXCHANGE COMMISSION</w:t>
      </w:r>
    </w:p>
    <w:p>
      <w:pPr>
        <w:spacing w:after="0" w:line="67" w:lineRule="exact"/>
        <w:rPr>
          <w:sz w:val="24"/>
          <w:szCs w:val="24"/>
          <w:color w:val="auto"/>
        </w:rPr>
      </w:pPr>
    </w:p>
    <w:p>
      <w:pPr>
        <w:jc w:val="center"/>
        <w:ind w:right="-19"/>
        <w:spacing w:after="0"/>
        <w:rPr>
          <w:sz w:val="20"/>
          <w:szCs w:val="20"/>
          <w:color w:val="auto"/>
        </w:rPr>
      </w:pPr>
      <w:r>
        <w:rPr>
          <w:rFonts w:ascii="Arial" w:cs="Arial" w:eastAsia="Arial" w:hAnsi="Arial"/>
          <w:sz w:val="18"/>
          <w:szCs w:val="18"/>
          <w:b w:val="1"/>
          <w:bCs w:val="1"/>
          <w:color w:val="auto"/>
        </w:rPr>
        <w:t>Washington, DC 20549</w:t>
      </w:r>
    </w:p>
    <w:p>
      <w:pPr>
        <w:spacing w:after="0" w:line="237" w:lineRule="exact"/>
        <w:rPr>
          <w:sz w:val="24"/>
          <w:szCs w:val="24"/>
          <w:color w:val="auto"/>
        </w:rPr>
      </w:pPr>
    </w:p>
    <w:p>
      <w:pPr>
        <w:jc w:val="center"/>
        <w:ind w:right="-19"/>
        <w:spacing w:after="0"/>
        <w:rPr>
          <w:sz w:val="20"/>
          <w:szCs w:val="20"/>
          <w:color w:val="auto"/>
        </w:rPr>
      </w:pPr>
      <w:r>
        <w:rPr>
          <w:rFonts w:ascii="Arial" w:cs="Arial" w:eastAsia="Arial" w:hAnsi="Arial"/>
          <w:sz w:val="27"/>
          <w:szCs w:val="27"/>
          <w:b w:val="1"/>
          <w:bCs w:val="1"/>
          <w:color w:val="auto"/>
        </w:rPr>
        <w:t>FORM 8-K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19685</wp:posOffset>
            </wp:positionH>
            <wp:positionV relativeFrom="paragraph">
              <wp:posOffset>-188595</wp:posOffset>
            </wp:positionV>
            <wp:extent cx="7249795" cy="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49795" cy="6985"/>
                    </a:xfrm>
                    <a:prstGeom prst="rect">
                      <a:avLst/>
                    </a:prstGeom>
                    <a:noFill/>
                  </pic:spPr>
                </pic:pic>
              </a:graphicData>
            </a:graphic>
          </wp:anchor>
        </w:drawing>
        <w:drawing>
          <wp:anchor simplePos="0" relativeHeight="251657728" behindDoc="1" locked="0" layoutInCell="0" allowOverlap="1">
            <wp:simplePos x="0" y="0"/>
            <wp:positionH relativeFrom="column">
              <wp:posOffset>19685</wp:posOffset>
            </wp:positionH>
            <wp:positionV relativeFrom="paragraph">
              <wp:posOffset>148590</wp:posOffset>
            </wp:positionV>
            <wp:extent cx="7249795" cy="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49795" cy="6985"/>
                    </a:xfrm>
                    <a:prstGeom prst="rect">
                      <a:avLst/>
                    </a:prstGeom>
                    <a:noFill/>
                  </pic:spPr>
                </pic:pic>
              </a:graphicData>
            </a:graphic>
          </wp:anchor>
        </w:drawing>
      </w:r>
    </w:p>
    <w:p>
      <w:pPr>
        <w:spacing w:after="0" w:line="200" w:lineRule="exact"/>
        <w:rPr>
          <w:sz w:val="24"/>
          <w:szCs w:val="24"/>
          <w:color w:val="auto"/>
        </w:rPr>
      </w:pPr>
    </w:p>
    <w:p>
      <w:pPr>
        <w:spacing w:after="0" w:line="224" w:lineRule="exact"/>
        <w:rPr>
          <w:sz w:val="24"/>
          <w:szCs w:val="24"/>
          <w:color w:val="auto"/>
        </w:rPr>
      </w:pPr>
    </w:p>
    <w:p>
      <w:pPr>
        <w:jc w:val="center"/>
        <w:ind w:right="-19"/>
        <w:spacing w:after="0"/>
        <w:rPr>
          <w:sz w:val="20"/>
          <w:szCs w:val="20"/>
          <w:color w:val="auto"/>
        </w:rPr>
      </w:pPr>
      <w:r>
        <w:rPr>
          <w:rFonts w:ascii="Arial" w:cs="Arial" w:eastAsia="Arial" w:hAnsi="Arial"/>
          <w:sz w:val="18"/>
          <w:szCs w:val="18"/>
          <w:b w:val="1"/>
          <w:bCs w:val="1"/>
          <w:color w:val="auto"/>
        </w:rPr>
        <w:t>CURRENT REPORT</w:t>
      </w:r>
    </w:p>
    <w:p>
      <w:pPr>
        <w:spacing w:after="0" w:line="48" w:lineRule="exact"/>
        <w:rPr>
          <w:sz w:val="24"/>
          <w:szCs w:val="24"/>
          <w:color w:val="auto"/>
        </w:rPr>
      </w:pPr>
    </w:p>
    <w:p>
      <w:pPr>
        <w:jc w:val="center"/>
        <w:ind w:right="-19"/>
        <w:spacing w:after="0"/>
        <w:rPr>
          <w:sz w:val="20"/>
          <w:szCs w:val="20"/>
          <w:color w:val="auto"/>
        </w:rPr>
      </w:pPr>
      <w:r>
        <w:rPr>
          <w:rFonts w:ascii="Arial" w:cs="Arial" w:eastAsia="Arial" w:hAnsi="Arial"/>
          <w:sz w:val="18"/>
          <w:szCs w:val="18"/>
          <w:b w:val="1"/>
          <w:bCs w:val="1"/>
          <w:color w:val="auto"/>
        </w:rPr>
        <w:t>Pursuant to Section 13 or 15(d)</w:t>
      </w:r>
    </w:p>
    <w:p>
      <w:pPr>
        <w:spacing w:after="0" w:line="48" w:lineRule="exact"/>
        <w:rPr>
          <w:sz w:val="24"/>
          <w:szCs w:val="24"/>
          <w:color w:val="auto"/>
        </w:rPr>
      </w:pPr>
    </w:p>
    <w:p>
      <w:pPr>
        <w:jc w:val="center"/>
        <w:ind w:right="-19"/>
        <w:spacing w:after="0"/>
        <w:rPr>
          <w:sz w:val="20"/>
          <w:szCs w:val="20"/>
          <w:color w:val="auto"/>
        </w:rPr>
      </w:pPr>
      <w:r>
        <w:rPr>
          <w:rFonts w:ascii="Arial" w:cs="Arial" w:eastAsia="Arial" w:hAnsi="Arial"/>
          <w:sz w:val="18"/>
          <w:szCs w:val="18"/>
          <w:b w:val="1"/>
          <w:bCs w:val="1"/>
          <w:color w:val="auto"/>
        </w:rPr>
        <w:t>of the Securities Exchange Act of 1934</w:t>
      </w:r>
    </w:p>
    <w:p>
      <w:pPr>
        <w:spacing w:after="0" w:line="181" w:lineRule="exact"/>
        <w:rPr>
          <w:sz w:val="24"/>
          <w:szCs w:val="24"/>
          <w:color w:val="auto"/>
        </w:rPr>
      </w:pPr>
    </w:p>
    <w:p>
      <w:pPr>
        <w:jc w:val="center"/>
        <w:ind w:right="-19"/>
        <w:spacing w:after="0"/>
        <w:rPr>
          <w:sz w:val="20"/>
          <w:szCs w:val="20"/>
          <w:color w:val="auto"/>
        </w:rPr>
      </w:pPr>
      <w:r>
        <w:rPr>
          <w:rFonts w:ascii="Arial" w:cs="Arial" w:eastAsia="Arial" w:hAnsi="Arial"/>
          <w:sz w:val="18"/>
          <w:szCs w:val="18"/>
          <w:b w:val="1"/>
          <w:bCs w:val="1"/>
          <w:color w:val="auto"/>
        </w:rPr>
        <w:t>Date of Report (Date of earliest event reported): May 15, 2018</w:t>
      </w:r>
    </w:p>
    <w:p>
      <w:pPr>
        <w:spacing w:after="0" w:line="236" w:lineRule="exact"/>
        <w:rPr>
          <w:sz w:val="24"/>
          <w:szCs w:val="24"/>
          <w:color w:val="auto"/>
        </w:rPr>
      </w:pPr>
    </w:p>
    <w:p>
      <w:pPr>
        <w:jc w:val="center"/>
        <w:ind w:right="-19"/>
        <w:spacing w:after="0"/>
        <w:rPr>
          <w:sz w:val="20"/>
          <w:szCs w:val="20"/>
          <w:color w:val="auto"/>
        </w:rPr>
      </w:pPr>
      <w:r>
        <w:rPr>
          <w:rFonts w:ascii="Arial" w:cs="Arial" w:eastAsia="Arial" w:hAnsi="Arial"/>
          <w:sz w:val="36"/>
          <w:szCs w:val="36"/>
          <w:b w:val="1"/>
          <w:bCs w:val="1"/>
          <w:color w:val="auto"/>
        </w:rPr>
        <w:t>Luna Innovations Incorporated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19685</wp:posOffset>
            </wp:positionH>
            <wp:positionV relativeFrom="paragraph">
              <wp:posOffset>-254635</wp:posOffset>
            </wp:positionV>
            <wp:extent cx="7249795" cy="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49795" cy="6985"/>
                    </a:xfrm>
                    <a:prstGeom prst="rect">
                      <a:avLst/>
                    </a:prstGeom>
                    <a:noFill/>
                  </pic:spPr>
                </pic:pic>
              </a:graphicData>
            </a:graphic>
          </wp:anchor>
        </w:drawing>
      </w:r>
    </w:p>
    <w:p>
      <w:pPr>
        <w:spacing w:after="0" w:line="13" w:lineRule="exact"/>
        <w:rPr>
          <w:sz w:val="24"/>
          <w:szCs w:val="24"/>
          <w:color w:val="auto"/>
        </w:rPr>
      </w:pPr>
    </w:p>
    <w:p>
      <w:pPr>
        <w:jc w:val="center"/>
        <w:ind w:right="-19"/>
        <w:spacing w:after="0"/>
        <w:rPr>
          <w:sz w:val="20"/>
          <w:szCs w:val="20"/>
          <w:color w:val="auto"/>
        </w:rPr>
      </w:pPr>
      <w:r>
        <w:rPr>
          <w:rFonts w:ascii="Arial" w:cs="Arial" w:eastAsia="Arial" w:hAnsi="Arial"/>
          <w:sz w:val="15"/>
          <w:szCs w:val="15"/>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19685</wp:posOffset>
            </wp:positionH>
            <wp:positionV relativeFrom="paragraph">
              <wp:posOffset>135890</wp:posOffset>
            </wp:positionV>
            <wp:extent cx="7249795" cy="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49795" cy="6985"/>
                    </a:xfrm>
                    <a:prstGeom prst="rect">
                      <a:avLst/>
                    </a:prstGeom>
                    <a:noFill/>
                  </pic:spPr>
                </pic:pic>
              </a:graphicData>
            </a:graphic>
          </wp:anchor>
        </w:drawing>
      </w:r>
    </w:p>
    <w:p>
      <w:pPr>
        <w:spacing w:after="0" w:line="200" w:lineRule="exact"/>
        <w:rPr>
          <w:sz w:val="24"/>
          <w:szCs w:val="24"/>
          <w:color w:val="auto"/>
        </w:rPr>
      </w:pPr>
    </w:p>
    <w:p>
      <w:pPr>
        <w:spacing w:after="0" w:line="268" w:lineRule="exact"/>
        <w:rPr>
          <w:sz w:val="24"/>
          <w:szCs w:val="24"/>
          <w:color w:val="auto"/>
        </w:rPr>
      </w:pPr>
    </w:p>
    <w:tbl>
      <w:tblPr>
        <w:tblLayout w:type="fixed"/>
        <w:tblInd w:w="1220" w:type="dxa"/>
        <w:tblCellMar>
          <w:top w:w="0" w:type="dxa"/>
          <w:left w:w="0" w:type="dxa"/>
          <w:bottom w:w="0" w:type="dxa"/>
          <w:right w:w="0" w:type="dxa"/>
        </w:tblCellMar>
      </w:tblPr>
      <w:tr>
        <w:trPr>
          <w:trHeight w:val="192"/>
        </w:trPr>
        <w:tc>
          <w:tcPr>
            <w:tcW w:w="2160" w:type="dxa"/>
            <w:vAlign w:val="bottom"/>
          </w:tcPr>
          <w:p>
            <w:pPr>
              <w:jc w:val="center"/>
              <w:ind w:right="736"/>
              <w:spacing w:after="0"/>
              <w:rPr>
                <w:sz w:val="20"/>
                <w:szCs w:val="20"/>
                <w:color w:val="auto"/>
              </w:rPr>
            </w:pPr>
            <w:r>
              <w:rPr>
                <w:rFonts w:ascii="Arial" w:cs="Arial" w:eastAsia="Arial" w:hAnsi="Arial"/>
                <w:sz w:val="15"/>
                <w:szCs w:val="15"/>
                <w:b w:val="1"/>
                <w:bCs w:val="1"/>
                <w:color w:val="auto"/>
                <w:w w:val="91"/>
              </w:rPr>
              <w:t>Delaware</w:t>
            </w:r>
          </w:p>
        </w:tc>
        <w:tc>
          <w:tcPr>
            <w:tcW w:w="4860" w:type="dxa"/>
            <w:vAlign w:val="bottom"/>
          </w:tcPr>
          <w:p>
            <w:pPr>
              <w:ind w:left="2080"/>
              <w:spacing w:after="0"/>
              <w:rPr>
                <w:sz w:val="20"/>
                <w:szCs w:val="20"/>
                <w:color w:val="auto"/>
              </w:rPr>
            </w:pPr>
            <w:r>
              <w:rPr>
                <w:rFonts w:ascii="Arial" w:cs="Arial" w:eastAsia="Arial" w:hAnsi="Arial"/>
                <w:sz w:val="15"/>
                <w:szCs w:val="15"/>
                <w:b w:val="1"/>
                <w:bCs w:val="1"/>
                <w:color w:val="auto"/>
              </w:rPr>
              <w:t>000-52008</w:t>
            </w:r>
          </w:p>
        </w:tc>
        <w:tc>
          <w:tcPr>
            <w:tcW w:w="1880" w:type="dxa"/>
            <w:vAlign w:val="bottom"/>
          </w:tcPr>
          <w:p>
            <w:pPr>
              <w:jc w:val="center"/>
              <w:ind w:left="896"/>
              <w:spacing w:after="0"/>
              <w:rPr>
                <w:sz w:val="20"/>
                <w:szCs w:val="20"/>
                <w:color w:val="auto"/>
              </w:rPr>
            </w:pPr>
            <w:r>
              <w:rPr>
                <w:rFonts w:ascii="Arial" w:cs="Arial" w:eastAsia="Arial" w:hAnsi="Arial"/>
                <w:sz w:val="15"/>
                <w:szCs w:val="15"/>
                <w:b w:val="1"/>
                <w:bCs w:val="1"/>
                <w:color w:val="auto"/>
                <w:w w:val="89"/>
              </w:rPr>
              <w:t>54-1560050</w:t>
            </w:r>
          </w:p>
        </w:tc>
      </w:tr>
      <w:tr>
        <w:trPr>
          <w:trHeight w:val="194"/>
        </w:trPr>
        <w:tc>
          <w:tcPr>
            <w:tcW w:w="2160" w:type="dxa"/>
            <w:vAlign w:val="bottom"/>
          </w:tcPr>
          <w:p>
            <w:pPr>
              <w:jc w:val="center"/>
              <w:ind w:right="736"/>
              <w:spacing w:after="0"/>
              <w:rPr>
                <w:sz w:val="20"/>
                <w:szCs w:val="20"/>
                <w:color w:val="auto"/>
              </w:rPr>
            </w:pPr>
            <w:r>
              <w:rPr>
                <w:rFonts w:ascii="Arial" w:cs="Arial" w:eastAsia="Arial" w:hAnsi="Arial"/>
                <w:sz w:val="12"/>
                <w:szCs w:val="12"/>
                <w:b w:val="1"/>
                <w:bCs w:val="1"/>
                <w:color w:val="auto"/>
                <w:w w:val="90"/>
              </w:rPr>
              <w:t>(State or other jurisdiction</w:t>
            </w:r>
          </w:p>
        </w:tc>
        <w:tc>
          <w:tcPr>
            <w:tcW w:w="4860" w:type="dxa"/>
            <w:vAlign w:val="bottom"/>
          </w:tcPr>
          <w:p>
            <w:pPr>
              <w:ind w:left="2080"/>
              <w:spacing w:after="0"/>
              <w:rPr>
                <w:sz w:val="20"/>
                <w:szCs w:val="20"/>
                <w:color w:val="auto"/>
              </w:rPr>
            </w:pPr>
            <w:r>
              <w:rPr>
                <w:rFonts w:ascii="Arial" w:cs="Arial" w:eastAsia="Arial" w:hAnsi="Arial"/>
                <w:sz w:val="12"/>
                <w:szCs w:val="12"/>
                <w:b w:val="1"/>
                <w:bCs w:val="1"/>
                <w:color w:val="auto"/>
              </w:rPr>
              <w:t>(Commission</w:t>
            </w:r>
          </w:p>
        </w:tc>
        <w:tc>
          <w:tcPr>
            <w:tcW w:w="1880" w:type="dxa"/>
            <w:vAlign w:val="bottom"/>
          </w:tcPr>
          <w:p>
            <w:pPr>
              <w:jc w:val="center"/>
              <w:ind w:left="896"/>
              <w:spacing w:after="0"/>
              <w:rPr>
                <w:sz w:val="20"/>
                <w:szCs w:val="20"/>
                <w:color w:val="auto"/>
              </w:rPr>
            </w:pPr>
            <w:r>
              <w:rPr>
                <w:rFonts w:ascii="Arial" w:cs="Arial" w:eastAsia="Arial" w:hAnsi="Arial"/>
                <w:sz w:val="12"/>
                <w:szCs w:val="12"/>
                <w:b w:val="1"/>
                <w:bCs w:val="1"/>
                <w:color w:val="auto"/>
                <w:w w:val="92"/>
              </w:rPr>
              <w:t>(IRS Employer</w:t>
            </w:r>
          </w:p>
        </w:tc>
      </w:tr>
      <w:tr>
        <w:trPr>
          <w:trHeight w:val="151"/>
        </w:trPr>
        <w:tc>
          <w:tcPr>
            <w:tcW w:w="2160" w:type="dxa"/>
            <w:vAlign w:val="bottom"/>
          </w:tcPr>
          <w:p>
            <w:pPr>
              <w:jc w:val="center"/>
              <w:ind w:right="736"/>
              <w:spacing w:after="0"/>
              <w:rPr>
                <w:sz w:val="20"/>
                <w:szCs w:val="20"/>
                <w:color w:val="auto"/>
              </w:rPr>
            </w:pPr>
            <w:r>
              <w:rPr>
                <w:rFonts w:ascii="Arial" w:cs="Arial" w:eastAsia="Arial" w:hAnsi="Arial"/>
                <w:sz w:val="12"/>
                <w:szCs w:val="12"/>
                <w:b w:val="1"/>
                <w:bCs w:val="1"/>
                <w:color w:val="auto"/>
                <w:w w:val="91"/>
              </w:rPr>
              <w:t>of incorporation)</w:t>
            </w:r>
          </w:p>
        </w:tc>
        <w:tc>
          <w:tcPr>
            <w:tcW w:w="4860" w:type="dxa"/>
            <w:vAlign w:val="bottom"/>
          </w:tcPr>
          <w:p>
            <w:pPr>
              <w:ind w:left="2060"/>
              <w:spacing w:after="0"/>
              <w:rPr>
                <w:sz w:val="20"/>
                <w:szCs w:val="20"/>
                <w:color w:val="auto"/>
              </w:rPr>
            </w:pPr>
            <w:r>
              <w:rPr>
                <w:rFonts w:ascii="Arial" w:cs="Arial" w:eastAsia="Arial" w:hAnsi="Arial"/>
                <w:sz w:val="12"/>
                <w:szCs w:val="12"/>
                <w:b w:val="1"/>
                <w:bCs w:val="1"/>
                <w:color w:val="auto"/>
              </w:rPr>
              <w:t>File Number)</w:t>
            </w:r>
          </w:p>
        </w:tc>
        <w:tc>
          <w:tcPr>
            <w:tcW w:w="1880" w:type="dxa"/>
            <w:vAlign w:val="bottom"/>
          </w:tcPr>
          <w:p>
            <w:pPr>
              <w:jc w:val="center"/>
              <w:ind w:left="896"/>
              <w:spacing w:after="0"/>
              <w:rPr>
                <w:sz w:val="20"/>
                <w:szCs w:val="20"/>
                <w:color w:val="auto"/>
              </w:rPr>
            </w:pPr>
            <w:r>
              <w:rPr>
                <w:rFonts w:ascii="Arial" w:cs="Arial" w:eastAsia="Arial" w:hAnsi="Arial"/>
                <w:sz w:val="12"/>
                <w:szCs w:val="12"/>
                <w:b w:val="1"/>
                <w:bCs w:val="1"/>
                <w:color w:val="auto"/>
                <w:w w:val="90"/>
              </w:rPr>
              <w:t>Identification No.)</w:t>
            </w:r>
          </w:p>
        </w:tc>
      </w:tr>
      <w:tr>
        <w:trPr>
          <w:trHeight w:val="428"/>
        </w:trPr>
        <w:tc>
          <w:tcPr>
            <w:tcW w:w="2160" w:type="dxa"/>
            <w:vAlign w:val="bottom"/>
          </w:tcPr>
          <w:p>
            <w:pPr>
              <w:spacing w:after="0"/>
              <w:rPr>
                <w:sz w:val="24"/>
                <w:szCs w:val="24"/>
                <w:color w:val="auto"/>
              </w:rPr>
            </w:pPr>
          </w:p>
        </w:tc>
        <w:tc>
          <w:tcPr>
            <w:tcW w:w="4860" w:type="dxa"/>
            <w:vAlign w:val="bottom"/>
          </w:tcPr>
          <w:p>
            <w:pPr>
              <w:jc w:val="center"/>
              <w:ind w:right="74"/>
              <w:spacing w:after="0"/>
              <w:rPr>
                <w:sz w:val="20"/>
                <w:szCs w:val="20"/>
                <w:color w:val="auto"/>
              </w:rPr>
            </w:pPr>
            <w:r>
              <w:rPr>
                <w:rFonts w:ascii="Arial" w:cs="Arial" w:eastAsia="Arial" w:hAnsi="Arial"/>
                <w:sz w:val="15"/>
                <w:szCs w:val="15"/>
                <w:b w:val="1"/>
                <w:bCs w:val="1"/>
                <w:color w:val="auto"/>
                <w:w w:val="86"/>
              </w:rPr>
              <w:t>301 1</w:t>
            </w:r>
            <w:r>
              <w:rPr>
                <w:rFonts w:ascii="Arial" w:cs="Arial" w:eastAsia="Arial" w:hAnsi="Arial"/>
                <w:sz w:val="20"/>
                <w:szCs w:val="20"/>
                <w:b w:val="1"/>
                <w:bCs w:val="1"/>
                <w:color w:val="auto"/>
                <w:w w:val="86"/>
                <w:vertAlign w:val="superscript"/>
              </w:rPr>
              <w:t>st</w:t>
            </w:r>
            <w:r>
              <w:rPr>
                <w:rFonts w:ascii="Arial" w:cs="Arial" w:eastAsia="Arial" w:hAnsi="Arial"/>
                <w:sz w:val="15"/>
                <w:szCs w:val="15"/>
                <w:b w:val="1"/>
                <w:bCs w:val="1"/>
                <w:color w:val="auto"/>
                <w:w w:val="86"/>
              </w:rPr>
              <w:t xml:space="preserve"> Street SW, Suite 200</w:t>
            </w:r>
          </w:p>
        </w:tc>
        <w:tc>
          <w:tcPr>
            <w:tcW w:w="1880" w:type="dxa"/>
            <w:vAlign w:val="bottom"/>
          </w:tcPr>
          <w:p>
            <w:pPr>
              <w:spacing w:after="0"/>
              <w:rPr>
                <w:sz w:val="24"/>
                <w:szCs w:val="24"/>
                <w:color w:val="auto"/>
              </w:rPr>
            </w:pPr>
          </w:p>
        </w:tc>
      </w:tr>
      <w:tr>
        <w:trPr>
          <w:trHeight w:val="192"/>
        </w:trPr>
        <w:tc>
          <w:tcPr>
            <w:tcW w:w="2160" w:type="dxa"/>
            <w:vAlign w:val="bottom"/>
          </w:tcPr>
          <w:p>
            <w:pPr>
              <w:spacing w:after="0"/>
              <w:rPr>
                <w:sz w:val="16"/>
                <w:szCs w:val="16"/>
                <w:color w:val="auto"/>
              </w:rPr>
            </w:pPr>
          </w:p>
        </w:tc>
        <w:tc>
          <w:tcPr>
            <w:tcW w:w="4860" w:type="dxa"/>
            <w:vAlign w:val="bottom"/>
          </w:tcPr>
          <w:p>
            <w:pPr>
              <w:jc w:val="center"/>
              <w:ind w:right="94"/>
              <w:spacing w:after="0"/>
              <w:rPr>
                <w:sz w:val="20"/>
                <w:szCs w:val="20"/>
                <w:color w:val="auto"/>
              </w:rPr>
            </w:pPr>
            <w:r>
              <w:rPr>
                <w:rFonts w:ascii="Arial" w:cs="Arial" w:eastAsia="Arial" w:hAnsi="Arial"/>
                <w:sz w:val="15"/>
                <w:szCs w:val="15"/>
                <w:b w:val="1"/>
                <w:bCs w:val="1"/>
                <w:color w:val="auto"/>
                <w:w w:val="89"/>
              </w:rPr>
              <w:t>Roanoke, Virginia 24011</w:t>
            </w:r>
          </w:p>
        </w:tc>
        <w:tc>
          <w:tcPr>
            <w:tcW w:w="1880" w:type="dxa"/>
            <w:vAlign w:val="bottom"/>
          </w:tcPr>
          <w:p>
            <w:pPr>
              <w:spacing w:after="0"/>
              <w:rPr>
                <w:sz w:val="16"/>
                <w:szCs w:val="16"/>
                <w:color w:val="auto"/>
              </w:rPr>
            </w:pPr>
          </w:p>
        </w:tc>
      </w:tr>
      <w:tr>
        <w:trPr>
          <w:trHeight w:val="168"/>
        </w:trPr>
        <w:tc>
          <w:tcPr>
            <w:tcW w:w="2160" w:type="dxa"/>
            <w:vAlign w:val="bottom"/>
          </w:tcPr>
          <w:p>
            <w:pPr>
              <w:spacing w:after="0"/>
              <w:rPr>
                <w:sz w:val="14"/>
                <w:szCs w:val="14"/>
                <w:color w:val="auto"/>
              </w:rPr>
            </w:pPr>
          </w:p>
        </w:tc>
        <w:tc>
          <w:tcPr>
            <w:tcW w:w="4860" w:type="dxa"/>
            <w:vAlign w:val="bottom"/>
          </w:tcPr>
          <w:p>
            <w:pPr>
              <w:jc w:val="center"/>
              <w:ind w:right="74"/>
              <w:spacing w:after="0"/>
              <w:rPr>
                <w:sz w:val="20"/>
                <w:szCs w:val="20"/>
                <w:color w:val="auto"/>
              </w:rPr>
            </w:pPr>
            <w:r>
              <w:rPr>
                <w:rFonts w:ascii="Arial" w:cs="Arial" w:eastAsia="Arial" w:hAnsi="Arial"/>
                <w:sz w:val="12"/>
                <w:szCs w:val="12"/>
                <w:b w:val="1"/>
                <w:bCs w:val="1"/>
                <w:color w:val="auto"/>
                <w:w w:val="87"/>
              </w:rPr>
              <w:t>(Address of principal executive offices, including zip code)</w:t>
            </w:r>
          </w:p>
        </w:tc>
        <w:tc>
          <w:tcPr>
            <w:tcW w:w="1880" w:type="dxa"/>
            <w:vAlign w:val="bottom"/>
          </w:tcPr>
          <w:p>
            <w:pPr>
              <w:spacing w:after="0"/>
              <w:rPr>
                <w:sz w:val="14"/>
                <w:szCs w:val="14"/>
                <w:color w:val="auto"/>
              </w:rPr>
            </w:pPr>
          </w:p>
        </w:tc>
      </w:tr>
      <w:tr>
        <w:trPr>
          <w:trHeight w:val="343"/>
        </w:trPr>
        <w:tc>
          <w:tcPr>
            <w:tcW w:w="2160" w:type="dxa"/>
            <w:vAlign w:val="bottom"/>
          </w:tcPr>
          <w:p>
            <w:pPr>
              <w:spacing w:after="0"/>
              <w:rPr>
                <w:sz w:val="24"/>
                <w:szCs w:val="24"/>
                <w:color w:val="auto"/>
              </w:rPr>
            </w:pPr>
          </w:p>
        </w:tc>
        <w:tc>
          <w:tcPr>
            <w:tcW w:w="4860" w:type="dxa"/>
            <w:vAlign w:val="bottom"/>
          </w:tcPr>
          <w:p>
            <w:pPr>
              <w:jc w:val="center"/>
              <w:ind w:right="74"/>
              <w:spacing w:after="0"/>
              <w:rPr>
                <w:sz w:val="20"/>
                <w:szCs w:val="20"/>
                <w:color w:val="auto"/>
              </w:rPr>
            </w:pPr>
            <w:r>
              <w:rPr>
                <w:rFonts w:ascii="Arial" w:cs="Arial" w:eastAsia="Arial" w:hAnsi="Arial"/>
                <w:sz w:val="15"/>
                <w:szCs w:val="15"/>
                <w:b w:val="1"/>
                <w:bCs w:val="1"/>
                <w:color w:val="auto"/>
                <w:w w:val="89"/>
              </w:rPr>
              <w:t>540-769-8400</w:t>
            </w:r>
          </w:p>
        </w:tc>
        <w:tc>
          <w:tcPr>
            <w:tcW w:w="1880" w:type="dxa"/>
            <w:vAlign w:val="bottom"/>
          </w:tcPr>
          <w:p>
            <w:pPr>
              <w:spacing w:after="0"/>
              <w:rPr>
                <w:sz w:val="24"/>
                <w:szCs w:val="24"/>
                <w:color w:val="auto"/>
              </w:rPr>
            </w:pPr>
          </w:p>
        </w:tc>
      </w:tr>
      <w:tr>
        <w:trPr>
          <w:trHeight w:val="168"/>
        </w:trPr>
        <w:tc>
          <w:tcPr>
            <w:tcW w:w="2160" w:type="dxa"/>
            <w:vAlign w:val="bottom"/>
          </w:tcPr>
          <w:p>
            <w:pPr>
              <w:spacing w:after="0"/>
              <w:rPr>
                <w:sz w:val="14"/>
                <w:szCs w:val="14"/>
                <w:color w:val="auto"/>
              </w:rPr>
            </w:pPr>
          </w:p>
        </w:tc>
        <w:tc>
          <w:tcPr>
            <w:tcW w:w="4860" w:type="dxa"/>
            <w:vAlign w:val="bottom"/>
          </w:tcPr>
          <w:p>
            <w:pPr>
              <w:jc w:val="center"/>
              <w:ind w:right="94"/>
              <w:spacing w:after="0"/>
              <w:rPr>
                <w:sz w:val="20"/>
                <w:szCs w:val="20"/>
                <w:color w:val="auto"/>
              </w:rPr>
            </w:pPr>
            <w:r>
              <w:rPr>
                <w:rFonts w:ascii="Arial" w:cs="Arial" w:eastAsia="Arial" w:hAnsi="Arial"/>
                <w:sz w:val="12"/>
                <w:szCs w:val="12"/>
                <w:b w:val="1"/>
                <w:bCs w:val="1"/>
                <w:color w:val="auto"/>
                <w:w w:val="87"/>
              </w:rPr>
              <w:t>(Registrant’s telephone number, including area code)</w:t>
            </w:r>
          </w:p>
        </w:tc>
        <w:tc>
          <w:tcPr>
            <w:tcW w:w="1880" w:type="dxa"/>
            <w:vAlign w:val="bottom"/>
          </w:tcPr>
          <w:p>
            <w:pPr>
              <w:spacing w:after="0"/>
              <w:rPr>
                <w:sz w:val="14"/>
                <w:szCs w:val="14"/>
                <w:color w:val="auto"/>
              </w:rPr>
            </w:pPr>
          </w:p>
        </w:tc>
      </w:tr>
      <w:tr>
        <w:trPr>
          <w:trHeight w:val="488"/>
        </w:trPr>
        <w:tc>
          <w:tcPr>
            <w:tcW w:w="2160" w:type="dxa"/>
            <w:vAlign w:val="bottom"/>
          </w:tcPr>
          <w:p>
            <w:pPr>
              <w:spacing w:after="0"/>
              <w:rPr>
                <w:sz w:val="24"/>
                <w:szCs w:val="24"/>
                <w:color w:val="auto"/>
              </w:rPr>
            </w:pPr>
          </w:p>
        </w:tc>
        <w:tc>
          <w:tcPr>
            <w:tcW w:w="4860" w:type="dxa"/>
            <w:vAlign w:val="bottom"/>
          </w:tcPr>
          <w:p>
            <w:pPr>
              <w:jc w:val="center"/>
              <w:ind w:right="94"/>
              <w:spacing w:after="0"/>
              <w:rPr>
                <w:sz w:val="20"/>
                <w:szCs w:val="20"/>
                <w:color w:val="auto"/>
              </w:rPr>
            </w:pPr>
            <w:r>
              <w:rPr>
                <w:rFonts w:ascii="Arial" w:cs="Arial" w:eastAsia="Arial" w:hAnsi="Arial"/>
                <w:sz w:val="12"/>
                <w:szCs w:val="12"/>
                <w:b w:val="1"/>
                <w:bCs w:val="1"/>
                <w:color w:val="auto"/>
                <w:w w:val="88"/>
              </w:rPr>
              <w:t>(Former name or former address, if changed since last report)</w:t>
            </w:r>
          </w:p>
        </w:tc>
        <w:tc>
          <w:tcPr>
            <w:tcW w:w="1880" w:type="dxa"/>
            <w:vAlign w:val="bottom"/>
          </w:tcPr>
          <w:p>
            <w:pPr>
              <w:spacing w:after="0"/>
              <w:rPr>
                <w:sz w:val="24"/>
                <w:szCs w:val="24"/>
                <w:color w:val="auto"/>
              </w:rPr>
            </w:pP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19685</wp:posOffset>
            </wp:positionH>
            <wp:positionV relativeFrom="paragraph">
              <wp:posOffset>140335</wp:posOffset>
            </wp:positionV>
            <wp:extent cx="7249795" cy="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249795" cy="6985"/>
                    </a:xfrm>
                    <a:prstGeom prst="rect">
                      <a:avLst/>
                    </a:prstGeom>
                    <a:noFill/>
                  </pic:spPr>
                </pic:pic>
              </a:graphicData>
            </a:graphic>
          </wp:anchor>
        </w:drawing>
      </w:r>
    </w:p>
    <w:p>
      <w:pPr>
        <w:spacing w:after="0" w:line="200" w:lineRule="exact"/>
        <w:rPr>
          <w:sz w:val="24"/>
          <w:szCs w:val="24"/>
          <w:color w:val="auto"/>
        </w:rPr>
      </w:pPr>
    </w:p>
    <w:p>
      <w:pPr>
        <w:spacing w:after="0" w:line="201" w:lineRule="exact"/>
        <w:rPr>
          <w:sz w:val="24"/>
          <w:szCs w:val="24"/>
          <w:color w:val="auto"/>
        </w:rPr>
      </w:pPr>
    </w:p>
    <w:p>
      <w:pPr>
        <w:ind w:right="60"/>
        <w:spacing w:after="0" w:line="314" w:lineRule="auto"/>
        <w:rPr>
          <w:sz w:val="20"/>
          <w:szCs w:val="20"/>
          <w:color w:val="auto"/>
        </w:rPr>
      </w:pPr>
      <w:r>
        <w:rPr>
          <w:rFonts w:ascii="Arial" w:cs="Arial" w:eastAsia="Arial" w:hAnsi="Arial"/>
          <w:sz w:val="15"/>
          <w:szCs w:val="15"/>
          <w:color w:val="auto"/>
        </w:rPr>
        <w:t>Check the appropriate box below if the Form 8-K filing is intended to simultaneously satisfy the filing obligation of the registrant under any of the following provisions (see General Instruction A.2. below):</w:t>
      </w:r>
    </w:p>
    <w:p>
      <w:pPr>
        <w:spacing w:after="0" w:line="181" w:lineRule="exact"/>
        <w:rPr>
          <w:sz w:val="24"/>
          <w:szCs w:val="24"/>
          <w:color w:val="auto"/>
        </w:rPr>
      </w:pPr>
    </w:p>
    <w:p>
      <w:pPr>
        <w:ind w:left="800" w:hanging="680"/>
        <w:spacing w:after="0"/>
        <w:tabs>
          <w:tab w:leader="none" w:pos="800" w:val="left"/>
        </w:tabs>
        <w:numPr>
          <w:ilvl w:val="0"/>
          <w:numId w:val="1"/>
        </w:numPr>
        <w:rPr>
          <w:rFonts w:ascii="Arial" w:cs="Arial" w:eastAsia="Arial" w:hAnsi="Arial"/>
          <w:sz w:val="15"/>
          <w:szCs w:val="15"/>
          <w:color w:val="auto"/>
        </w:rPr>
      </w:pPr>
      <w:r>
        <w:rPr>
          <w:rFonts w:ascii="Arial" w:cs="Arial" w:eastAsia="Arial" w:hAnsi="Arial"/>
          <w:sz w:val="15"/>
          <w:szCs w:val="15"/>
          <w:color w:val="auto"/>
        </w:rPr>
        <w:t>Written communications pursuant to Rule 425 under the Securities Act (17 CFR 230.425)</w:t>
      </w:r>
    </w:p>
    <w:p>
      <w:pPr>
        <w:spacing w:after="0" w:line="326" w:lineRule="exact"/>
        <w:rPr>
          <w:rFonts w:ascii="Arial" w:cs="Arial" w:eastAsia="Arial" w:hAnsi="Arial"/>
          <w:sz w:val="15"/>
          <w:szCs w:val="15"/>
          <w:color w:val="auto"/>
        </w:rPr>
      </w:pPr>
    </w:p>
    <w:p>
      <w:pPr>
        <w:ind w:left="800" w:hanging="680"/>
        <w:spacing w:after="0"/>
        <w:tabs>
          <w:tab w:leader="none" w:pos="800" w:val="left"/>
        </w:tabs>
        <w:numPr>
          <w:ilvl w:val="0"/>
          <w:numId w:val="1"/>
        </w:numPr>
        <w:rPr>
          <w:rFonts w:ascii="Arial" w:cs="Arial" w:eastAsia="Arial" w:hAnsi="Arial"/>
          <w:sz w:val="15"/>
          <w:szCs w:val="15"/>
          <w:color w:val="auto"/>
        </w:rPr>
      </w:pPr>
      <w:r>
        <w:rPr>
          <w:rFonts w:ascii="Arial" w:cs="Arial" w:eastAsia="Arial" w:hAnsi="Arial"/>
          <w:sz w:val="15"/>
          <w:szCs w:val="15"/>
          <w:color w:val="auto"/>
        </w:rPr>
        <w:t>Soliciting material pursuant to Rule 14a-12 under the Exchange Act (17 CFR 240.14a-12)</w:t>
      </w:r>
    </w:p>
    <w:p>
      <w:pPr>
        <w:spacing w:after="0" w:line="326" w:lineRule="exact"/>
        <w:rPr>
          <w:rFonts w:ascii="Arial" w:cs="Arial" w:eastAsia="Arial" w:hAnsi="Arial"/>
          <w:sz w:val="15"/>
          <w:szCs w:val="15"/>
          <w:color w:val="auto"/>
        </w:rPr>
      </w:pPr>
    </w:p>
    <w:p>
      <w:pPr>
        <w:ind w:left="800" w:hanging="680"/>
        <w:spacing w:after="0"/>
        <w:tabs>
          <w:tab w:leader="none" w:pos="800" w:val="left"/>
        </w:tabs>
        <w:numPr>
          <w:ilvl w:val="0"/>
          <w:numId w:val="1"/>
        </w:numPr>
        <w:rPr>
          <w:rFonts w:ascii="Arial" w:cs="Arial" w:eastAsia="Arial" w:hAnsi="Arial"/>
          <w:sz w:val="15"/>
          <w:szCs w:val="15"/>
          <w:color w:val="auto"/>
        </w:rPr>
      </w:pPr>
      <w:r>
        <w:rPr>
          <w:rFonts w:ascii="Arial" w:cs="Arial" w:eastAsia="Arial" w:hAnsi="Arial"/>
          <w:sz w:val="15"/>
          <w:szCs w:val="15"/>
          <w:color w:val="auto"/>
        </w:rPr>
        <w:t>Pre-commencement communications pursuant to Rule 14d-2(b) under the Exchange Act (17 CFR 240.14d-2(b))</w:t>
      </w:r>
    </w:p>
    <w:p>
      <w:pPr>
        <w:spacing w:after="0" w:line="326" w:lineRule="exact"/>
        <w:rPr>
          <w:rFonts w:ascii="Arial" w:cs="Arial" w:eastAsia="Arial" w:hAnsi="Arial"/>
          <w:sz w:val="15"/>
          <w:szCs w:val="15"/>
          <w:color w:val="auto"/>
        </w:rPr>
      </w:pPr>
    </w:p>
    <w:p>
      <w:pPr>
        <w:ind w:left="800" w:hanging="680"/>
        <w:spacing w:after="0"/>
        <w:tabs>
          <w:tab w:leader="none" w:pos="800" w:val="left"/>
        </w:tabs>
        <w:numPr>
          <w:ilvl w:val="0"/>
          <w:numId w:val="1"/>
        </w:numPr>
        <w:rPr>
          <w:rFonts w:ascii="Arial" w:cs="Arial" w:eastAsia="Arial" w:hAnsi="Arial"/>
          <w:sz w:val="15"/>
          <w:szCs w:val="15"/>
          <w:color w:val="auto"/>
        </w:rPr>
      </w:pPr>
      <w:r>
        <w:rPr>
          <w:rFonts w:ascii="Arial" w:cs="Arial" w:eastAsia="Arial" w:hAnsi="Arial"/>
          <w:sz w:val="15"/>
          <w:szCs w:val="15"/>
          <w:color w:val="auto"/>
        </w:rPr>
        <w:t>Pre-commencement communications pursuant to Rule 13e-4(c) under the Exchange Act (17 CFR 240.13e-4(c))</w:t>
      </w:r>
    </w:p>
    <w:p>
      <w:pPr>
        <w:spacing w:after="0" w:line="305" w:lineRule="exact"/>
        <w:rPr>
          <w:sz w:val="24"/>
          <w:szCs w:val="24"/>
          <w:color w:val="auto"/>
        </w:rPr>
      </w:pPr>
    </w:p>
    <w:p>
      <w:pPr>
        <w:spacing w:after="0" w:line="183" w:lineRule="exact"/>
        <w:rPr>
          <w:sz w:val="20"/>
          <w:szCs w:val="20"/>
          <w:color w:val="auto"/>
        </w:rPr>
      </w:pPr>
      <w:r>
        <w:rPr>
          <w:rFonts w:ascii="Arial" w:cs="Arial" w:eastAsia="Arial" w:hAnsi="Arial"/>
          <w:sz w:val="15"/>
          <w:szCs w:val="15"/>
          <w:color w:val="auto"/>
        </w:rPr>
        <w:t>Indícate by check mark whether the registrant is an emerging growth Company as defined in Rule 405 of the Securities Act of 1933 (§230.405 of this chapter) or Rule 12b</w:t>
      </w:r>
      <w:r>
        <w:rPr>
          <w:rFonts w:ascii="MS PGothic" w:cs="MS PGothic" w:eastAsia="MS PGothic" w:hAnsi="MS PGothic"/>
          <w:sz w:val="15"/>
          <w:szCs w:val="15"/>
          <w:color w:val="auto"/>
        </w:rPr>
        <w:t>‑</w:t>
      </w:r>
      <w:r>
        <w:rPr>
          <w:rFonts w:ascii="Arial" w:cs="Arial" w:eastAsia="Arial" w:hAnsi="Arial"/>
          <w:sz w:val="15"/>
          <w:szCs w:val="15"/>
          <w:color w:val="auto"/>
        </w:rPr>
        <w:t>2 of the Securities Exchange Act of 1934 (§240.12b</w:t>
      </w:r>
      <w:r>
        <w:rPr>
          <w:rFonts w:ascii="MS PGothic" w:cs="MS PGothic" w:eastAsia="MS PGothic" w:hAnsi="MS PGothic"/>
          <w:sz w:val="15"/>
          <w:szCs w:val="15"/>
          <w:color w:val="auto"/>
        </w:rPr>
        <w:t>‑</w:t>
      </w:r>
      <w:r>
        <w:rPr>
          <w:rFonts w:ascii="Arial" w:cs="Arial" w:eastAsia="Arial" w:hAnsi="Arial"/>
          <w:sz w:val="15"/>
          <w:szCs w:val="15"/>
          <w:color w:val="auto"/>
        </w:rPr>
        <w:t>2 of this chapter).</w:t>
      </w:r>
    </w:p>
    <w:p>
      <w:pPr>
        <w:spacing w:after="0" w:line="167" w:lineRule="exact"/>
        <w:rPr>
          <w:sz w:val="24"/>
          <w:szCs w:val="24"/>
          <w:color w:val="auto"/>
        </w:rPr>
      </w:pPr>
    </w:p>
    <w:p>
      <w:pPr>
        <w:spacing w:after="0"/>
        <w:rPr>
          <w:sz w:val="20"/>
          <w:szCs w:val="20"/>
          <w:color w:val="auto"/>
        </w:rPr>
      </w:pPr>
      <w:r>
        <w:rPr>
          <w:rFonts w:ascii="Arial" w:cs="Arial" w:eastAsia="Arial" w:hAnsi="Arial"/>
          <w:sz w:val="15"/>
          <w:szCs w:val="15"/>
          <w:color w:val="auto"/>
        </w:rPr>
        <w:t>Emerging growth company o</w:t>
      </w:r>
    </w:p>
    <w:p>
      <w:pPr>
        <w:spacing w:after="0" w:line="183" w:lineRule="exact"/>
        <w:rPr>
          <w:sz w:val="24"/>
          <w:szCs w:val="24"/>
          <w:color w:val="auto"/>
        </w:rPr>
      </w:pPr>
    </w:p>
    <w:p>
      <w:pPr>
        <w:spacing w:after="0" w:line="268" w:lineRule="auto"/>
        <w:rPr>
          <w:sz w:val="20"/>
          <w:szCs w:val="20"/>
          <w:color w:val="auto"/>
        </w:rPr>
      </w:pPr>
      <w:r>
        <w:rPr>
          <w:rFonts w:ascii="Arial" w:cs="Arial" w:eastAsia="Arial" w:hAnsi="Arial"/>
          <w:sz w:val="15"/>
          <w:szCs w:val="15"/>
          <w:color w:val="auto"/>
        </w:rPr>
        <w:t>If an emerging growth company, indicate by check mark if the registrant has elected not to use the extended transition period for complying with any new or revised financial accounting standards provided pursuant to Section 13(a) of the Exchange Act. o</w:t>
      </w:r>
    </w:p>
    <w:p>
      <w:pPr>
        <w:spacing w:after="0" w:line="176" w:lineRule="exact"/>
        <w:rPr>
          <w:sz w:val="24"/>
          <w:szCs w:val="24"/>
          <w:color w:val="auto"/>
        </w:rPr>
      </w:pPr>
    </w:p>
    <w:p>
      <w:pPr>
        <w:spacing w:after="0"/>
        <w:rPr>
          <w:sz w:val="20"/>
          <w:szCs w:val="20"/>
          <w:color w:val="auto"/>
        </w:rPr>
      </w:pPr>
      <w:r>
        <w:rPr>
          <w:rFonts w:ascii="Arial" w:cs="Arial" w:eastAsia="Arial" w:hAnsi="Arial"/>
          <w:sz w:val="12"/>
          <w:szCs w:val="12"/>
          <w:color w:val="auto"/>
        </w:rPr>
        <w:t>176728431 v1</w:t>
      </w:r>
    </w:p>
    <w:p>
      <w:pPr>
        <w:sectPr>
          <w:pgSz w:w="11900" w:h="16838" w:orient="portrait"/>
          <w:cols w:equalWidth="0" w:num="1">
            <w:col w:w="11460"/>
          </w:cols>
          <w:pgMar w:left="220" w:top="1004" w:right="219" w:bottom="1440" w:gutter="0" w:footer="0" w:header="0"/>
        </w:sectPr>
      </w:pPr>
    </w:p>
    <w:bookmarkStart w:id="1" w:name="page2"/>
    <w:bookmarkEnd w:id="1"/>
    <w:p>
      <w:pPr>
        <w:ind w:left="100"/>
        <w:spacing w:after="0"/>
        <w:tabs>
          <w:tab w:leader="none" w:pos="1440" w:val="left"/>
        </w:tabs>
        <w:rPr>
          <w:sz w:val="20"/>
          <w:szCs w:val="20"/>
          <w:color w:val="auto"/>
        </w:rPr>
      </w:pPr>
      <w:r>
        <w:rPr>
          <w:rFonts w:ascii="Arial" w:cs="Arial" w:eastAsia="Arial" w:hAnsi="Arial"/>
          <w:sz w:val="15"/>
          <w:szCs w:val="15"/>
          <w:b w:val="1"/>
          <w:bCs w:val="1"/>
          <w:color w:val="auto"/>
        </w:rPr>
        <w:t>Item 5.07.</w:t>
      </w:r>
      <w:r>
        <w:rPr>
          <w:sz w:val="20"/>
          <w:szCs w:val="20"/>
          <w:color w:val="auto"/>
        </w:rPr>
        <w:tab/>
      </w:r>
      <w:r>
        <w:rPr>
          <w:rFonts w:ascii="Arial" w:cs="Arial" w:eastAsia="Arial" w:hAnsi="Arial"/>
          <w:sz w:val="13"/>
          <w:szCs w:val="13"/>
          <w:b w:val="1"/>
          <w:bCs w:val="1"/>
          <w:color w:val="auto"/>
        </w:rPr>
        <w:t>Submission of Matters to a Vote of Security Holders</w:t>
      </w:r>
    </w:p>
    <w:p>
      <w:pPr>
        <w:spacing w:after="0" w:line="76" w:lineRule="exact"/>
        <w:rPr>
          <w:sz w:val="20"/>
          <w:szCs w:val="20"/>
          <w:color w:val="auto"/>
        </w:rPr>
      </w:pPr>
    </w:p>
    <w:p>
      <w:pPr>
        <w:ind w:right="20"/>
        <w:spacing w:after="0" w:line="298" w:lineRule="auto"/>
        <w:rPr>
          <w:sz w:val="20"/>
          <w:szCs w:val="20"/>
          <w:color w:val="auto"/>
        </w:rPr>
      </w:pPr>
      <w:r>
        <w:rPr>
          <w:rFonts w:ascii="Arial" w:cs="Arial" w:eastAsia="Arial" w:hAnsi="Arial"/>
          <w:sz w:val="15"/>
          <w:szCs w:val="15"/>
          <w:color w:val="auto"/>
        </w:rPr>
        <w:t>At the 2018 Annual Meeting of Stockholders of Luna Innovation Incorporated (“</w:t>
      </w:r>
      <w:r>
        <w:rPr>
          <w:rFonts w:ascii="Arial" w:cs="Arial" w:eastAsia="Arial" w:hAnsi="Arial"/>
          <w:sz w:val="15"/>
          <w:szCs w:val="15"/>
          <w:u w:val="single" w:color="auto"/>
          <w:color w:val="auto"/>
        </w:rPr>
        <w:t>Luna</w:t>
      </w:r>
      <w:r>
        <w:rPr>
          <w:rFonts w:ascii="Arial" w:cs="Arial" w:eastAsia="Arial" w:hAnsi="Arial"/>
          <w:sz w:val="15"/>
          <w:szCs w:val="15"/>
          <w:color w:val="auto"/>
        </w:rPr>
        <w:t>”) held on May 15, 2018, Luna’s stockholders approved three proposals, as proposed in the Proxy Statement, as follows: (i) the election of Scott A. Graeff, Donald Pastor and N. Leigh Anderson as Class III members of the Board of Directors, to serve until Luna’s 2021 Annual Meeting of Stockholders and until their successors are duly elected and qualified (“</w:t>
      </w:r>
      <w:r>
        <w:rPr>
          <w:rFonts w:ascii="Arial" w:cs="Arial" w:eastAsia="Arial" w:hAnsi="Arial"/>
          <w:sz w:val="15"/>
          <w:szCs w:val="15"/>
          <w:u w:val="single" w:color="auto"/>
          <w:color w:val="auto"/>
        </w:rPr>
        <w:t>Proposal 1</w:t>
      </w:r>
      <w:r>
        <w:rPr>
          <w:rFonts w:ascii="Arial" w:cs="Arial" w:eastAsia="Arial" w:hAnsi="Arial"/>
          <w:sz w:val="15"/>
          <w:szCs w:val="15"/>
          <w:color w:val="auto"/>
        </w:rPr>
        <w:t>”); (ii) the approval, on a non-binding, advisory basis, of the compensation of Luna’s named executive officers (“</w:t>
      </w:r>
      <w:r>
        <w:rPr>
          <w:rFonts w:ascii="Arial" w:cs="Arial" w:eastAsia="Arial" w:hAnsi="Arial"/>
          <w:sz w:val="15"/>
          <w:szCs w:val="15"/>
          <w:u w:val="single" w:color="auto"/>
          <w:color w:val="auto"/>
        </w:rPr>
        <w:t>Proposal 2</w:t>
      </w:r>
      <w:r>
        <w:rPr>
          <w:rFonts w:ascii="Arial" w:cs="Arial" w:eastAsia="Arial" w:hAnsi="Arial"/>
          <w:sz w:val="15"/>
          <w:szCs w:val="15"/>
          <w:color w:val="auto"/>
        </w:rPr>
        <w:t>”); and (iii) the ratification of the selection of Grant Thornton LLP as Luna’s independent registered public accounting firm for the fiscal year ending December 31, 2018 (“</w:t>
      </w:r>
      <w:r>
        <w:rPr>
          <w:rFonts w:ascii="Arial" w:cs="Arial" w:eastAsia="Arial" w:hAnsi="Arial"/>
          <w:sz w:val="15"/>
          <w:szCs w:val="15"/>
          <w:u w:val="single" w:color="auto"/>
          <w:color w:val="auto"/>
        </w:rPr>
        <w:t>Proposal</w:t>
      </w:r>
      <w:r>
        <w:rPr>
          <w:rFonts w:ascii="Arial" w:cs="Arial" w:eastAsia="Arial" w:hAnsi="Arial"/>
          <w:sz w:val="15"/>
          <w:szCs w:val="15"/>
          <w:color w:val="auto"/>
        </w:rPr>
        <w:t xml:space="preserve"> </w:t>
      </w:r>
      <w:r>
        <w:rPr>
          <w:rFonts w:ascii="Arial" w:cs="Arial" w:eastAsia="Arial" w:hAnsi="Arial"/>
          <w:sz w:val="15"/>
          <w:szCs w:val="15"/>
          <w:u w:val="single" w:color="auto"/>
          <w:color w:val="auto"/>
        </w:rPr>
        <w:t>3</w:t>
      </w:r>
      <w:r>
        <w:rPr>
          <w:rFonts w:ascii="Arial" w:cs="Arial" w:eastAsia="Arial" w:hAnsi="Arial"/>
          <w:sz w:val="15"/>
          <w:szCs w:val="15"/>
          <w:color w:val="auto"/>
        </w:rPr>
        <w:t>”).</w:t>
      </w:r>
    </w:p>
    <w:p>
      <w:pPr>
        <w:spacing w:after="0" w:line="250" w:lineRule="exact"/>
        <w:rPr>
          <w:sz w:val="20"/>
          <w:szCs w:val="20"/>
          <w:color w:val="auto"/>
        </w:rPr>
      </w:pPr>
    </w:p>
    <w:p>
      <w:pPr>
        <w:spacing w:after="0"/>
        <w:rPr>
          <w:sz w:val="20"/>
          <w:szCs w:val="20"/>
          <w:color w:val="auto"/>
        </w:rPr>
      </w:pPr>
      <w:r>
        <w:rPr>
          <w:rFonts w:ascii="Arial" w:cs="Arial" w:eastAsia="Arial" w:hAnsi="Arial"/>
          <w:sz w:val="15"/>
          <w:szCs w:val="15"/>
          <w:i w:val="1"/>
          <w:iCs w:val="1"/>
          <w:color w:val="auto"/>
        </w:rPr>
        <w:t>Proposal 1. Election of Directors</w:t>
      </w:r>
    </w:p>
    <w:p>
      <w:pPr>
        <w:spacing w:after="0" w:line="105" w:lineRule="exact"/>
        <w:rPr>
          <w:sz w:val="20"/>
          <w:szCs w:val="20"/>
          <w:color w:val="auto"/>
        </w:rPr>
      </w:pPr>
    </w:p>
    <w:p>
      <w:pPr>
        <w:spacing w:after="0"/>
        <w:rPr>
          <w:sz w:val="20"/>
          <w:szCs w:val="20"/>
          <w:color w:val="auto"/>
        </w:rPr>
      </w:pPr>
      <w:r>
        <w:rPr>
          <w:rFonts w:ascii="Arial" w:cs="Arial" w:eastAsia="Arial" w:hAnsi="Arial"/>
          <w:sz w:val="15"/>
          <w:szCs w:val="15"/>
          <w:color w:val="auto"/>
        </w:rPr>
        <w:t>The vote with respect to the election of directors was as follows:</w:t>
      </w:r>
    </w:p>
    <w:p>
      <w:pPr>
        <w:spacing w:after="0" w:line="327" w:lineRule="exact"/>
        <w:rPr>
          <w:sz w:val="20"/>
          <w:szCs w:val="20"/>
          <w:color w:val="auto"/>
        </w:rPr>
      </w:pPr>
    </w:p>
    <w:tbl>
      <w:tblPr>
        <w:tblLayout w:type="fixed"/>
        <w:tblInd w:w="0" w:type="dxa"/>
        <w:tblCellMar>
          <w:top w:w="0" w:type="dxa"/>
          <w:left w:w="0" w:type="dxa"/>
          <w:bottom w:w="0" w:type="dxa"/>
          <w:right w:w="0" w:type="dxa"/>
        </w:tblCellMar>
      </w:tblPr>
      <w:tr>
        <w:trPr>
          <w:trHeight w:val="188"/>
        </w:trPr>
        <w:tc>
          <w:tcPr>
            <w:tcW w:w="4720" w:type="dxa"/>
            <w:vAlign w:val="bottom"/>
          </w:tcPr>
          <w:p>
            <w:pPr>
              <w:spacing w:after="0"/>
              <w:rPr>
                <w:sz w:val="16"/>
                <w:szCs w:val="16"/>
                <w:color w:val="auto"/>
              </w:rPr>
            </w:pPr>
          </w:p>
        </w:tc>
        <w:tc>
          <w:tcPr>
            <w:tcW w:w="16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700" w:type="dxa"/>
            <w:vAlign w:val="bottom"/>
            <w:gridSpan w:val="2"/>
          </w:tcPr>
          <w:p>
            <w:pPr>
              <w:jc w:val="center"/>
              <w:ind w:right="100"/>
              <w:spacing w:after="0"/>
              <w:rPr>
                <w:sz w:val="20"/>
                <w:szCs w:val="20"/>
                <w:color w:val="auto"/>
              </w:rPr>
            </w:pPr>
            <w:r>
              <w:rPr>
                <w:rFonts w:ascii="Arial" w:cs="Arial" w:eastAsia="Arial" w:hAnsi="Arial"/>
                <w:sz w:val="15"/>
                <w:szCs w:val="15"/>
                <w:color w:val="auto"/>
                <w:w w:val="88"/>
              </w:rPr>
              <w:t>FOR</w:t>
            </w:r>
          </w:p>
        </w:tc>
        <w:tc>
          <w:tcPr>
            <w:tcW w:w="1580" w:type="dxa"/>
            <w:vAlign w:val="bottom"/>
          </w:tcPr>
          <w:p>
            <w:pPr>
              <w:jc w:val="right"/>
              <w:ind w:right="306"/>
              <w:spacing w:after="0"/>
              <w:rPr>
                <w:sz w:val="20"/>
                <w:szCs w:val="20"/>
                <w:color w:val="auto"/>
              </w:rPr>
            </w:pPr>
            <w:r>
              <w:rPr>
                <w:rFonts w:ascii="Arial" w:cs="Arial" w:eastAsia="Arial" w:hAnsi="Arial"/>
                <w:sz w:val="15"/>
                <w:szCs w:val="15"/>
                <w:color w:val="auto"/>
              </w:rPr>
              <w:t>WITHHELD</w:t>
            </w:r>
          </w:p>
        </w:tc>
      </w:tr>
      <w:tr>
        <w:trPr>
          <w:trHeight w:val="45"/>
        </w:trPr>
        <w:tc>
          <w:tcPr>
            <w:tcW w:w="4720" w:type="dxa"/>
            <w:vAlign w:val="bottom"/>
          </w:tcPr>
          <w:p>
            <w:pPr>
              <w:spacing w:after="0"/>
              <w:rPr>
                <w:sz w:val="3"/>
                <w:szCs w:val="3"/>
                <w:color w:val="auto"/>
              </w:rPr>
            </w:pPr>
          </w:p>
        </w:tc>
        <w:tc>
          <w:tcPr>
            <w:tcW w:w="16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6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6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580" w:type="dxa"/>
            <w:vAlign w:val="bottom"/>
            <w:tcBorders>
              <w:bottom w:val="single" w:sz="8" w:color="auto"/>
            </w:tcBorders>
          </w:tcPr>
          <w:p>
            <w:pPr>
              <w:spacing w:after="0"/>
              <w:rPr>
                <w:sz w:val="3"/>
                <w:szCs w:val="3"/>
                <w:color w:val="auto"/>
              </w:rPr>
            </w:pPr>
          </w:p>
        </w:tc>
      </w:tr>
      <w:tr>
        <w:trPr>
          <w:trHeight w:val="190"/>
        </w:trPr>
        <w:tc>
          <w:tcPr>
            <w:tcW w:w="6440" w:type="dxa"/>
            <w:vAlign w:val="bottom"/>
            <w:gridSpan w:val="3"/>
          </w:tcPr>
          <w:p>
            <w:pPr>
              <w:ind w:left="100"/>
              <w:spacing w:after="0"/>
              <w:rPr>
                <w:sz w:val="20"/>
                <w:szCs w:val="20"/>
                <w:color w:val="auto"/>
              </w:rPr>
            </w:pPr>
            <w:r>
              <w:rPr>
                <w:rFonts w:ascii="Arial" w:cs="Arial" w:eastAsia="Arial" w:hAnsi="Arial"/>
                <w:sz w:val="15"/>
                <w:szCs w:val="15"/>
                <w:color w:val="auto"/>
              </w:rPr>
              <w:t>Scott A. Graeff</w:t>
            </w:r>
          </w:p>
        </w:tc>
        <w:tc>
          <w:tcPr>
            <w:tcW w:w="16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20" w:type="dxa"/>
            <w:vAlign w:val="bottom"/>
            <w:gridSpan w:val="2"/>
          </w:tcPr>
          <w:p>
            <w:pPr>
              <w:jc w:val="right"/>
              <w:ind w:right="86"/>
              <w:spacing w:after="0"/>
              <w:rPr>
                <w:sz w:val="20"/>
                <w:szCs w:val="20"/>
                <w:color w:val="auto"/>
              </w:rPr>
            </w:pPr>
            <w:r>
              <w:rPr>
                <w:rFonts w:ascii="Arial" w:cs="Arial" w:eastAsia="Arial" w:hAnsi="Arial"/>
                <w:sz w:val="15"/>
                <w:szCs w:val="15"/>
                <w:color w:val="auto"/>
              </w:rPr>
              <w:t>12,263,850</w:t>
            </w:r>
          </w:p>
        </w:tc>
        <w:tc>
          <w:tcPr>
            <w:tcW w:w="100" w:type="dxa"/>
            <w:vAlign w:val="bottom"/>
          </w:tcPr>
          <w:p>
            <w:pPr>
              <w:spacing w:after="0"/>
              <w:rPr>
                <w:sz w:val="16"/>
                <w:szCs w:val="16"/>
                <w:color w:val="auto"/>
              </w:rPr>
            </w:pPr>
          </w:p>
        </w:tc>
        <w:tc>
          <w:tcPr>
            <w:tcW w:w="1580" w:type="dxa"/>
            <w:vAlign w:val="bottom"/>
          </w:tcPr>
          <w:p>
            <w:pPr>
              <w:jc w:val="right"/>
              <w:ind w:right="66"/>
              <w:spacing w:after="0"/>
              <w:rPr>
                <w:sz w:val="20"/>
                <w:szCs w:val="20"/>
                <w:color w:val="auto"/>
              </w:rPr>
            </w:pPr>
            <w:r>
              <w:rPr>
                <w:rFonts w:ascii="Arial" w:cs="Arial" w:eastAsia="Arial" w:hAnsi="Arial"/>
                <w:sz w:val="15"/>
                <w:szCs w:val="15"/>
                <w:color w:val="auto"/>
              </w:rPr>
              <w:t>399,853</w:t>
            </w:r>
          </w:p>
        </w:tc>
      </w:tr>
      <w:tr>
        <w:trPr>
          <w:trHeight w:val="244"/>
        </w:trPr>
        <w:tc>
          <w:tcPr>
            <w:tcW w:w="6440" w:type="dxa"/>
            <w:vAlign w:val="bottom"/>
            <w:gridSpan w:val="3"/>
          </w:tcPr>
          <w:p>
            <w:pPr>
              <w:ind w:left="100"/>
              <w:spacing w:after="0"/>
              <w:rPr>
                <w:sz w:val="20"/>
                <w:szCs w:val="20"/>
                <w:color w:val="auto"/>
              </w:rPr>
            </w:pPr>
            <w:r>
              <w:rPr>
                <w:rFonts w:ascii="Arial" w:cs="Arial" w:eastAsia="Arial" w:hAnsi="Arial"/>
                <w:sz w:val="15"/>
                <w:szCs w:val="15"/>
                <w:color w:val="auto"/>
              </w:rPr>
              <w:t>Donald Pastor</w:t>
            </w:r>
          </w:p>
        </w:tc>
        <w:tc>
          <w:tcPr>
            <w:tcW w:w="16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620" w:type="dxa"/>
            <w:vAlign w:val="bottom"/>
            <w:gridSpan w:val="2"/>
          </w:tcPr>
          <w:p>
            <w:pPr>
              <w:jc w:val="right"/>
              <w:ind w:right="86"/>
              <w:spacing w:after="0"/>
              <w:rPr>
                <w:sz w:val="20"/>
                <w:szCs w:val="20"/>
                <w:color w:val="auto"/>
              </w:rPr>
            </w:pPr>
            <w:r>
              <w:rPr>
                <w:rFonts w:ascii="Arial" w:cs="Arial" w:eastAsia="Arial" w:hAnsi="Arial"/>
                <w:sz w:val="15"/>
                <w:szCs w:val="15"/>
                <w:color w:val="auto"/>
              </w:rPr>
              <w:t>11,627,737</w:t>
            </w:r>
          </w:p>
        </w:tc>
        <w:tc>
          <w:tcPr>
            <w:tcW w:w="100" w:type="dxa"/>
            <w:vAlign w:val="bottom"/>
          </w:tcPr>
          <w:p>
            <w:pPr>
              <w:spacing w:after="0"/>
              <w:rPr>
                <w:sz w:val="21"/>
                <w:szCs w:val="21"/>
                <w:color w:val="auto"/>
              </w:rPr>
            </w:pPr>
          </w:p>
        </w:tc>
        <w:tc>
          <w:tcPr>
            <w:tcW w:w="1580" w:type="dxa"/>
            <w:vAlign w:val="bottom"/>
          </w:tcPr>
          <w:p>
            <w:pPr>
              <w:jc w:val="right"/>
              <w:ind w:right="66"/>
              <w:spacing w:after="0"/>
              <w:rPr>
                <w:sz w:val="20"/>
                <w:szCs w:val="20"/>
                <w:color w:val="auto"/>
              </w:rPr>
            </w:pPr>
            <w:r>
              <w:rPr>
                <w:rFonts w:ascii="Arial" w:cs="Arial" w:eastAsia="Arial" w:hAnsi="Arial"/>
                <w:sz w:val="15"/>
                <w:szCs w:val="15"/>
                <w:color w:val="auto"/>
              </w:rPr>
              <w:t>1,035,966</w:t>
            </w:r>
          </w:p>
        </w:tc>
      </w:tr>
      <w:tr>
        <w:trPr>
          <w:trHeight w:val="244"/>
        </w:trPr>
        <w:tc>
          <w:tcPr>
            <w:tcW w:w="6440" w:type="dxa"/>
            <w:vAlign w:val="bottom"/>
            <w:gridSpan w:val="3"/>
          </w:tcPr>
          <w:p>
            <w:pPr>
              <w:ind w:left="100"/>
              <w:spacing w:after="0"/>
              <w:rPr>
                <w:sz w:val="20"/>
                <w:szCs w:val="20"/>
                <w:color w:val="auto"/>
              </w:rPr>
            </w:pPr>
            <w:r>
              <w:rPr>
                <w:rFonts w:ascii="Arial" w:cs="Arial" w:eastAsia="Arial" w:hAnsi="Arial"/>
                <w:sz w:val="15"/>
                <w:szCs w:val="15"/>
                <w:color w:val="auto"/>
              </w:rPr>
              <w:t>N. Leigh Anderson</w:t>
            </w:r>
          </w:p>
        </w:tc>
        <w:tc>
          <w:tcPr>
            <w:tcW w:w="16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620" w:type="dxa"/>
            <w:vAlign w:val="bottom"/>
            <w:gridSpan w:val="2"/>
          </w:tcPr>
          <w:p>
            <w:pPr>
              <w:jc w:val="right"/>
              <w:ind w:right="86"/>
              <w:spacing w:after="0"/>
              <w:rPr>
                <w:sz w:val="20"/>
                <w:szCs w:val="20"/>
                <w:color w:val="auto"/>
              </w:rPr>
            </w:pPr>
            <w:r>
              <w:rPr>
                <w:rFonts w:ascii="Arial" w:cs="Arial" w:eastAsia="Arial" w:hAnsi="Arial"/>
                <w:sz w:val="15"/>
                <w:szCs w:val="15"/>
                <w:color w:val="auto"/>
              </w:rPr>
              <w:t>12,243,316</w:t>
            </w:r>
          </w:p>
        </w:tc>
        <w:tc>
          <w:tcPr>
            <w:tcW w:w="100" w:type="dxa"/>
            <w:vAlign w:val="bottom"/>
          </w:tcPr>
          <w:p>
            <w:pPr>
              <w:spacing w:after="0"/>
              <w:rPr>
                <w:sz w:val="21"/>
                <w:szCs w:val="21"/>
                <w:color w:val="auto"/>
              </w:rPr>
            </w:pPr>
          </w:p>
        </w:tc>
        <w:tc>
          <w:tcPr>
            <w:tcW w:w="1580" w:type="dxa"/>
            <w:vAlign w:val="bottom"/>
          </w:tcPr>
          <w:p>
            <w:pPr>
              <w:jc w:val="right"/>
              <w:ind w:right="66"/>
              <w:spacing w:after="0"/>
              <w:rPr>
                <w:sz w:val="20"/>
                <w:szCs w:val="20"/>
                <w:color w:val="auto"/>
              </w:rPr>
            </w:pPr>
            <w:r>
              <w:rPr>
                <w:rFonts w:ascii="Arial" w:cs="Arial" w:eastAsia="Arial" w:hAnsi="Arial"/>
                <w:sz w:val="15"/>
                <w:szCs w:val="15"/>
                <w:color w:val="auto"/>
              </w:rPr>
              <w:t>420,387</w:t>
            </w:r>
          </w:p>
        </w:tc>
      </w:tr>
      <w:tr>
        <w:trPr>
          <w:trHeight w:val="510"/>
        </w:trPr>
        <w:tc>
          <w:tcPr>
            <w:tcW w:w="6440" w:type="dxa"/>
            <w:vAlign w:val="bottom"/>
            <w:gridSpan w:val="3"/>
          </w:tcPr>
          <w:p>
            <w:pPr>
              <w:spacing w:after="0"/>
              <w:rPr>
                <w:sz w:val="20"/>
                <w:szCs w:val="20"/>
                <w:color w:val="auto"/>
              </w:rPr>
            </w:pPr>
            <w:r>
              <w:rPr>
                <w:rFonts w:ascii="Arial" w:cs="Arial" w:eastAsia="Arial" w:hAnsi="Arial"/>
                <w:sz w:val="15"/>
                <w:szCs w:val="15"/>
                <w:i w:val="1"/>
                <w:iCs w:val="1"/>
                <w:color w:val="auto"/>
              </w:rPr>
              <w:t>Proposal 2. Advisory Vote on Executive Compensation</w:t>
            </w:r>
          </w:p>
        </w:tc>
        <w:tc>
          <w:tcPr>
            <w:tcW w:w="16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80" w:type="dxa"/>
            <w:vAlign w:val="bottom"/>
          </w:tcPr>
          <w:p>
            <w:pPr>
              <w:spacing w:after="0"/>
              <w:rPr>
                <w:sz w:val="24"/>
                <w:szCs w:val="24"/>
                <w:color w:val="auto"/>
              </w:rPr>
            </w:pPr>
          </w:p>
        </w:tc>
      </w:tr>
      <w:tr>
        <w:trPr>
          <w:trHeight w:val="277"/>
        </w:trPr>
        <w:tc>
          <w:tcPr>
            <w:tcW w:w="6440" w:type="dxa"/>
            <w:vAlign w:val="bottom"/>
            <w:gridSpan w:val="3"/>
          </w:tcPr>
          <w:p>
            <w:pPr>
              <w:spacing w:after="0"/>
              <w:rPr>
                <w:sz w:val="20"/>
                <w:szCs w:val="20"/>
                <w:color w:val="auto"/>
              </w:rPr>
            </w:pPr>
            <w:r>
              <w:rPr>
                <w:rFonts w:ascii="Arial" w:cs="Arial" w:eastAsia="Arial" w:hAnsi="Arial"/>
                <w:sz w:val="15"/>
                <w:szCs w:val="15"/>
                <w:color w:val="auto"/>
              </w:rPr>
              <w:t>The advisory vote on the compensation of Luna’s named executive officers was as follows:</w:t>
            </w:r>
          </w:p>
        </w:tc>
        <w:tc>
          <w:tcPr>
            <w:tcW w:w="16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80" w:type="dxa"/>
            <w:vAlign w:val="bottom"/>
          </w:tcPr>
          <w:p>
            <w:pPr>
              <w:spacing w:after="0"/>
              <w:rPr>
                <w:sz w:val="24"/>
                <w:szCs w:val="24"/>
                <w:color w:val="auto"/>
              </w:rPr>
            </w:pPr>
          </w:p>
        </w:tc>
      </w:tr>
      <w:tr>
        <w:trPr>
          <w:trHeight w:val="411"/>
        </w:trPr>
        <w:tc>
          <w:tcPr>
            <w:tcW w:w="4720" w:type="dxa"/>
            <w:vAlign w:val="bottom"/>
          </w:tcPr>
          <w:p>
            <w:pPr>
              <w:spacing w:after="0"/>
              <w:rPr>
                <w:sz w:val="24"/>
                <w:szCs w:val="24"/>
                <w:color w:val="auto"/>
              </w:rPr>
            </w:pPr>
          </w:p>
        </w:tc>
        <w:tc>
          <w:tcPr>
            <w:tcW w:w="1720" w:type="dxa"/>
            <w:vAlign w:val="bottom"/>
            <w:gridSpan w:val="2"/>
          </w:tcPr>
          <w:p>
            <w:pPr>
              <w:ind w:left="680"/>
              <w:spacing w:after="0"/>
              <w:rPr>
                <w:sz w:val="20"/>
                <w:szCs w:val="20"/>
                <w:color w:val="auto"/>
              </w:rPr>
            </w:pPr>
            <w:r>
              <w:rPr>
                <w:rFonts w:ascii="Arial" w:cs="Arial" w:eastAsia="Arial" w:hAnsi="Arial"/>
                <w:sz w:val="15"/>
                <w:szCs w:val="15"/>
                <w:color w:val="auto"/>
              </w:rPr>
              <w:t>FOR</w:t>
            </w:r>
          </w:p>
        </w:tc>
        <w:tc>
          <w:tcPr>
            <w:tcW w:w="1700" w:type="dxa"/>
            <w:vAlign w:val="bottom"/>
            <w:gridSpan w:val="2"/>
          </w:tcPr>
          <w:p>
            <w:pPr>
              <w:ind w:left="500"/>
              <w:spacing w:after="0"/>
              <w:rPr>
                <w:sz w:val="20"/>
                <w:szCs w:val="20"/>
                <w:color w:val="auto"/>
              </w:rPr>
            </w:pPr>
            <w:r>
              <w:rPr>
                <w:rFonts w:ascii="Arial" w:cs="Arial" w:eastAsia="Arial" w:hAnsi="Arial"/>
                <w:sz w:val="15"/>
                <w:szCs w:val="15"/>
                <w:color w:val="auto"/>
              </w:rPr>
              <w:t>AGAINST</w:t>
            </w:r>
          </w:p>
        </w:tc>
        <w:tc>
          <w:tcPr>
            <w:tcW w:w="20" w:type="dxa"/>
            <w:vAlign w:val="bottom"/>
          </w:tcPr>
          <w:p>
            <w:pPr>
              <w:spacing w:after="0"/>
              <w:rPr>
                <w:sz w:val="24"/>
                <w:szCs w:val="24"/>
                <w:color w:val="auto"/>
              </w:rPr>
            </w:pPr>
          </w:p>
        </w:tc>
        <w:tc>
          <w:tcPr>
            <w:tcW w:w="1700" w:type="dxa"/>
            <w:vAlign w:val="bottom"/>
            <w:gridSpan w:val="2"/>
          </w:tcPr>
          <w:p>
            <w:pPr>
              <w:jc w:val="center"/>
              <w:ind w:right="80"/>
              <w:spacing w:after="0"/>
              <w:rPr>
                <w:sz w:val="20"/>
                <w:szCs w:val="20"/>
                <w:color w:val="auto"/>
              </w:rPr>
            </w:pPr>
            <w:r>
              <w:rPr>
                <w:rFonts w:ascii="Arial" w:cs="Arial" w:eastAsia="Arial" w:hAnsi="Arial"/>
                <w:sz w:val="15"/>
                <w:szCs w:val="15"/>
                <w:color w:val="auto"/>
                <w:w w:val="96"/>
              </w:rPr>
              <w:t>ABSTAIN</w:t>
            </w:r>
          </w:p>
        </w:tc>
        <w:tc>
          <w:tcPr>
            <w:tcW w:w="1580" w:type="dxa"/>
            <w:vAlign w:val="bottom"/>
          </w:tcPr>
          <w:p>
            <w:pPr>
              <w:jc w:val="right"/>
              <w:spacing w:after="0"/>
              <w:rPr>
                <w:sz w:val="20"/>
                <w:szCs w:val="20"/>
                <w:color w:val="auto"/>
              </w:rPr>
            </w:pPr>
            <w:r>
              <w:rPr>
                <w:rFonts w:ascii="Arial" w:cs="Arial" w:eastAsia="Arial" w:hAnsi="Arial"/>
                <w:sz w:val="15"/>
                <w:szCs w:val="15"/>
                <w:color w:val="auto"/>
                <w:w w:val="98"/>
              </w:rPr>
              <w:t>BROKER NON-VOTES</w:t>
            </w:r>
          </w:p>
        </w:tc>
      </w:tr>
      <w:tr>
        <w:trPr>
          <w:trHeight w:val="45"/>
        </w:trPr>
        <w:tc>
          <w:tcPr>
            <w:tcW w:w="4720" w:type="dxa"/>
            <w:vAlign w:val="bottom"/>
          </w:tcPr>
          <w:p>
            <w:pPr>
              <w:spacing w:after="0"/>
              <w:rPr>
                <w:sz w:val="3"/>
                <w:szCs w:val="3"/>
                <w:color w:val="auto"/>
              </w:rPr>
            </w:pPr>
          </w:p>
        </w:tc>
        <w:tc>
          <w:tcPr>
            <w:tcW w:w="1600" w:type="dxa"/>
            <w:vAlign w:val="bottom"/>
            <w:tcBorders>
              <w:bottom w:val="single" w:sz="8" w:color="auto"/>
            </w:tcBorders>
          </w:tcPr>
          <w:p>
            <w:pPr>
              <w:spacing w:after="0"/>
              <w:rPr>
                <w:sz w:val="3"/>
                <w:szCs w:val="3"/>
                <w:color w:val="auto"/>
              </w:rPr>
            </w:pPr>
          </w:p>
        </w:tc>
        <w:tc>
          <w:tcPr>
            <w:tcW w:w="120" w:type="dxa"/>
            <w:vAlign w:val="bottom"/>
          </w:tcPr>
          <w:p>
            <w:pPr>
              <w:spacing w:after="0"/>
              <w:rPr>
                <w:sz w:val="3"/>
                <w:szCs w:val="3"/>
                <w:color w:val="auto"/>
              </w:rPr>
            </w:pPr>
          </w:p>
        </w:tc>
        <w:tc>
          <w:tcPr>
            <w:tcW w:w="16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580" w:type="dxa"/>
            <w:vAlign w:val="bottom"/>
            <w:tcBorders>
              <w:bottom w:val="single" w:sz="8" w:color="auto"/>
            </w:tcBorders>
          </w:tcPr>
          <w:p>
            <w:pPr>
              <w:spacing w:after="0"/>
              <w:rPr>
                <w:sz w:val="3"/>
                <w:szCs w:val="3"/>
                <w:color w:val="auto"/>
              </w:rPr>
            </w:pPr>
          </w:p>
        </w:tc>
      </w:tr>
      <w:tr>
        <w:trPr>
          <w:trHeight w:val="190"/>
        </w:trPr>
        <w:tc>
          <w:tcPr>
            <w:tcW w:w="6320" w:type="dxa"/>
            <w:vAlign w:val="bottom"/>
            <w:gridSpan w:val="2"/>
          </w:tcPr>
          <w:p>
            <w:pPr>
              <w:ind w:left="5520"/>
              <w:spacing w:after="0"/>
              <w:rPr>
                <w:sz w:val="20"/>
                <w:szCs w:val="20"/>
                <w:color w:val="auto"/>
              </w:rPr>
            </w:pPr>
            <w:r>
              <w:rPr>
                <w:rFonts w:ascii="Arial" w:cs="Arial" w:eastAsia="Arial" w:hAnsi="Arial"/>
                <w:sz w:val="15"/>
                <w:szCs w:val="15"/>
                <w:color w:val="auto"/>
              </w:rPr>
              <w:t>11,469,593</w:t>
            </w:r>
          </w:p>
        </w:tc>
        <w:tc>
          <w:tcPr>
            <w:tcW w:w="120" w:type="dxa"/>
            <w:vAlign w:val="bottom"/>
          </w:tcPr>
          <w:p>
            <w:pPr>
              <w:spacing w:after="0"/>
              <w:rPr>
                <w:sz w:val="16"/>
                <w:szCs w:val="16"/>
                <w:color w:val="auto"/>
              </w:rPr>
            </w:pPr>
          </w:p>
        </w:tc>
        <w:tc>
          <w:tcPr>
            <w:tcW w:w="1620" w:type="dxa"/>
            <w:vAlign w:val="bottom"/>
          </w:tcPr>
          <w:p>
            <w:pPr>
              <w:jc w:val="right"/>
              <w:ind w:right="86"/>
              <w:spacing w:after="0"/>
              <w:rPr>
                <w:sz w:val="20"/>
                <w:szCs w:val="20"/>
                <w:color w:val="auto"/>
              </w:rPr>
            </w:pPr>
            <w:r>
              <w:rPr>
                <w:rFonts w:ascii="Arial" w:cs="Arial" w:eastAsia="Arial" w:hAnsi="Arial"/>
                <w:sz w:val="15"/>
                <w:szCs w:val="15"/>
                <w:color w:val="auto"/>
              </w:rPr>
              <w:t>1,087,076</w:t>
            </w:r>
          </w:p>
        </w:tc>
        <w:tc>
          <w:tcPr>
            <w:tcW w:w="80" w:type="dxa"/>
            <w:vAlign w:val="bottom"/>
          </w:tcPr>
          <w:p>
            <w:pPr>
              <w:spacing w:after="0"/>
              <w:rPr>
                <w:sz w:val="16"/>
                <w:szCs w:val="16"/>
                <w:color w:val="auto"/>
              </w:rPr>
            </w:pPr>
          </w:p>
        </w:tc>
        <w:tc>
          <w:tcPr>
            <w:tcW w:w="1620" w:type="dxa"/>
            <w:vAlign w:val="bottom"/>
            <w:gridSpan w:val="2"/>
          </w:tcPr>
          <w:p>
            <w:pPr>
              <w:jc w:val="right"/>
              <w:ind w:right="66"/>
              <w:spacing w:after="0"/>
              <w:rPr>
                <w:sz w:val="20"/>
                <w:szCs w:val="20"/>
                <w:color w:val="auto"/>
              </w:rPr>
            </w:pPr>
            <w:r>
              <w:rPr>
                <w:rFonts w:ascii="Arial" w:cs="Arial" w:eastAsia="Arial" w:hAnsi="Arial"/>
                <w:sz w:val="15"/>
                <w:szCs w:val="15"/>
                <w:color w:val="auto"/>
              </w:rPr>
              <w:t>107,034</w:t>
            </w:r>
          </w:p>
        </w:tc>
        <w:tc>
          <w:tcPr>
            <w:tcW w:w="100" w:type="dxa"/>
            <w:vAlign w:val="bottom"/>
          </w:tcPr>
          <w:p>
            <w:pPr>
              <w:spacing w:after="0"/>
              <w:rPr>
                <w:sz w:val="16"/>
                <w:szCs w:val="16"/>
                <w:color w:val="auto"/>
              </w:rPr>
            </w:pPr>
          </w:p>
        </w:tc>
        <w:tc>
          <w:tcPr>
            <w:tcW w:w="1580" w:type="dxa"/>
            <w:vAlign w:val="bottom"/>
          </w:tcPr>
          <w:p>
            <w:pPr>
              <w:jc w:val="right"/>
              <w:ind w:right="66"/>
              <w:spacing w:after="0"/>
              <w:rPr>
                <w:sz w:val="20"/>
                <w:szCs w:val="20"/>
                <w:color w:val="auto"/>
              </w:rPr>
            </w:pPr>
            <w:r>
              <w:rPr>
                <w:rFonts w:ascii="Arial" w:cs="Arial" w:eastAsia="Arial" w:hAnsi="Arial"/>
                <w:sz w:val="15"/>
                <w:szCs w:val="15"/>
                <w:color w:val="auto"/>
              </w:rPr>
              <w:t>11,948,599</w:t>
            </w:r>
          </w:p>
        </w:tc>
      </w:tr>
    </w:tbl>
    <w:p>
      <w:pPr>
        <w:spacing w:after="0" w:line="367" w:lineRule="exact"/>
        <w:rPr>
          <w:sz w:val="20"/>
          <w:szCs w:val="20"/>
          <w:color w:val="auto"/>
        </w:rPr>
      </w:pPr>
    </w:p>
    <w:p>
      <w:pPr>
        <w:spacing w:after="0"/>
        <w:rPr>
          <w:sz w:val="20"/>
          <w:szCs w:val="20"/>
          <w:color w:val="auto"/>
        </w:rPr>
      </w:pPr>
      <w:r>
        <w:rPr>
          <w:rFonts w:ascii="Arial" w:cs="Arial" w:eastAsia="Arial" w:hAnsi="Arial"/>
          <w:sz w:val="15"/>
          <w:szCs w:val="15"/>
          <w:i w:val="1"/>
          <w:iCs w:val="1"/>
          <w:color w:val="auto"/>
        </w:rPr>
        <w:t>Proposal 3. Ratification of Selection of Independent Registered Public Accounting Firm</w:t>
      </w:r>
    </w:p>
    <w:p>
      <w:pPr>
        <w:spacing w:after="0" w:line="127" w:lineRule="exact"/>
        <w:rPr>
          <w:sz w:val="20"/>
          <w:szCs w:val="20"/>
          <w:color w:val="auto"/>
        </w:rPr>
      </w:pPr>
    </w:p>
    <w:p>
      <w:pPr>
        <w:spacing w:after="0"/>
        <w:rPr>
          <w:sz w:val="20"/>
          <w:szCs w:val="20"/>
          <w:color w:val="auto"/>
        </w:rPr>
      </w:pPr>
      <w:r>
        <w:rPr>
          <w:rFonts w:ascii="Arial" w:cs="Arial" w:eastAsia="Arial" w:hAnsi="Arial"/>
          <w:sz w:val="13"/>
          <w:szCs w:val="13"/>
          <w:color w:val="auto"/>
        </w:rPr>
        <w:t>The vote with respect to the ratification of the selection of Grant Thornton LLP as Luna’s independent registered public accounting firm for the year ending December 31, 2018 was as follows:</w:t>
      </w:r>
    </w:p>
    <w:p>
      <w:pPr>
        <w:spacing w:after="0" w:line="272" w:lineRule="exact"/>
        <w:rPr>
          <w:sz w:val="20"/>
          <w:szCs w:val="20"/>
          <w:color w:val="auto"/>
        </w:rPr>
      </w:pPr>
    </w:p>
    <w:tbl>
      <w:tblPr>
        <w:tblLayout w:type="fixed"/>
        <w:tblInd w:w="4720" w:type="dxa"/>
        <w:tblCellMar>
          <w:top w:w="0" w:type="dxa"/>
          <w:left w:w="0" w:type="dxa"/>
          <w:bottom w:w="0" w:type="dxa"/>
          <w:right w:w="0" w:type="dxa"/>
        </w:tblCellMar>
      </w:tblPr>
      <w:tr>
        <w:trPr>
          <w:trHeight w:val="188"/>
        </w:trPr>
        <w:tc>
          <w:tcPr>
            <w:tcW w:w="1720" w:type="dxa"/>
            <w:vAlign w:val="bottom"/>
            <w:gridSpan w:val="2"/>
          </w:tcPr>
          <w:p>
            <w:pPr>
              <w:ind w:left="680"/>
              <w:spacing w:after="0"/>
              <w:rPr>
                <w:sz w:val="20"/>
                <w:szCs w:val="20"/>
                <w:color w:val="auto"/>
              </w:rPr>
            </w:pPr>
            <w:r>
              <w:rPr>
                <w:rFonts w:ascii="Arial" w:cs="Arial" w:eastAsia="Arial" w:hAnsi="Arial"/>
                <w:sz w:val="15"/>
                <w:szCs w:val="15"/>
                <w:color w:val="auto"/>
              </w:rPr>
              <w:t>FOR</w:t>
            </w:r>
          </w:p>
        </w:tc>
        <w:tc>
          <w:tcPr>
            <w:tcW w:w="1720" w:type="dxa"/>
            <w:vAlign w:val="bottom"/>
            <w:gridSpan w:val="2"/>
          </w:tcPr>
          <w:p>
            <w:pPr>
              <w:ind w:left="500"/>
              <w:spacing w:after="0"/>
              <w:rPr>
                <w:sz w:val="20"/>
                <w:szCs w:val="20"/>
                <w:color w:val="auto"/>
              </w:rPr>
            </w:pPr>
            <w:r>
              <w:rPr>
                <w:rFonts w:ascii="Arial" w:cs="Arial" w:eastAsia="Arial" w:hAnsi="Arial"/>
                <w:sz w:val="15"/>
                <w:szCs w:val="15"/>
                <w:color w:val="auto"/>
              </w:rPr>
              <w:t>AGAINST</w:t>
            </w:r>
          </w:p>
        </w:tc>
        <w:tc>
          <w:tcPr>
            <w:tcW w:w="1700" w:type="dxa"/>
            <w:vAlign w:val="bottom"/>
            <w:gridSpan w:val="2"/>
          </w:tcPr>
          <w:p>
            <w:pPr>
              <w:ind w:left="500"/>
              <w:spacing w:after="0"/>
              <w:rPr>
                <w:sz w:val="20"/>
                <w:szCs w:val="20"/>
                <w:color w:val="auto"/>
              </w:rPr>
            </w:pPr>
            <w:r>
              <w:rPr>
                <w:rFonts w:ascii="Arial" w:cs="Arial" w:eastAsia="Arial" w:hAnsi="Arial"/>
                <w:sz w:val="15"/>
                <w:szCs w:val="15"/>
                <w:color w:val="auto"/>
              </w:rPr>
              <w:t>ABSTAIN</w:t>
            </w:r>
          </w:p>
        </w:tc>
        <w:tc>
          <w:tcPr>
            <w:tcW w:w="1580" w:type="dxa"/>
            <w:vAlign w:val="bottom"/>
          </w:tcPr>
          <w:p>
            <w:pPr>
              <w:jc w:val="right"/>
              <w:spacing w:after="0"/>
              <w:rPr>
                <w:sz w:val="20"/>
                <w:szCs w:val="20"/>
                <w:color w:val="auto"/>
              </w:rPr>
            </w:pPr>
            <w:r>
              <w:rPr>
                <w:rFonts w:ascii="Arial" w:cs="Arial" w:eastAsia="Arial" w:hAnsi="Arial"/>
                <w:sz w:val="15"/>
                <w:szCs w:val="15"/>
                <w:color w:val="auto"/>
                <w:w w:val="98"/>
              </w:rPr>
              <w:t>BROKER NON-VOTES</w:t>
            </w:r>
          </w:p>
        </w:tc>
      </w:tr>
      <w:tr>
        <w:trPr>
          <w:trHeight w:val="45"/>
        </w:trPr>
        <w:tc>
          <w:tcPr>
            <w:tcW w:w="1600" w:type="dxa"/>
            <w:vAlign w:val="bottom"/>
            <w:tcBorders>
              <w:bottom w:val="single" w:sz="8" w:color="auto"/>
            </w:tcBorders>
          </w:tcPr>
          <w:p>
            <w:pPr>
              <w:spacing w:after="0"/>
              <w:rPr>
                <w:sz w:val="3"/>
                <w:szCs w:val="3"/>
                <w:color w:val="auto"/>
              </w:rPr>
            </w:pPr>
          </w:p>
        </w:tc>
        <w:tc>
          <w:tcPr>
            <w:tcW w:w="120" w:type="dxa"/>
            <w:vAlign w:val="bottom"/>
          </w:tcPr>
          <w:p>
            <w:pPr>
              <w:spacing w:after="0"/>
              <w:rPr>
                <w:sz w:val="3"/>
                <w:szCs w:val="3"/>
                <w:color w:val="auto"/>
              </w:rPr>
            </w:pPr>
          </w:p>
        </w:tc>
        <w:tc>
          <w:tcPr>
            <w:tcW w:w="162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6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580" w:type="dxa"/>
            <w:vAlign w:val="bottom"/>
            <w:tcBorders>
              <w:bottom w:val="single" w:sz="8" w:color="auto"/>
            </w:tcBorders>
          </w:tcPr>
          <w:p>
            <w:pPr>
              <w:spacing w:after="0"/>
              <w:rPr>
                <w:sz w:val="3"/>
                <w:szCs w:val="3"/>
                <w:color w:val="auto"/>
              </w:rPr>
            </w:pPr>
          </w:p>
        </w:tc>
      </w:tr>
      <w:tr>
        <w:trPr>
          <w:trHeight w:val="190"/>
        </w:trPr>
        <w:tc>
          <w:tcPr>
            <w:tcW w:w="1600" w:type="dxa"/>
            <w:vAlign w:val="bottom"/>
          </w:tcPr>
          <w:p>
            <w:pPr>
              <w:jc w:val="right"/>
              <w:ind w:right="66"/>
              <w:spacing w:after="0"/>
              <w:rPr>
                <w:sz w:val="20"/>
                <w:szCs w:val="20"/>
                <w:color w:val="auto"/>
              </w:rPr>
            </w:pPr>
            <w:r>
              <w:rPr>
                <w:rFonts w:ascii="Arial" w:cs="Arial" w:eastAsia="Arial" w:hAnsi="Arial"/>
                <w:sz w:val="15"/>
                <w:szCs w:val="15"/>
                <w:color w:val="auto"/>
              </w:rPr>
              <w:t>24,374,924</w:t>
            </w:r>
          </w:p>
        </w:tc>
        <w:tc>
          <w:tcPr>
            <w:tcW w:w="120" w:type="dxa"/>
            <w:vAlign w:val="bottom"/>
          </w:tcPr>
          <w:p>
            <w:pPr>
              <w:spacing w:after="0"/>
              <w:rPr>
                <w:sz w:val="16"/>
                <w:szCs w:val="16"/>
                <w:color w:val="auto"/>
              </w:rPr>
            </w:pPr>
          </w:p>
        </w:tc>
        <w:tc>
          <w:tcPr>
            <w:tcW w:w="1620" w:type="dxa"/>
            <w:vAlign w:val="bottom"/>
          </w:tcPr>
          <w:p>
            <w:pPr>
              <w:jc w:val="right"/>
              <w:ind w:right="86"/>
              <w:spacing w:after="0"/>
              <w:rPr>
                <w:sz w:val="20"/>
                <w:szCs w:val="20"/>
                <w:color w:val="auto"/>
              </w:rPr>
            </w:pPr>
            <w:r>
              <w:rPr>
                <w:rFonts w:ascii="Arial" w:cs="Arial" w:eastAsia="Arial" w:hAnsi="Arial"/>
                <w:sz w:val="15"/>
                <w:szCs w:val="15"/>
                <w:color w:val="auto"/>
              </w:rPr>
              <w:t>168,937</w:t>
            </w:r>
          </w:p>
        </w:tc>
        <w:tc>
          <w:tcPr>
            <w:tcW w:w="100" w:type="dxa"/>
            <w:vAlign w:val="bottom"/>
          </w:tcPr>
          <w:p>
            <w:pPr>
              <w:spacing w:after="0"/>
              <w:rPr>
                <w:sz w:val="16"/>
                <w:szCs w:val="16"/>
                <w:color w:val="auto"/>
              </w:rPr>
            </w:pPr>
          </w:p>
        </w:tc>
        <w:tc>
          <w:tcPr>
            <w:tcW w:w="1600" w:type="dxa"/>
            <w:vAlign w:val="bottom"/>
          </w:tcPr>
          <w:p>
            <w:pPr>
              <w:jc w:val="right"/>
              <w:ind w:right="66"/>
              <w:spacing w:after="0"/>
              <w:rPr>
                <w:sz w:val="20"/>
                <w:szCs w:val="20"/>
                <w:color w:val="auto"/>
              </w:rPr>
            </w:pPr>
            <w:r>
              <w:rPr>
                <w:rFonts w:ascii="Arial" w:cs="Arial" w:eastAsia="Arial" w:hAnsi="Arial"/>
                <w:sz w:val="15"/>
                <w:szCs w:val="15"/>
                <w:color w:val="auto"/>
              </w:rPr>
              <w:t>68,441</w:t>
            </w:r>
          </w:p>
        </w:tc>
        <w:tc>
          <w:tcPr>
            <w:tcW w:w="100" w:type="dxa"/>
            <w:vAlign w:val="bottom"/>
          </w:tcPr>
          <w:p>
            <w:pPr>
              <w:spacing w:after="0"/>
              <w:rPr>
                <w:sz w:val="16"/>
                <w:szCs w:val="16"/>
                <w:color w:val="auto"/>
              </w:rPr>
            </w:pPr>
          </w:p>
        </w:tc>
        <w:tc>
          <w:tcPr>
            <w:tcW w:w="1580" w:type="dxa"/>
            <w:vAlign w:val="bottom"/>
          </w:tcPr>
          <w:p>
            <w:pPr>
              <w:jc w:val="right"/>
              <w:ind w:right="66"/>
              <w:spacing w:after="0"/>
              <w:rPr>
                <w:sz w:val="20"/>
                <w:szCs w:val="20"/>
                <w:color w:val="auto"/>
              </w:rPr>
            </w:pPr>
            <w:r>
              <w:rPr>
                <w:rFonts w:ascii="Arial" w:cs="Arial" w:eastAsia="Arial" w:hAnsi="Arial"/>
                <w:sz w:val="15"/>
                <w:szCs w:val="15"/>
                <w:color w:val="auto"/>
              </w:rPr>
              <w:t>0</w:t>
            </w:r>
          </w:p>
        </w:tc>
      </w:tr>
    </w:tbl>
    <w:p>
      <w:pPr>
        <w:spacing w:after="0" w:line="163" w:lineRule="exact"/>
        <w:rPr>
          <w:sz w:val="20"/>
          <w:szCs w:val="20"/>
          <w:color w:val="auto"/>
        </w:rPr>
      </w:pPr>
    </w:p>
    <w:p>
      <w:pPr>
        <w:ind w:left="40"/>
        <w:spacing w:after="0"/>
        <w:tabs>
          <w:tab w:leader="none" w:pos="1160" w:val="left"/>
        </w:tabs>
        <w:rPr>
          <w:sz w:val="20"/>
          <w:szCs w:val="20"/>
          <w:color w:val="auto"/>
        </w:rPr>
      </w:pPr>
      <w:r>
        <w:rPr>
          <w:rFonts w:ascii="Arial" w:cs="Arial" w:eastAsia="Arial" w:hAnsi="Arial"/>
          <w:sz w:val="15"/>
          <w:szCs w:val="15"/>
          <w:b w:val="1"/>
          <w:bCs w:val="1"/>
          <w:color w:val="auto"/>
        </w:rPr>
        <w:t>Item 7.01</w:t>
      </w:r>
      <w:r>
        <w:rPr>
          <w:sz w:val="20"/>
          <w:szCs w:val="20"/>
          <w:color w:val="auto"/>
        </w:rPr>
        <w:tab/>
      </w:r>
      <w:r>
        <w:rPr>
          <w:rFonts w:ascii="Arial" w:cs="Arial" w:eastAsia="Arial" w:hAnsi="Arial"/>
          <w:sz w:val="13"/>
          <w:szCs w:val="13"/>
          <w:b w:val="1"/>
          <w:bCs w:val="1"/>
          <w:color w:val="auto"/>
        </w:rPr>
        <w:t>Regulation FD Disclosure.</w:t>
      </w:r>
    </w:p>
    <w:p>
      <w:pPr>
        <w:spacing w:after="0" w:line="120" w:lineRule="exact"/>
        <w:rPr>
          <w:sz w:val="20"/>
          <w:szCs w:val="20"/>
          <w:color w:val="auto"/>
        </w:rPr>
      </w:pPr>
    </w:p>
    <w:p>
      <w:pPr>
        <w:spacing w:after="0"/>
        <w:rPr>
          <w:sz w:val="20"/>
          <w:szCs w:val="20"/>
          <w:color w:val="auto"/>
        </w:rPr>
      </w:pPr>
      <w:r>
        <w:rPr>
          <w:rFonts w:ascii="Arial" w:cs="Arial" w:eastAsia="Arial" w:hAnsi="Arial"/>
          <w:sz w:val="15"/>
          <w:szCs w:val="15"/>
          <w:color w:val="auto"/>
        </w:rPr>
        <w:t>A copy of Luna’s updated corporate presentation is furnished as Exhibit 99.1 to this Current Report on Form 8-K.</w:t>
      </w:r>
    </w:p>
    <w:p>
      <w:pPr>
        <w:spacing w:after="0" w:line="183" w:lineRule="exact"/>
        <w:rPr>
          <w:sz w:val="20"/>
          <w:szCs w:val="20"/>
          <w:color w:val="auto"/>
        </w:rPr>
      </w:pPr>
    </w:p>
    <w:p>
      <w:pPr>
        <w:spacing w:after="0" w:line="257" w:lineRule="auto"/>
        <w:rPr>
          <w:sz w:val="20"/>
          <w:szCs w:val="20"/>
          <w:color w:val="auto"/>
        </w:rPr>
      </w:pPr>
      <w:r>
        <w:rPr>
          <w:rFonts w:ascii="Arial" w:cs="Arial" w:eastAsia="Arial" w:hAnsi="Arial"/>
          <w:sz w:val="15"/>
          <w:szCs w:val="15"/>
          <w:color w:val="auto"/>
        </w:rPr>
        <w:t>The information in this Item 7.01 of this Current Report on Form 8-K (including Exhibit 99.1) is being furnished and shall not be deemed “filed” for purposes of Section 18 of the Securities Exchange Act of 1934, as amended (the “</w:t>
      </w:r>
      <w:r>
        <w:rPr>
          <w:rFonts w:ascii="Arial" w:cs="Arial" w:eastAsia="Arial" w:hAnsi="Arial"/>
          <w:sz w:val="15"/>
          <w:szCs w:val="15"/>
          <w:u w:val="single" w:color="auto"/>
          <w:color w:val="auto"/>
        </w:rPr>
        <w:t>Exchange Act</w:t>
      </w:r>
      <w:r>
        <w:rPr>
          <w:rFonts w:ascii="Arial" w:cs="Arial" w:eastAsia="Arial" w:hAnsi="Arial"/>
          <w:sz w:val="15"/>
          <w:szCs w:val="15"/>
          <w:color w:val="auto"/>
          <w:highlight w:val="white"/>
        </w:rPr>
        <w:t>”), or otherwise subject to the liabilities of that Section, nor shall it be deemed incorporated by reference in any filing under the Securities</w:t>
      </w:r>
      <w:r>
        <w:rPr>
          <w:rFonts w:ascii="Arial" w:cs="Arial" w:eastAsia="Arial" w:hAnsi="Arial"/>
          <w:sz w:val="15"/>
          <w:szCs w:val="15"/>
          <w:color w:val="auto"/>
        </w:rPr>
        <w:t xml:space="preserve"> Act of 1933, as amended, or the Exchange Act, except as expressly set forth by specific reference in such a filing.</w:t>
      </w:r>
    </w:p>
    <w:p>
      <w:pPr>
        <w:spacing w:after="0" w:line="285" w:lineRule="exact"/>
        <w:rPr>
          <w:sz w:val="20"/>
          <w:szCs w:val="20"/>
          <w:color w:val="auto"/>
        </w:rPr>
      </w:pPr>
    </w:p>
    <w:p>
      <w:pPr>
        <w:ind w:left="40"/>
        <w:spacing w:after="0"/>
        <w:tabs>
          <w:tab w:leader="none" w:pos="1160" w:val="left"/>
        </w:tabs>
        <w:rPr>
          <w:sz w:val="20"/>
          <w:szCs w:val="20"/>
          <w:color w:val="auto"/>
        </w:rPr>
      </w:pPr>
      <w:r>
        <w:rPr>
          <w:rFonts w:ascii="Arial" w:cs="Arial" w:eastAsia="Arial" w:hAnsi="Arial"/>
          <w:sz w:val="15"/>
          <w:szCs w:val="15"/>
          <w:b w:val="1"/>
          <w:bCs w:val="1"/>
          <w:color w:val="auto"/>
        </w:rPr>
        <w:t>Item 9.01</w:t>
      </w:r>
      <w:r>
        <w:rPr>
          <w:sz w:val="20"/>
          <w:szCs w:val="20"/>
          <w:color w:val="auto"/>
        </w:rPr>
        <w:tab/>
      </w:r>
      <w:r>
        <w:rPr>
          <w:rFonts w:ascii="Arial" w:cs="Arial" w:eastAsia="Arial" w:hAnsi="Arial"/>
          <w:sz w:val="13"/>
          <w:szCs w:val="13"/>
          <w:b w:val="1"/>
          <w:bCs w:val="1"/>
          <w:color w:val="auto"/>
        </w:rPr>
        <w:t>Financial Statements and Exhibits.</w:t>
      </w:r>
    </w:p>
    <w:p>
      <w:pPr>
        <w:spacing w:after="0" w:line="120" w:lineRule="exact"/>
        <w:rPr>
          <w:sz w:val="20"/>
          <w:szCs w:val="20"/>
          <w:color w:val="auto"/>
        </w:rPr>
      </w:pPr>
    </w:p>
    <w:p>
      <w:pPr>
        <w:spacing w:after="0"/>
        <w:rPr>
          <w:sz w:val="20"/>
          <w:szCs w:val="20"/>
          <w:color w:val="auto"/>
        </w:rPr>
      </w:pPr>
      <w:r>
        <w:rPr>
          <w:rFonts w:ascii="Arial" w:cs="Arial" w:eastAsia="Arial" w:hAnsi="Arial"/>
          <w:sz w:val="15"/>
          <w:szCs w:val="15"/>
          <w:color w:val="auto"/>
        </w:rPr>
        <w:t>(d) Exhibits</w:t>
      </w:r>
    </w:p>
    <w:p>
      <w:pPr>
        <w:spacing w:after="0" w:line="388" w:lineRule="exact"/>
        <w:rPr>
          <w:sz w:val="20"/>
          <w:szCs w:val="20"/>
          <w:color w:val="auto"/>
        </w:rPr>
      </w:pPr>
    </w:p>
    <w:p>
      <w:pPr>
        <w:spacing w:after="0"/>
        <w:rPr>
          <w:sz w:val="20"/>
          <w:szCs w:val="20"/>
          <w:color w:val="auto"/>
        </w:rPr>
      </w:pPr>
      <w:r>
        <w:rPr>
          <w:rFonts w:ascii="Arial" w:cs="Arial" w:eastAsia="Arial" w:hAnsi="Arial"/>
          <w:sz w:val="12"/>
          <w:szCs w:val="12"/>
          <w:color w:val="auto"/>
        </w:rPr>
        <w:t>176728431 v1</w:t>
      </w:r>
    </w:p>
    <w:p>
      <w:pPr>
        <w:sectPr>
          <w:pgSz w:w="11900" w:h="16838" w:orient="portrait"/>
          <w:cols w:equalWidth="0" w:num="1">
            <w:col w:w="11440"/>
          </w:cols>
          <w:pgMar w:left="220" w:top="669" w:right="239" w:bottom="1440" w:gutter="0" w:footer="0" w:header="0"/>
        </w:sectPr>
      </w:pPr>
    </w:p>
    <w:bookmarkStart w:id="2" w:name="page3"/>
    <w:bookmarkEnd w:id="2"/>
    <w:p>
      <w:pPr>
        <w:ind w:left="280"/>
        <w:spacing w:after="0"/>
        <w:rPr>
          <w:sz w:val="20"/>
          <w:szCs w:val="20"/>
          <w:color w:val="auto"/>
        </w:rPr>
      </w:pPr>
      <w:r>
        <w:rPr>
          <w:rFonts w:ascii="Arial" w:cs="Arial" w:eastAsia="Arial" w:hAnsi="Arial"/>
          <w:sz w:val="15"/>
          <w:szCs w:val="15"/>
          <w:color w:val="auto"/>
        </w:rPr>
        <w:t>Exhibit</w:t>
      </w:r>
    </w:p>
    <w:p>
      <w:pPr>
        <w:spacing w:after="0" w:line="15" w:lineRule="exact"/>
        <w:rPr>
          <w:sz w:val="20"/>
          <w:szCs w:val="20"/>
          <w:color w:val="auto"/>
        </w:rPr>
      </w:pPr>
    </w:p>
    <w:p>
      <w:pPr>
        <w:ind w:left="400"/>
        <w:spacing w:after="0"/>
        <w:tabs>
          <w:tab w:leader="none" w:pos="1200" w:val="left"/>
        </w:tabs>
        <w:rPr>
          <w:sz w:val="20"/>
          <w:szCs w:val="20"/>
          <w:color w:val="auto"/>
        </w:rPr>
      </w:pPr>
      <w:r>
        <w:rPr>
          <w:rFonts w:ascii="Arial" w:cs="Arial" w:eastAsia="Arial" w:hAnsi="Arial"/>
          <w:sz w:val="15"/>
          <w:szCs w:val="15"/>
          <w:color w:val="auto"/>
        </w:rPr>
        <w:t>No.</w:t>
      </w:r>
      <w:r>
        <w:rPr>
          <w:sz w:val="20"/>
          <w:szCs w:val="20"/>
          <w:color w:val="auto"/>
        </w:rPr>
        <w:tab/>
      </w:r>
      <w:r>
        <w:rPr>
          <w:rFonts w:ascii="Arial" w:cs="Arial" w:eastAsia="Arial" w:hAnsi="Arial"/>
          <w:sz w:val="15"/>
          <w:szCs w:val="15"/>
          <w:color w:val="auto"/>
        </w:rPr>
        <w:t>Description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17780</wp:posOffset>
            </wp:positionV>
            <wp:extent cx="7221855" cy="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21855" cy="6985"/>
                    </a:xfrm>
                    <a:prstGeom prst="rect">
                      <a:avLst/>
                    </a:prstGeom>
                    <a:noFill/>
                  </pic:spPr>
                </pic:pic>
              </a:graphicData>
            </a:graphic>
          </wp:anchor>
        </w:drawing>
      </w:r>
    </w:p>
    <w:p>
      <w:pPr>
        <w:spacing w:after="0" w:line="130" w:lineRule="exact"/>
        <w:rPr>
          <w:sz w:val="20"/>
          <w:szCs w:val="20"/>
          <w:color w:val="auto"/>
        </w:rPr>
      </w:pPr>
    </w:p>
    <w:p>
      <w:pPr>
        <w:ind w:left="60"/>
        <w:spacing w:after="0"/>
        <w:tabs>
          <w:tab w:leader="none" w:pos="1200" w:val="left"/>
        </w:tabs>
        <w:rPr>
          <w:rFonts w:ascii="Arial" w:cs="Arial" w:eastAsia="Arial" w:hAnsi="Arial"/>
          <w:sz w:val="12"/>
          <w:szCs w:val="12"/>
          <w:u w:val="single" w:color="auto"/>
          <w:color w:val="0000FF"/>
        </w:rPr>
      </w:pPr>
      <w:r>
        <w:rPr>
          <w:rFonts w:ascii="Arial" w:cs="Arial" w:eastAsia="Arial" w:hAnsi="Arial"/>
          <w:sz w:val="15"/>
          <w:szCs w:val="15"/>
          <w:color w:val="auto"/>
        </w:rPr>
        <w:t>99.1</w:t>
      </w:r>
      <w:r>
        <w:rPr>
          <w:sz w:val="20"/>
          <w:szCs w:val="20"/>
          <w:color w:val="auto"/>
        </w:rPr>
        <w:tab/>
      </w:r>
      <w:hyperlink w:anchor="page5">
        <w:r>
          <w:rPr>
            <w:rFonts w:ascii="Arial" w:cs="Arial" w:eastAsia="Arial" w:hAnsi="Arial"/>
            <w:sz w:val="12"/>
            <w:szCs w:val="12"/>
            <w:u w:val="single" w:color="auto"/>
            <w:color w:val="0000FF"/>
          </w:rPr>
          <w:t>Corporate Presentation.</w:t>
        </w:r>
      </w:hyperlink>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spacing w:after="0"/>
        <w:rPr>
          <w:sz w:val="20"/>
          <w:szCs w:val="20"/>
          <w:color w:val="auto"/>
        </w:rPr>
      </w:pPr>
      <w:r>
        <w:rPr>
          <w:rFonts w:ascii="Arial" w:cs="Arial" w:eastAsia="Arial" w:hAnsi="Arial"/>
          <w:sz w:val="12"/>
          <w:szCs w:val="12"/>
          <w:color w:val="auto"/>
        </w:rPr>
        <w:t>176728431 v1</w:t>
      </w:r>
    </w:p>
    <w:p>
      <w:pPr>
        <w:sectPr>
          <w:pgSz w:w="11900" w:h="16838" w:orient="portrait"/>
          <w:cols w:equalWidth="0" w:num="1">
            <w:col w:w="10239"/>
          </w:cols>
          <w:pgMar w:left="220" w:top="917" w:right="1440" w:bottom="1440" w:gutter="0" w:footer="0" w:header="0"/>
        </w:sectPr>
      </w:pPr>
    </w:p>
    <w:bookmarkStart w:id="3" w:name="page4"/>
    <w:bookmarkEnd w:id="3"/>
    <w:p>
      <w:pPr>
        <w:ind w:left="5260"/>
        <w:spacing w:after="0"/>
        <w:rPr>
          <w:sz w:val="20"/>
          <w:szCs w:val="20"/>
          <w:color w:val="auto"/>
        </w:rPr>
      </w:pPr>
      <w:r>
        <w:rPr>
          <w:rFonts w:ascii="Arial" w:cs="Arial" w:eastAsia="Arial" w:hAnsi="Arial"/>
          <w:sz w:val="15"/>
          <w:szCs w:val="15"/>
          <w:b w:val="1"/>
          <w:bCs w:val="1"/>
          <w:color w:val="auto"/>
        </w:rPr>
        <w:t>SIGNATURES</w:t>
      </w:r>
    </w:p>
    <w:p>
      <w:pPr>
        <w:spacing w:after="0" w:line="175" w:lineRule="exact"/>
        <w:rPr>
          <w:sz w:val="20"/>
          <w:szCs w:val="20"/>
          <w:color w:val="auto"/>
        </w:rPr>
      </w:pPr>
    </w:p>
    <w:p>
      <w:pPr>
        <w:spacing w:after="0"/>
        <w:rPr>
          <w:sz w:val="20"/>
          <w:szCs w:val="20"/>
          <w:color w:val="auto"/>
        </w:rPr>
      </w:pPr>
      <w:r>
        <w:rPr>
          <w:rFonts w:ascii="Arial" w:cs="Arial" w:eastAsia="Arial" w:hAnsi="Arial"/>
          <w:sz w:val="13"/>
          <w:szCs w:val="13"/>
          <w:color w:val="auto"/>
        </w:rPr>
        <w:t>Pursuant to the requirements of the Securities Exchange Act of 1934, the registrant has duly caused this report to be signed on its behalf by the undersigned hereunto duly authorized.</w:t>
      </w:r>
    </w:p>
    <w:p>
      <w:pPr>
        <w:spacing w:after="0" w:line="200" w:lineRule="exact"/>
        <w:rPr>
          <w:sz w:val="20"/>
          <w:szCs w:val="20"/>
          <w:color w:val="auto"/>
        </w:rPr>
      </w:pPr>
    </w:p>
    <w:p>
      <w:pPr>
        <w:spacing w:after="0" w:line="223" w:lineRule="exact"/>
        <w:rPr>
          <w:sz w:val="20"/>
          <w:szCs w:val="20"/>
          <w:color w:val="auto"/>
        </w:rPr>
      </w:pPr>
    </w:p>
    <w:p>
      <w:pPr>
        <w:ind w:left="300"/>
        <w:spacing w:after="0"/>
        <w:rPr>
          <w:sz w:val="20"/>
          <w:szCs w:val="20"/>
          <w:color w:val="auto"/>
        </w:rPr>
      </w:pPr>
      <w:r>
        <w:rPr>
          <w:rFonts w:ascii="Arial" w:cs="Arial" w:eastAsia="Arial" w:hAnsi="Arial"/>
          <w:sz w:val="15"/>
          <w:szCs w:val="15"/>
          <w:b w:val="1"/>
          <w:bCs w:val="1"/>
          <w:color w:val="auto"/>
        </w:rPr>
        <w:t>Luna Innovations Incorporated</w:t>
      </w:r>
    </w:p>
    <w:p>
      <w:pPr>
        <w:spacing w:after="0" w:line="342" w:lineRule="exact"/>
        <w:rPr>
          <w:sz w:val="20"/>
          <w:szCs w:val="20"/>
          <w:color w:val="auto"/>
        </w:rPr>
      </w:pPr>
    </w:p>
    <w:p>
      <w:pPr>
        <w:ind w:left="200"/>
        <w:spacing w:after="0"/>
        <w:tabs>
          <w:tab w:leader="none" w:pos="1460" w:val="left"/>
        </w:tabs>
        <w:rPr>
          <w:sz w:val="20"/>
          <w:szCs w:val="20"/>
          <w:color w:val="auto"/>
        </w:rPr>
      </w:pPr>
      <w:r>
        <w:rPr>
          <w:rFonts w:ascii="Arial" w:cs="Arial" w:eastAsia="Arial" w:hAnsi="Arial"/>
          <w:sz w:val="15"/>
          <w:szCs w:val="15"/>
          <w:color w:val="auto"/>
        </w:rPr>
        <w:t>By:</w:t>
      </w:r>
      <w:r>
        <w:rPr>
          <w:sz w:val="20"/>
          <w:szCs w:val="20"/>
          <w:color w:val="auto"/>
        </w:rPr>
        <w:tab/>
      </w:r>
      <w:r>
        <w:rPr>
          <w:rFonts w:ascii="Arial" w:cs="Arial" w:eastAsia="Arial" w:hAnsi="Arial"/>
          <w:sz w:val="15"/>
          <w:szCs w:val="15"/>
          <w:color w:val="auto"/>
        </w:rPr>
        <w:t>/s/ Scott A. Graeff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893445</wp:posOffset>
            </wp:positionH>
            <wp:positionV relativeFrom="paragraph">
              <wp:posOffset>38100</wp:posOffset>
            </wp:positionV>
            <wp:extent cx="3635375" cy="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3635375" cy="6985"/>
                    </a:xfrm>
                    <a:prstGeom prst="rect">
                      <a:avLst/>
                    </a:prstGeom>
                    <a:noFill/>
                  </pic:spPr>
                </pic:pic>
              </a:graphicData>
            </a:graphic>
          </wp:anchor>
        </w:drawing>
      </w:r>
    </w:p>
    <w:p>
      <w:pPr>
        <w:spacing w:after="0" w:line="85"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Scott A. Graeff</w:t>
      </w:r>
    </w:p>
    <w:p>
      <w:pPr>
        <w:spacing w:after="0" w:line="15" w:lineRule="exact"/>
        <w:rPr>
          <w:sz w:val="20"/>
          <w:szCs w:val="20"/>
          <w:color w:val="auto"/>
        </w:rPr>
      </w:pPr>
    </w:p>
    <w:p>
      <w:pPr>
        <w:ind w:left="1480"/>
        <w:spacing w:after="0"/>
        <w:rPr>
          <w:sz w:val="20"/>
          <w:szCs w:val="20"/>
          <w:color w:val="auto"/>
        </w:rPr>
      </w:pPr>
      <w:r>
        <w:rPr>
          <w:rFonts w:ascii="Arial" w:cs="Arial" w:eastAsia="Arial" w:hAnsi="Arial"/>
          <w:sz w:val="15"/>
          <w:szCs w:val="15"/>
          <w:color w:val="auto"/>
        </w:rPr>
        <w:t>Chief Strategy Officer, Treasurer and Secretary</w:t>
      </w:r>
    </w:p>
    <w:p>
      <w:pPr>
        <w:spacing w:after="0" w:line="239" w:lineRule="exact"/>
        <w:rPr>
          <w:sz w:val="20"/>
          <w:szCs w:val="20"/>
          <w:color w:val="auto"/>
        </w:rPr>
      </w:pPr>
    </w:p>
    <w:p>
      <w:pPr>
        <w:spacing w:after="0"/>
        <w:rPr>
          <w:sz w:val="20"/>
          <w:szCs w:val="20"/>
          <w:color w:val="auto"/>
        </w:rPr>
      </w:pPr>
      <w:r>
        <w:rPr>
          <w:rFonts w:ascii="Arial" w:cs="Arial" w:eastAsia="Arial" w:hAnsi="Arial"/>
          <w:sz w:val="15"/>
          <w:szCs w:val="15"/>
          <w:color w:val="auto"/>
        </w:rPr>
        <w:t>Date: May 17, 2018</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spacing w:after="0"/>
        <w:rPr>
          <w:sz w:val="20"/>
          <w:szCs w:val="20"/>
          <w:color w:val="auto"/>
        </w:rPr>
      </w:pPr>
      <w:r>
        <w:rPr>
          <w:rFonts w:ascii="Arial" w:cs="Arial" w:eastAsia="Arial" w:hAnsi="Arial"/>
          <w:sz w:val="12"/>
          <w:szCs w:val="12"/>
          <w:color w:val="auto"/>
        </w:rPr>
        <w:t>176728431 v1</w:t>
      </w:r>
    </w:p>
    <w:p>
      <w:pPr>
        <w:sectPr>
          <w:pgSz w:w="11900" w:h="16838" w:orient="portrait"/>
          <w:cols w:equalWidth="0" w:num="1">
            <w:col w:w="10760"/>
          </w:cols>
          <w:pgMar w:left="220" w:top="768" w:right="919" w:bottom="1440" w:gutter="0" w:footer="0" w:header="0"/>
        </w:sectPr>
      </w:pPr>
    </w:p>
    <w:bookmarkStart w:id="4" w:name="page5"/>
    <w:bookmarkEnd w:id="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314325</wp:posOffset>
            </wp:positionV>
            <wp:extent cx="7212330" cy="4194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2017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12330" cy="42017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4616450</wp:posOffset>
            </wp:positionV>
            <wp:extent cx="7212330" cy="196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12330" cy="196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255270</wp:posOffset>
            </wp:positionH>
            <wp:positionV relativeFrom="page">
              <wp:posOffset>441325</wp:posOffset>
            </wp:positionV>
            <wp:extent cx="7212330" cy="4194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12330" cy="4194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327B23C6"/>
    <w:multiLevelType w:val="hybridMultilevel"/>
    <w:lvl w:ilvl="0">
      <w:lvlJc w:val="left"/>
      <w:lvlText w:val="o"/>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2019-12-28T21:59:41Z</dcterms:created>
  <dcterms:modified xsi:type="dcterms:W3CDTF">2019-12-28T21:59:41Z</dcterms:modified>
</cp:coreProperties>
</file>