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264160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10-K</w:t>
      </w:r>
    </w:p>
    <w:p>
      <w:pPr>
        <w:spacing w:after="0" w:line="79" w:lineRule="exact"/>
        <w:rPr>
          <w:sz w:val="24"/>
          <w:szCs w:val="24"/>
          <w:color w:val="auto"/>
        </w:rPr>
      </w:pPr>
    </w:p>
    <w:p>
      <w:pPr>
        <w:spacing w:after="0"/>
        <w:rPr>
          <w:sz w:val="20"/>
          <w:szCs w:val="20"/>
          <w:color w:val="auto"/>
        </w:rPr>
      </w:pPr>
      <w:r>
        <w:rPr>
          <w:rFonts w:ascii="Arial" w:cs="Arial" w:eastAsia="Arial" w:hAnsi="Arial"/>
          <w:sz w:val="11"/>
          <w:szCs w:val="11"/>
          <w:color w:val="auto"/>
        </w:rPr>
        <w:t>(MARK ONE)</w:t>
      </w:r>
    </w:p>
    <w:p>
      <w:pPr>
        <w:spacing w:after="0" w:line="123" w:lineRule="exact"/>
        <w:rPr>
          <w:sz w:val="24"/>
          <w:szCs w:val="24"/>
          <w:color w:val="auto"/>
        </w:rPr>
      </w:pPr>
    </w:p>
    <w:p>
      <w:pPr>
        <w:ind w:left="820" w:hanging="794"/>
        <w:spacing w:after="0"/>
        <w:tabs>
          <w:tab w:leader="none" w:pos="82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90"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FOR THE FISCAL YEAR ENDED DECEMBER 31, 2019</w:t>
      </w:r>
    </w:p>
    <w:p>
      <w:pPr>
        <w:spacing w:after="0" w:line="72"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OR</w:t>
      </w:r>
    </w:p>
    <w:p>
      <w:pPr>
        <w:spacing w:after="0" w:line="126" w:lineRule="exact"/>
        <w:rPr>
          <w:sz w:val="24"/>
          <w:szCs w:val="24"/>
          <w:color w:val="auto"/>
        </w:rPr>
      </w:pPr>
    </w:p>
    <w:p>
      <w:pPr>
        <w:ind w:left="820" w:hanging="794"/>
        <w:spacing w:after="0"/>
        <w:tabs>
          <w:tab w:leader="none" w:pos="8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01" w:lineRule="exact"/>
        <w:rPr>
          <w:sz w:val="24"/>
          <w:szCs w:val="24"/>
          <w:color w:val="auto"/>
        </w:rPr>
      </w:pPr>
    </w:p>
    <w:tbl>
      <w:tblPr>
        <w:tblLayout w:type="fixed"/>
        <w:tblInd w:w="27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60" w:type="dxa"/>
            <w:vAlign w:val="bottom"/>
            <w:gridSpan w:val="4"/>
          </w:tcPr>
          <w:p>
            <w:pPr>
              <w:ind w:left="160"/>
              <w:spacing w:after="0"/>
              <w:rPr>
                <w:sz w:val="20"/>
                <w:szCs w:val="20"/>
                <w:color w:val="auto"/>
              </w:rPr>
            </w:pPr>
            <w:r>
              <w:rPr>
                <w:rFonts w:ascii="Arial" w:cs="Arial" w:eastAsia="Arial" w:hAnsi="Arial"/>
                <w:sz w:val="14"/>
                <w:szCs w:val="14"/>
                <w:color w:val="auto"/>
              </w:rPr>
              <w:t>FOR THE TRANSITION PERIOD FROM</w:t>
            </w:r>
          </w:p>
        </w:tc>
        <w:tc>
          <w:tcPr>
            <w:tcW w:w="340" w:type="dxa"/>
            <w:vAlign w:val="bottom"/>
            <w:gridSpan w:val="2"/>
          </w:tcPr>
          <w:p>
            <w:pPr>
              <w:ind w:left="100"/>
              <w:spacing w:after="0"/>
              <w:rPr>
                <w:sz w:val="20"/>
                <w:szCs w:val="20"/>
                <w:color w:val="auto"/>
              </w:rPr>
            </w:pPr>
            <w:r>
              <w:rPr>
                <w:rFonts w:ascii="Arial" w:cs="Arial" w:eastAsia="Arial" w:hAnsi="Arial"/>
                <w:sz w:val="14"/>
                <w:szCs w:val="14"/>
                <w:color w:val="auto"/>
              </w:rPr>
              <w:t>TO</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9"/>
        </w:trPr>
        <w:tc>
          <w:tcPr>
            <w:tcW w:w="1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gridSpan w:val="6"/>
          </w:tcPr>
          <w:p>
            <w:pPr>
              <w:jc w:val="center"/>
              <w:ind w:left="774"/>
              <w:spacing w:after="0"/>
              <w:rPr>
                <w:sz w:val="20"/>
                <w:szCs w:val="20"/>
                <w:color w:val="auto"/>
              </w:rPr>
            </w:pPr>
            <w:r>
              <w:rPr>
                <w:rFonts w:ascii="Arial" w:cs="Arial" w:eastAsia="Arial" w:hAnsi="Arial"/>
                <w:sz w:val="14"/>
                <w:szCs w:val="14"/>
                <w:color w:val="auto"/>
                <w:w w:val="96"/>
              </w:rPr>
              <w:t>COMMISSION FILE NUMBER 000-52008</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10"/>
        </w:trPr>
        <w:tc>
          <w:tcPr>
            <w:tcW w:w="1980" w:type="dxa"/>
            <w:vAlign w:val="bottom"/>
          </w:tcPr>
          <w:p>
            <w:pPr>
              <w:spacing w:after="0"/>
              <w:rPr>
                <w:sz w:val="24"/>
                <w:szCs w:val="24"/>
                <w:color w:val="auto"/>
              </w:rPr>
            </w:pPr>
          </w:p>
        </w:tc>
        <w:tc>
          <w:tcPr>
            <w:tcW w:w="8800" w:type="dxa"/>
            <w:vAlign w:val="bottom"/>
            <w:gridSpan w:val="12"/>
          </w:tcPr>
          <w:p>
            <w:pPr>
              <w:jc w:val="center"/>
              <w:ind w:right="1980"/>
              <w:spacing w:after="0"/>
              <w:rPr>
                <w:sz w:val="20"/>
                <w:szCs w:val="20"/>
                <w:color w:val="auto"/>
              </w:rPr>
            </w:pPr>
            <w:r>
              <w:rPr>
                <w:rFonts w:ascii="Arial" w:cs="Arial" w:eastAsia="Arial" w:hAnsi="Arial"/>
                <w:sz w:val="34"/>
                <w:szCs w:val="34"/>
                <w:b w:val="1"/>
                <w:bCs w:val="1"/>
                <w:color w:val="auto"/>
              </w:rPr>
              <w:t>LUNA INNOVATIONS INCORPORATED</w:t>
            </w:r>
          </w:p>
        </w:tc>
      </w:tr>
      <w:tr>
        <w:trPr>
          <w:trHeight w:val="145"/>
        </w:trPr>
        <w:tc>
          <w:tcPr>
            <w:tcW w:w="1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0" w:type="dxa"/>
            <w:vAlign w:val="bottom"/>
            <w:gridSpan w:val="6"/>
          </w:tcPr>
          <w:p>
            <w:pPr>
              <w:jc w:val="center"/>
              <w:ind w:left="794"/>
              <w:spacing w:after="0"/>
              <w:rPr>
                <w:sz w:val="20"/>
                <w:szCs w:val="20"/>
                <w:color w:val="auto"/>
              </w:rPr>
            </w:pPr>
            <w:r>
              <w:rPr>
                <w:rFonts w:ascii="Arial" w:cs="Arial" w:eastAsia="Arial" w:hAnsi="Arial"/>
                <w:sz w:val="11"/>
                <w:szCs w:val="11"/>
                <w:b w:val="1"/>
                <w:bCs w:val="1"/>
                <w:i w:val="1"/>
                <w:iCs w:val="1"/>
                <w:color w:val="auto"/>
                <w:w w:val="90"/>
              </w:rPr>
              <w:t>(Exact name of Registrant as Specified in its Charter)</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94"/>
        </w:trPr>
        <w:tc>
          <w:tcPr>
            <w:tcW w:w="1980" w:type="dxa"/>
            <w:vAlign w:val="bottom"/>
          </w:tcPr>
          <w:p>
            <w:pPr>
              <w:spacing w:after="0"/>
              <w:rPr>
                <w:sz w:val="24"/>
                <w:szCs w:val="2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Delaware</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0" w:type="dxa"/>
            <w:vAlign w:val="bottom"/>
            <w:gridSpan w:val="2"/>
          </w:tcPr>
          <w:p>
            <w:pPr>
              <w:jc w:val="right"/>
              <w:ind w:right="1136"/>
              <w:spacing w:after="0"/>
              <w:rPr>
                <w:sz w:val="20"/>
                <w:szCs w:val="20"/>
                <w:color w:val="auto"/>
              </w:rPr>
            </w:pPr>
            <w:r>
              <w:rPr>
                <w:rFonts w:ascii="Arial" w:cs="Arial" w:eastAsia="Arial" w:hAnsi="Arial"/>
                <w:sz w:val="14"/>
                <w:szCs w:val="14"/>
                <w:b w:val="1"/>
                <w:bCs w:val="1"/>
                <w:color w:val="auto"/>
              </w:rPr>
              <w:t>54-1560050</w:t>
            </w:r>
          </w:p>
        </w:tc>
        <w:tc>
          <w:tcPr>
            <w:tcW w:w="860" w:type="dxa"/>
            <w:vAlign w:val="bottom"/>
          </w:tcPr>
          <w:p>
            <w:pPr>
              <w:spacing w:after="0"/>
              <w:rPr>
                <w:sz w:val="24"/>
                <w:szCs w:val="24"/>
                <w:color w:val="auto"/>
              </w:rPr>
            </w:pPr>
          </w:p>
        </w:tc>
      </w:tr>
      <w:tr>
        <w:trPr>
          <w:trHeight w:val="172"/>
        </w:trPr>
        <w:tc>
          <w:tcPr>
            <w:tcW w:w="6420" w:type="dxa"/>
            <w:vAlign w:val="bottom"/>
            <w:gridSpan w:val="7"/>
          </w:tcPr>
          <w:p>
            <w:pPr>
              <w:jc w:val="center"/>
              <w:ind w:right="1400"/>
              <w:spacing w:after="0"/>
              <w:rPr>
                <w:sz w:val="20"/>
                <w:szCs w:val="20"/>
                <w:color w:val="auto"/>
              </w:rPr>
            </w:pPr>
            <w:r>
              <w:rPr>
                <w:rFonts w:ascii="Arial" w:cs="Arial" w:eastAsia="Arial" w:hAnsi="Arial"/>
                <w:sz w:val="11"/>
                <w:szCs w:val="11"/>
                <w:b w:val="1"/>
                <w:bCs w:val="1"/>
                <w:i w:val="1"/>
                <w:iCs w:val="1"/>
                <w:color w:val="auto"/>
                <w:w w:val="91"/>
              </w:rPr>
              <w:t>(State or Other Jurisdiction of Incorporation or Organization)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60" w:type="dxa"/>
            <w:vAlign w:val="bottom"/>
            <w:gridSpan w:val="2"/>
          </w:tcPr>
          <w:p>
            <w:pPr>
              <w:spacing w:after="0"/>
              <w:rPr>
                <w:sz w:val="20"/>
                <w:szCs w:val="20"/>
                <w:color w:val="auto"/>
              </w:rPr>
            </w:pPr>
            <w:r>
              <w:rPr>
                <w:rFonts w:ascii="Arial" w:cs="Arial" w:eastAsia="Arial" w:hAnsi="Arial"/>
                <w:sz w:val="11"/>
                <w:szCs w:val="11"/>
                <w:b w:val="1"/>
                <w:bCs w:val="1"/>
                <w:i w:val="1"/>
                <w:iCs w:val="1"/>
                <w:color w:val="auto"/>
              </w:rPr>
              <w:t>(I.R.S. Employer Identification Number)</w:t>
            </w:r>
          </w:p>
        </w:tc>
      </w:tr>
      <w:tr>
        <w:trPr>
          <w:trHeight w:val="206"/>
        </w:trPr>
        <w:tc>
          <w:tcPr>
            <w:tcW w:w="1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4"/>
          </w:tcPr>
          <w:p>
            <w:pPr>
              <w:jc w:val="center"/>
              <w:ind w:left="1114"/>
              <w:spacing w:after="0"/>
              <w:rPr>
                <w:sz w:val="20"/>
                <w:szCs w:val="20"/>
                <w:color w:val="auto"/>
              </w:rPr>
            </w:pPr>
            <w:r>
              <w:rPr>
                <w:rFonts w:ascii="Arial" w:cs="Arial" w:eastAsia="Arial" w:hAnsi="Arial"/>
                <w:sz w:val="14"/>
                <w:szCs w:val="14"/>
                <w:b w:val="1"/>
                <w:bCs w:val="1"/>
                <w:color w:val="auto"/>
                <w:w w:val="89"/>
              </w:rPr>
              <w:t>301 1st St SW, Suite 200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69"/>
        </w:trPr>
        <w:tc>
          <w:tcPr>
            <w:tcW w:w="1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60" w:type="dxa"/>
            <w:vAlign w:val="bottom"/>
            <w:gridSpan w:val="4"/>
          </w:tcPr>
          <w:p>
            <w:pPr>
              <w:jc w:val="center"/>
              <w:ind w:left="1134"/>
              <w:spacing w:after="0"/>
              <w:rPr>
                <w:sz w:val="20"/>
                <w:szCs w:val="20"/>
                <w:color w:val="auto"/>
              </w:rPr>
            </w:pPr>
            <w:r>
              <w:rPr>
                <w:rFonts w:ascii="Arial" w:cs="Arial" w:eastAsia="Arial" w:hAnsi="Arial"/>
                <w:sz w:val="14"/>
                <w:szCs w:val="14"/>
                <w:b w:val="1"/>
                <w:bCs w:val="1"/>
                <w:color w:val="auto"/>
                <w:w w:val="91"/>
              </w:rPr>
              <w:t>Roanoke, VA 24011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28"/>
        </w:trPr>
        <w:tc>
          <w:tcPr>
            <w:tcW w:w="1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60" w:type="dxa"/>
            <w:vAlign w:val="bottom"/>
            <w:gridSpan w:val="4"/>
          </w:tcPr>
          <w:p>
            <w:pPr>
              <w:jc w:val="center"/>
              <w:ind w:left="1114"/>
              <w:spacing w:after="0"/>
              <w:rPr>
                <w:sz w:val="20"/>
                <w:szCs w:val="20"/>
                <w:color w:val="auto"/>
              </w:rPr>
            </w:pPr>
            <w:r>
              <w:rPr>
                <w:rFonts w:ascii="Arial" w:cs="Arial" w:eastAsia="Arial" w:hAnsi="Arial"/>
                <w:sz w:val="11"/>
                <w:szCs w:val="11"/>
                <w:b w:val="1"/>
                <w:bCs w:val="1"/>
                <w:i w:val="1"/>
                <w:iCs w:val="1"/>
                <w:color w:val="auto"/>
                <w:w w:val="89"/>
              </w:rPr>
              <w:t>(Address of Principal Executive Offices)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9"/>
        </w:trPr>
        <w:tc>
          <w:tcPr>
            <w:tcW w:w="1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3"/>
          </w:tcPr>
          <w:p>
            <w:pPr>
              <w:jc w:val="center"/>
              <w:ind w:left="1314"/>
              <w:spacing w:after="0"/>
              <w:rPr>
                <w:sz w:val="20"/>
                <w:szCs w:val="20"/>
                <w:color w:val="auto"/>
              </w:rPr>
            </w:pPr>
            <w:r>
              <w:rPr>
                <w:rFonts w:ascii="Arial" w:cs="Arial" w:eastAsia="Arial" w:hAnsi="Arial"/>
                <w:sz w:val="14"/>
                <w:szCs w:val="14"/>
                <w:b w:val="1"/>
                <w:bCs w:val="1"/>
                <w:color w:val="auto"/>
                <w:w w:val="91"/>
              </w:rPr>
              <w:t>(540) 769-8400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28"/>
        </w:trPr>
        <w:tc>
          <w:tcPr>
            <w:tcW w:w="1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0" w:type="dxa"/>
            <w:vAlign w:val="bottom"/>
            <w:gridSpan w:val="6"/>
          </w:tcPr>
          <w:p>
            <w:pPr>
              <w:jc w:val="center"/>
              <w:ind w:left="794"/>
              <w:spacing w:after="0"/>
              <w:rPr>
                <w:sz w:val="20"/>
                <w:szCs w:val="20"/>
                <w:color w:val="auto"/>
              </w:rPr>
            </w:pPr>
            <w:r>
              <w:rPr>
                <w:rFonts w:ascii="Arial" w:cs="Arial" w:eastAsia="Arial" w:hAnsi="Arial"/>
                <w:sz w:val="11"/>
                <w:szCs w:val="11"/>
                <w:b w:val="1"/>
                <w:bCs w:val="1"/>
                <w:i w:val="1"/>
                <w:iCs w:val="1"/>
                <w:color w:val="auto"/>
                <w:w w:val="89"/>
              </w:rPr>
              <w:t>(Registrant’s Telephone Number, Including Area Code)</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84"/>
        </w:trPr>
        <w:tc>
          <w:tcPr>
            <w:tcW w:w="1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gridSpan w:val="7"/>
          </w:tcPr>
          <w:p>
            <w:pPr>
              <w:jc w:val="center"/>
              <w:ind w:left="234"/>
              <w:spacing w:after="0"/>
              <w:rPr>
                <w:sz w:val="20"/>
                <w:szCs w:val="20"/>
                <w:color w:val="auto"/>
              </w:rPr>
            </w:pPr>
            <w:r>
              <w:rPr>
                <w:rFonts w:ascii="Arial" w:cs="Arial" w:eastAsia="Arial" w:hAnsi="Arial"/>
                <w:sz w:val="14"/>
                <w:szCs w:val="14"/>
                <w:b w:val="1"/>
                <w:bCs w:val="1"/>
                <w:color w:val="auto"/>
                <w:w w:val="90"/>
              </w:rPr>
              <w:t>Securities registered pursuant to Section 12(b) of the Act:</w:t>
            </w: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49"/>
        </w:trPr>
        <w:tc>
          <w:tcPr>
            <w:tcW w:w="19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r>
      <w:tr>
        <w:trPr>
          <w:trHeight w:val="150"/>
        </w:trPr>
        <w:tc>
          <w:tcPr>
            <w:tcW w:w="1980" w:type="dxa"/>
            <w:vAlign w:val="bottom"/>
            <w:tcBorders>
              <w:left w:val="single" w:sz="8" w:color="auto"/>
            </w:tcBorders>
          </w:tcPr>
          <w:p>
            <w:pPr>
              <w:spacing w:after="0"/>
              <w:rPr>
                <w:sz w:val="13"/>
                <w:szCs w:val="13"/>
                <w:color w:val="auto"/>
              </w:rPr>
            </w:pPr>
          </w:p>
        </w:tc>
        <w:tc>
          <w:tcPr>
            <w:tcW w:w="1180" w:type="dxa"/>
            <w:vAlign w:val="bottom"/>
            <w:gridSpan w:val="2"/>
          </w:tcPr>
          <w:p>
            <w:pPr>
              <w:jc w:val="center"/>
              <w:ind w:right="160"/>
              <w:spacing w:after="0" w:line="150" w:lineRule="exact"/>
              <w:rPr>
                <w:sz w:val="20"/>
                <w:szCs w:val="20"/>
                <w:color w:val="auto"/>
              </w:rPr>
            </w:pPr>
            <w:r>
              <w:rPr>
                <w:rFonts w:ascii="Arial" w:cs="Arial" w:eastAsia="Arial" w:hAnsi="Arial"/>
                <w:sz w:val="14"/>
                <w:szCs w:val="14"/>
                <w:color w:val="auto"/>
                <w:w w:val="90"/>
              </w:rPr>
              <w:t>Title of each class</w:t>
            </w:r>
          </w:p>
        </w:tc>
        <w:tc>
          <w:tcPr>
            <w:tcW w:w="182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spacing w:after="0" w:line="150" w:lineRule="exact"/>
              <w:rPr>
                <w:sz w:val="20"/>
                <w:szCs w:val="20"/>
                <w:color w:val="auto"/>
              </w:rPr>
            </w:pPr>
            <w:r>
              <w:rPr>
                <w:rFonts w:ascii="Arial" w:cs="Arial" w:eastAsia="Arial" w:hAnsi="Arial"/>
                <w:sz w:val="14"/>
                <w:szCs w:val="14"/>
                <w:color w:val="auto"/>
              </w:rPr>
              <w:t>Trading Symbol</w:t>
            </w:r>
          </w:p>
        </w:tc>
        <w:tc>
          <w:tcPr>
            <w:tcW w:w="1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60" w:type="dxa"/>
            <w:vAlign w:val="bottom"/>
            <w:tcBorders>
              <w:right w:val="single" w:sz="8" w:color="auto"/>
            </w:tcBorders>
            <w:gridSpan w:val="3"/>
          </w:tcPr>
          <w:p>
            <w:pPr>
              <w:ind w:left="100"/>
              <w:spacing w:after="0" w:line="150" w:lineRule="exact"/>
              <w:rPr>
                <w:sz w:val="20"/>
                <w:szCs w:val="20"/>
                <w:color w:val="auto"/>
              </w:rPr>
            </w:pPr>
            <w:r>
              <w:rPr>
                <w:rFonts w:ascii="Arial" w:cs="Arial" w:eastAsia="Arial" w:hAnsi="Arial"/>
                <w:sz w:val="14"/>
                <w:szCs w:val="14"/>
                <w:color w:val="auto"/>
              </w:rPr>
              <w:t>Name of each exchange on which registered</w:t>
            </w:r>
          </w:p>
        </w:tc>
      </w:tr>
      <w:tr>
        <w:trPr>
          <w:trHeight w:val="33"/>
        </w:trPr>
        <w:tc>
          <w:tcPr>
            <w:tcW w:w="1980" w:type="dxa"/>
            <w:vAlign w:val="bottom"/>
            <w:tcBorders>
              <w:left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top w:val="single" w:sz="8" w:color="auto"/>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181"/>
        </w:trPr>
        <w:tc>
          <w:tcPr>
            <w:tcW w:w="3160" w:type="dxa"/>
            <w:vAlign w:val="bottom"/>
            <w:tcBorders>
              <w:left w:val="single" w:sz="8" w:color="auto"/>
            </w:tcBorders>
            <w:gridSpan w:val="3"/>
          </w:tcPr>
          <w:p>
            <w:pPr>
              <w:ind w:left="40"/>
              <w:spacing w:after="0"/>
              <w:rPr>
                <w:sz w:val="20"/>
                <w:szCs w:val="20"/>
                <w:color w:val="auto"/>
              </w:rPr>
            </w:pPr>
            <w:r>
              <w:rPr>
                <w:rFonts w:ascii="Arial" w:cs="Arial" w:eastAsia="Arial" w:hAnsi="Arial"/>
                <w:sz w:val="14"/>
                <w:szCs w:val="14"/>
                <w:color w:val="auto"/>
              </w:rPr>
              <w:t>Common Stock, $0.001 par value per share</w:t>
            </w:r>
          </w:p>
        </w:tc>
        <w:tc>
          <w:tcPr>
            <w:tcW w:w="1820" w:type="dxa"/>
            <w:vAlign w:val="bottom"/>
            <w:tcBorders>
              <w:right w:val="single" w:sz="8" w:color="auto"/>
            </w:tcBorders>
          </w:tcPr>
          <w:p>
            <w:pPr>
              <w:spacing w:after="0"/>
              <w:rPr>
                <w:sz w:val="15"/>
                <w:szCs w:val="15"/>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LUNA</w:t>
            </w:r>
          </w:p>
        </w:tc>
        <w:tc>
          <w:tcPr>
            <w:tcW w:w="160" w:type="dxa"/>
            <w:vAlign w:val="bottom"/>
            <w:tcBorders>
              <w:right w:val="single" w:sz="8" w:color="auto"/>
            </w:tcBorders>
          </w:tcPr>
          <w:p>
            <w:pPr>
              <w:spacing w:after="0"/>
              <w:rPr>
                <w:sz w:val="15"/>
                <w:szCs w:val="15"/>
                <w:color w:val="auto"/>
              </w:rPr>
            </w:pPr>
          </w:p>
        </w:tc>
        <w:tc>
          <w:tcPr>
            <w:tcW w:w="4200" w:type="dxa"/>
            <w:vAlign w:val="bottom"/>
            <w:tcBorders>
              <w:right w:val="single" w:sz="8" w:color="auto"/>
            </w:tcBorders>
            <w:gridSpan w:val="5"/>
          </w:tcPr>
          <w:p>
            <w:pPr>
              <w:ind w:left="20"/>
              <w:spacing w:after="0"/>
              <w:rPr>
                <w:sz w:val="20"/>
                <w:szCs w:val="20"/>
                <w:color w:val="auto"/>
              </w:rPr>
            </w:pPr>
            <w:r>
              <w:rPr>
                <w:rFonts w:ascii="Arial" w:cs="Arial" w:eastAsia="Arial" w:hAnsi="Arial"/>
                <w:sz w:val="14"/>
                <w:szCs w:val="14"/>
                <w:color w:val="auto"/>
              </w:rPr>
              <w:t>The Nasdaq Stock Market LLC</w:t>
            </w:r>
          </w:p>
        </w:tc>
      </w:tr>
      <w:tr>
        <w:trPr>
          <w:trHeight w:val="22"/>
        </w:trPr>
        <w:tc>
          <w:tcPr>
            <w:tcW w:w="1980" w:type="dxa"/>
            <w:vAlign w:val="bottom"/>
            <w:tcBorders>
              <w:left w:val="single" w:sz="8" w:color="auto"/>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gridSpan w:val="2"/>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r>
      <w:tr>
        <w:trPr>
          <w:trHeight w:val="202"/>
        </w:trPr>
        <w:tc>
          <w:tcPr>
            <w:tcW w:w="1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60" w:type="dxa"/>
            <w:vAlign w:val="bottom"/>
            <w:gridSpan w:val="7"/>
          </w:tcPr>
          <w:p>
            <w:pPr>
              <w:jc w:val="center"/>
              <w:ind w:left="214"/>
              <w:spacing w:after="0"/>
              <w:rPr>
                <w:sz w:val="20"/>
                <w:szCs w:val="20"/>
                <w:color w:val="auto"/>
              </w:rPr>
            </w:pPr>
            <w:r>
              <w:rPr>
                <w:rFonts w:ascii="Arial" w:cs="Arial" w:eastAsia="Arial" w:hAnsi="Arial"/>
                <w:sz w:val="14"/>
                <w:szCs w:val="14"/>
                <w:b w:val="1"/>
                <w:bCs w:val="1"/>
                <w:color w:val="auto"/>
                <w:w w:val="89"/>
              </w:rPr>
              <w:t>Securities registered pursuant to Section 12(g) of the Act: None</w:t>
            </w: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9"/>
        </w:trPr>
        <w:tc>
          <w:tcPr>
            <w:tcW w:w="6760" w:type="dxa"/>
            <w:vAlign w:val="bottom"/>
            <w:gridSpan w:val="9"/>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56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460" w:type="dxa"/>
            <w:vAlign w:val="bottom"/>
            <w:gridSpan w:val="3"/>
          </w:tcPr>
          <w:p>
            <w:pPr>
              <w:ind w:left="40"/>
              <w:spacing w:after="0"/>
              <w:rPr>
                <w:sz w:val="20"/>
                <w:szCs w:val="20"/>
                <w:color w:val="auto"/>
              </w:rPr>
            </w:pPr>
            <w:r>
              <w:rPr>
                <w:rFonts w:ascii="Arial" w:cs="Arial" w:eastAsia="Arial" w:hAnsi="Arial"/>
                <w:sz w:val="14"/>
                <w:szCs w:val="14"/>
                <w:color w:val="auto"/>
              </w:rPr>
              <w:t>No x</w:t>
            </w:r>
          </w:p>
        </w:tc>
      </w:tr>
      <w:tr>
        <w:trPr>
          <w:trHeight w:val="233"/>
        </w:trPr>
        <w:tc>
          <w:tcPr>
            <w:tcW w:w="6760" w:type="dxa"/>
            <w:vAlign w:val="bottom"/>
            <w:gridSpan w:val="9"/>
          </w:tcPr>
          <w:p>
            <w:pPr>
              <w:spacing w:after="0"/>
              <w:rPr>
                <w:sz w:val="20"/>
                <w:szCs w:val="20"/>
                <w:color w:val="auto"/>
              </w:rPr>
            </w:pPr>
            <w:r>
              <w:rPr>
                <w:rFonts w:ascii="Arial" w:cs="Arial" w:eastAsia="Arial" w:hAnsi="Arial"/>
                <w:sz w:val="14"/>
                <w:szCs w:val="14"/>
                <w:color w:val="auto"/>
                <w:w w:val="92"/>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100" w:type="dxa"/>
            <w:vAlign w:val="bottom"/>
          </w:tcPr>
          <w:p>
            <w:pPr>
              <w:spacing w:after="0"/>
              <w:rPr>
                <w:sz w:val="20"/>
                <w:szCs w:val="20"/>
                <w:color w:val="auto"/>
              </w:rPr>
            </w:pPr>
          </w:p>
        </w:tc>
        <w:tc>
          <w:tcPr>
            <w:tcW w:w="3360" w:type="dxa"/>
            <w:vAlign w:val="bottom"/>
            <w:gridSpan w:val="2"/>
          </w:tcPr>
          <w:p>
            <w:pPr>
              <w:ind w:left="60"/>
              <w:spacing w:after="0"/>
              <w:rPr>
                <w:sz w:val="20"/>
                <w:szCs w:val="20"/>
                <w:color w:val="auto"/>
              </w:rPr>
            </w:pPr>
            <w:r>
              <w:rPr>
                <w:rFonts w:ascii="Arial" w:cs="Arial" w:eastAsia="Arial" w:hAnsi="Arial"/>
                <w:sz w:val="14"/>
                <w:szCs w:val="14"/>
                <w:color w:val="auto"/>
              </w:rPr>
              <w:t>No x</w:t>
            </w:r>
          </w:p>
        </w:tc>
      </w:tr>
    </w:tbl>
    <w:p>
      <w:pPr>
        <w:spacing w:after="0" w:line="37" w:lineRule="exact"/>
        <w:rPr>
          <w:sz w:val="24"/>
          <w:szCs w:val="24"/>
          <w:color w:val="auto"/>
        </w:rPr>
      </w:pPr>
    </w:p>
    <w:p>
      <w:pPr>
        <w:ind w:right="120" w:firstLine="255"/>
        <w:spacing w:after="0" w:line="18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38" w:lineRule="exact"/>
        <w:rPr>
          <w:sz w:val="24"/>
          <w:szCs w:val="24"/>
          <w:color w:val="auto"/>
        </w:rPr>
      </w:pPr>
    </w:p>
    <w:p>
      <w:pPr>
        <w:ind w:right="120" w:firstLine="255"/>
        <w:spacing w:after="0" w:line="18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38" w:lineRule="exact"/>
        <w:rPr>
          <w:sz w:val="24"/>
          <w:szCs w:val="24"/>
          <w:color w:val="auto"/>
        </w:rPr>
      </w:pPr>
    </w:p>
    <w:p>
      <w:pPr>
        <w:ind w:right="360" w:firstLine="255"/>
        <w:spacing w:after="0" w:line="28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00" w:top="210" w:right="399" w:bottom="1440" w:gutter="0" w:footer="0" w:header="0"/>
        </w:sectPr>
      </w:pPr>
    </w:p>
    <w:p>
      <w:pPr>
        <w:spacing w:after="0" w:line="90" w:lineRule="exact"/>
        <w:rPr>
          <w:sz w:val="24"/>
          <w:szCs w:val="24"/>
          <w:color w:val="auto"/>
        </w:rPr>
      </w:pPr>
    </w:p>
    <w:p>
      <w:pPr>
        <w:ind w:left="2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x</w:t>
      </w:r>
    </w:p>
    <w:p>
      <w:pPr>
        <w:spacing w:after="0" w:line="35" w:lineRule="exact"/>
        <w:rPr>
          <w:sz w:val="24"/>
          <w:szCs w:val="24"/>
          <w:color w:val="auto"/>
        </w:rPr>
      </w:pPr>
    </w:p>
    <w:p>
      <w:pPr>
        <w:sectPr>
          <w:pgSz w:w="11900" w:h="16838" w:orient="portrait"/>
          <w:cols w:equalWidth="0" w:num="4">
            <w:col w:w="1300" w:space="60"/>
            <w:col w:w="6080" w:space="720"/>
            <w:col w:w="940" w:space="100"/>
            <w:col w:w="2000"/>
          </w:cols>
          <w:pgMar w:left="300" w:top="210" w:right="399" w:bottom="1440" w:gutter="0" w:footer="0" w:header="0"/>
          <w:type w:val="continuous"/>
        </w:sectPr>
      </w:pPr>
    </w:p>
    <w:p>
      <w:pPr>
        <w:spacing w:after="0" w:line="16" w:lineRule="exact"/>
        <w:rPr>
          <w:sz w:val="24"/>
          <w:szCs w:val="24"/>
          <w:color w:val="auto"/>
        </w:rPr>
      </w:pPr>
    </w:p>
    <w:p>
      <w:pPr>
        <w:ind w:left="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 x</w:t>
      </w:r>
    </w:p>
    <w:p>
      <w:pPr>
        <w:spacing w:after="0" w:line="47" w:lineRule="exact"/>
        <w:rPr>
          <w:sz w:val="24"/>
          <w:szCs w:val="24"/>
          <w:color w:val="auto"/>
        </w:rPr>
      </w:pPr>
    </w:p>
    <w:p>
      <w:pPr>
        <w:sectPr>
          <w:pgSz w:w="11900" w:h="16838" w:orient="portrait"/>
          <w:cols w:equalWidth="0" w:num="3">
            <w:col w:w="1220" w:space="100"/>
            <w:col w:w="6120" w:space="720"/>
            <w:col w:w="3040"/>
          </w:cols>
          <w:pgMar w:left="300" w:top="210" w:right="399" w:bottom="1440" w:gutter="0" w:footer="0" w:header="0"/>
          <w:type w:val="continuous"/>
        </w:sectPr>
      </w:pPr>
    </w:p>
    <w:p>
      <w:pPr>
        <w:spacing w:after="0" w:line="16" w:lineRule="exact"/>
        <w:rPr>
          <w:sz w:val="24"/>
          <w:szCs w:val="24"/>
          <w:color w:val="auto"/>
        </w:rPr>
      </w:pPr>
    </w:p>
    <w:p>
      <w:pPr>
        <w:ind w:left="2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50" w:lineRule="exact"/>
        <w:rPr>
          <w:sz w:val="24"/>
          <w:szCs w:val="24"/>
          <w:color w:val="auto"/>
        </w:rPr>
      </w:pPr>
    </w:p>
    <w:p>
      <w:pPr>
        <w:sectPr>
          <w:pgSz w:w="11900" w:h="16838" w:orient="portrait"/>
          <w:cols w:equalWidth="0" w:num="2">
            <w:col w:w="1580" w:space="100"/>
            <w:col w:w="9520"/>
          </w:cols>
          <w:pgMar w:left="300" w:top="210" w:right="399" w:bottom="1440" w:gutter="0" w:footer="0" w:header="0"/>
          <w:type w:val="continuous"/>
        </w:sectPr>
      </w:pPr>
    </w:p>
    <w:p>
      <w:pPr>
        <w:ind w:right="460" w:firstLine="255"/>
        <w:spacing w:after="0" w:line="28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left="260"/>
        <w:spacing w:after="0" w:line="161" w:lineRule="exact"/>
        <w:tabs>
          <w:tab w:leader="none" w:pos="6800" w:val="left"/>
          <w:tab w:leader="none" w:pos="738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x</w:t>
      </w:r>
    </w:p>
    <w:p>
      <w:pPr>
        <w:spacing w:after="0" w:line="98" w:lineRule="exact"/>
        <w:rPr>
          <w:sz w:val="24"/>
          <w:szCs w:val="24"/>
          <w:color w:val="auto"/>
        </w:rPr>
      </w:pPr>
    </w:p>
    <w:p>
      <w:pPr>
        <w:ind w:firstLine="255"/>
        <w:spacing w:after="0" w:line="281"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on June 28, 2019 based upon the closing price of Common Stock on such date as reported by the Nasdaq Capital Market, was approximately $100.4 million.</w:t>
      </w:r>
    </w:p>
    <w:p>
      <w:pPr>
        <w:spacing w:after="0" w:line="26" w:lineRule="exact"/>
        <w:rPr>
          <w:sz w:val="24"/>
          <w:szCs w:val="24"/>
          <w:color w:val="auto"/>
        </w:rPr>
      </w:pPr>
    </w:p>
    <w:p>
      <w:pPr>
        <w:ind w:right="20" w:firstLine="255"/>
        <w:spacing w:after="0" w:line="281" w:lineRule="auto"/>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 As of March 11, 2020 there were 30,391,879 shares of the registrant’s common stock outstanding.</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DOCUMENTS INCORPORATED BY REFERENCE</w:t>
      </w:r>
    </w:p>
    <w:p>
      <w:pPr>
        <w:spacing w:after="0" w:line="76" w:lineRule="exact"/>
        <w:rPr>
          <w:sz w:val="24"/>
          <w:szCs w:val="24"/>
          <w:color w:val="auto"/>
        </w:rPr>
      </w:pPr>
    </w:p>
    <w:p>
      <w:pPr>
        <w:ind w:right="400" w:firstLine="255"/>
        <w:spacing w:after="0" w:line="281" w:lineRule="auto"/>
        <w:rPr>
          <w:sz w:val="20"/>
          <w:szCs w:val="20"/>
          <w:color w:val="auto"/>
        </w:rPr>
      </w:pPr>
      <w:r>
        <w:rPr>
          <w:rFonts w:ascii="Arial" w:cs="Arial" w:eastAsia="Arial" w:hAnsi="Arial"/>
          <w:sz w:val="14"/>
          <w:szCs w:val="14"/>
          <w:color w:val="auto"/>
        </w:rPr>
        <w:t>Specified portions of the registrant’s Proxy Statement with respect to its 2020 Annual Meeting of stockholders, anticipated to be filed within 120 days after the end of its fiscal year ended December 31, 2019,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50165</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00"/>
          </w:cols>
          <w:pgMar w:left="300" w:top="210" w:right="3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600" w:type="dxa"/>
            <w:vAlign w:val="bottom"/>
            <w:gridSpan w:val="13"/>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549"/>
        </w:trPr>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20" w:type="dxa"/>
            <w:vAlign w:val="bottom"/>
            <w:gridSpan w:val="8"/>
          </w:tcPr>
          <w:p>
            <w:pPr>
              <w:jc w:val="center"/>
              <w:ind w:right="2480"/>
              <w:spacing w:after="0"/>
              <w:rPr>
                <w:sz w:val="20"/>
                <w:szCs w:val="20"/>
                <w:color w:val="auto"/>
              </w:rPr>
            </w:pPr>
            <w:r>
              <w:rPr>
                <w:rFonts w:ascii="Arial" w:cs="Arial" w:eastAsia="Arial" w:hAnsi="Arial"/>
                <w:sz w:val="14"/>
                <w:szCs w:val="14"/>
                <w:b w:val="1"/>
                <w:bCs w:val="1"/>
                <w:color w:val="auto"/>
              </w:rPr>
              <w:t>LUNA INNOVATIONS INCORPORATED</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0"/>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320" w:type="dxa"/>
            <w:vAlign w:val="bottom"/>
            <w:gridSpan w:val="8"/>
          </w:tcPr>
          <w:p>
            <w:pPr>
              <w:jc w:val="center"/>
              <w:ind w:right="2480"/>
              <w:spacing w:after="0"/>
              <w:rPr>
                <w:sz w:val="20"/>
                <w:szCs w:val="20"/>
                <w:color w:val="auto"/>
              </w:rPr>
            </w:pPr>
            <w:r>
              <w:rPr>
                <w:rFonts w:ascii="Arial" w:cs="Arial" w:eastAsia="Arial" w:hAnsi="Arial"/>
                <w:sz w:val="14"/>
                <w:szCs w:val="14"/>
                <w:b w:val="1"/>
                <w:bCs w:val="1"/>
                <w:color w:val="auto"/>
              </w:rPr>
              <w:t>ANNUAL REPORT ON FORM 10-K</w:t>
            </w: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4"/>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60" w:type="dxa"/>
            <w:vAlign w:val="bottom"/>
            <w:gridSpan w:val="9"/>
          </w:tcPr>
          <w:p>
            <w:pPr>
              <w:jc w:val="center"/>
              <w:ind w:right="2120"/>
              <w:spacing w:after="0"/>
              <w:rPr>
                <w:sz w:val="20"/>
                <w:szCs w:val="20"/>
                <w:color w:val="auto"/>
              </w:rPr>
            </w:pPr>
            <w:r>
              <w:rPr>
                <w:rFonts w:ascii="Arial" w:cs="Arial" w:eastAsia="Arial" w:hAnsi="Arial"/>
                <w:sz w:val="14"/>
                <w:szCs w:val="14"/>
                <w:b w:val="1"/>
                <w:bCs w:val="1"/>
                <w:color w:val="auto"/>
                <w:w w:val="99"/>
              </w:rPr>
              <w:t>FOR THE YEAR ENDED DECEMBER 31, 2019</w:t>
            </w: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9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20" w:type="dxa"/>
            <w:vAlign w:val="bottom"/>
            <w:gridSpan w:val="7"/>
          </w:tcPr>
          <w:p>
            <w:pPr>
              <w:jc w:val="center"/>
              <w:ind w:right="3080"/>
              <w:spacing w:after="0"/>
              <w:rPr>
                <w:sz w:val="20"/>
                <w:szCs w:val="20"/>
                <w:color w:val="auto"/>
              </w:rPr>
            </w:pPr>
            <w:r>
              <w:rPr>
                <w:rFonts w:ascii="Arial" w:cs="Arial" w:eastAsia="Arial" w:hAnsi="Arial"/>
                <w:sz w:val="14"/>
                <w:szCs w:val="14"/>
                <w:b w:val="1"/>
                <w:bCs w:val="1"/>
                <w:color w:val="auto"/>
              </w:rPr>
              <w:t>TABLE OF CONTENTS</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1580" w:type="dxa"/>
            <w:vAlign w:val="bottom"/>
            <w:gridSpan w:val="1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PART I</w:t>
              </w:r>
            </w:hyperlink>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4"/>
          </w:tcPr>
          <w:p>
            <w:pPr>
              <w:spacing w:after="0"/>
              <w:rPr>
                <w:rFonts w:ascii="Arial" w:cs="Arial" w:eastAsia="Arial" w:hAnsi="Arial"/>
                <w:sz w:val="14"/>
                <w:szCs w:val="14"/>
                <w:color w:val="0000EE"/>
                <w:w w:val="83"/>
              </w:rPr>
            </w:pPr>
            <w:hyperlink w:anchor="page3">
              <w:r>
                <w:rPr>
                  <w:rFonts w:ascii="Arial" w:cs="Arial" w:eastAsia="Arial" w:hAnsi="Arial"/>
                  <w:sz w:val="14"/>
                  <w:szCs w:val="14"/>
                  <w:color w:val="0000EE"/>
                  <w:w w:val="83"/>
                </w:rPr>
                <w:t>Item 1.</w:t>
              </w:r>
            </w:hyperlink>
          </w:p>
        </w:tc>
        <w:tc>
          <w:tcPr>
            <w:tcW w:w="900" w:type="dxa"/>
            <w:vAlign w:val="bottom"/>
            <w:gridSpan w:val="7"/>
          </w:tcPr>
          <w:p>
            <w:pPr>
              <w:spacing w:after="0"/>
              <w:rPr>
                <w:sz w:val="16"/>
                <w:szCs w:val="16"/>
                <w:color w:val="auto"/>
              </w:rPr>
            </w:pPr>
          </w:p>
        </w:tc>
        <w:tc>
          <w:tcPr>
            <w:tcW w:w="7940" w:type="dxa"/>
            <w:vAlign w:val="bottom"/>
            <w:gridSpan w:val="21"/>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Business</w:t>
              </w:r>
            </w:hyperlink>
          </w:p>
        </w:tc>
        <w:tc>
          <w:tcPr>
            <w:tcW w:w="1720" w:type="dxa"/>
            <w:vAlign w:val="bottom"/>
            <w:gridSpan w:val="2"/>
          </w:tcPr>
          <w:p>
            <w:pPr>
              <w:jc w:val="right"/>
              <w:spacing w:after="0"/>
              <w:rPr>
                <w:rFonts w:ascii="Arial" w:cs="Arial" w:eastAsia="Arial" w:hAnsi="Arial"/>
                <w:sz w:val="14"/>
                <w:szCs w:val="14"/>
                <w:color w:val="0000EE"/>
              </w:rPr>
            </w:pPr>
            <w:hyperlink w:anchor="page3">
              <w:r>
                <w:rPr>
                  <w:rFonts w:ascii="Arial" w:cs="Arial" w:eastAsia="Arial" w:hAnsi="Arial"/>
                  <w:sz w:val="14"/>
                  <w:szCs w:val="14"/>
                  <w:color w:val="0000EE"/>
                </w:rPr>
                <w:t>1</w:t>
              </w:r>
            </w:hyperlink>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gridSpan w:val="8"/>
          </w:tcPr>
          <w:p>
            <w:pPr>
              <w:spacing w:after="0"/>
              <w:rPr>
                <w:rFonts w:ascii="Arial" w:cs="Arial" w:eastAsia="Arial" w:hAnsi="Arial"/>
                <w:sz w:val="14"/>
                <w:szCs w:val="14"/>
                <w:color w:val="0000EE"/>
                <w:w w:val="95"/>
              </w:rPr>
            </w:pPr>
            <w:hyperlink w:anchor="page10">
              <w:r>
                <w:rPr>
                  <w:rFonts w:ascii="Arial" w:cs="Arial" w:eastAsia="Arial" w:hAnsi="Arial"/>
                  <w:sz w:val="14"/>
                  <w:szCs w:val="14"/>
                  <w:color w:val="0000EE"/>
                  <w:w w:val="95"/>
                </w:rPr>
                <w:t>Item 1A.</w:t>
              </w:r>
            </w:hyperlink>
          </w:p>
        </w:tc>
        <w:tc>
          <w:tcPr>
            <w:tcW w:w="760" w:type="dxa"/>
            <w:vAlign w:val="bottom"/>
            <w:gridSpan w:val="3"/>
          </w:tcPr>
          <w:p>
            <w:pPr>
              <w:spacing w:after="0"/>
              <w:rPr>
                <w:sz w:val="16"/>
                <w:szCs w:val="16"/>
                <w:color w:val="auto"/>
              </w:rPr>
            </w:pPr>
          </w:p>
        </w:tc>
        <w:tc>
          <w:tcPr>
            <w:tcW w:w="720" w:type="dxa"/>
            <w:vAlign w:val="bottom"/>
            <w:gridSpan w:val="3"/>
          </w:tcPr>
          <w:p>
            <w:pPr>
              <w:spacing w:after="0"/>
              <w:rPr>
                <w:rFonts w:ascii="Arial" w:cs="Arial" w:eastAsia="Arial" w:hAnsi="Arial"/>
                <w:sz w:val="14"/>
                <w:szCs w:val="14"/>
                <w:color w:val="0000EE"/>
                <w:w w:val="89"/>
              </w:rPr>
            </w:pPr>
            <w:hyperlink w:anchor="page10">
              <w:r>
                <w:rPr>
                  <w:rFonts w:ascii="Arial" w:cs="Arial" w:eastAsia="Arial" w:hAnsi="Arial"/>
                  <w:sz w:val="14"/>
                  <w:szCs w:val="14"/>
                  <w:color w:val="0000EE"/>
                  <w:w w:val="89"/>
                </w:rPr>
                <w:t>Risk Factors</w:t>
              </w:r>
            </w:hyperlink>
          </w:p>
        </w:tc>
        <w:tc>
          <w:tcPr>
            <w:tcW w:w="7220" w:type="dxa"/>
            <w:vAlign w:val="bottom"/>
            <w:gridSpan w:val="18"/>
          </w:tcPr>
          <w:p>
            <w:pPr>
              <w:spacing w:after="0"/>
              <w:rPr>
                <w:sz w:val="16"/>
                <w:szCs w:val="16"/>
                <w:color w:val="auto"/>
              </w:rPr>
            </w:pPr>
          </w:p>
        </w:tc>
        <w:tc>
          <w:tcPr>
            <w:tcW w:w="1720" w:type="dxa"/>
            <w:vAlign w:val="bottom"/>
            <w:gridSpan w:val="2"/>
          </w:tcPr>
          <w:p>
            <w:pPr>
              <w:jc w:val="right"/>
              <w:spacing w:after="0"/>
              <w:rPr>
                <w:rFonts w:ascii="Arial" w:cs="Arial" w:eastAsia="Arial" w:hAnsi="Arial"/>
                <w:sz w:val="14"/>
                <w:szCs w:val="14"/>
                <w:color w:val="0000EE"/>
              </w:rPr>
            </w:pPr>
            <w:hyperlink w:anchor="page10">
              <w:r>
                <w:rPr>
                  <w:rFonts w:ascii="Arial" w:cs="Arial" w:eastAsia="Arial" w:hAnsi="Arial"/>
                  <w:sz w:val="14"/>
                  <w:szCs w:val="14"/>
                  <w:color w:val="0000EE"/>
                </w:rPr>
                <w:t>8</w:t>
              </w:r>
            </w:hyperlink>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Borders>
              <w:bottom w:val="single" w:sz="8" w:color="0000EE"/>
            </w:tcBorders>
            <w:gridSpan w:val="8"/>
          </w:tcPr>
          <w:p>
            <w:pPr>
              <w:spacing w:after="0"/>
              <w:rPr>
                <w:rFonts w:ascii="Arial" w:cs="Arial" w:eastAsia="Arial" w:hAnsi="Arial"/>
                <w:sz w:val="14"/>
                <w:szCs w:val="14"/>
                <w:color w:val="0000EE"/>
                <w:w w:val="95"/>
              </w:rPr>
            </w:pPr>
            <w:hyperlink w:anchor="page26">
              <w:r>
                <w:rPr>
                  <w:rFonts w:ascii="Arial" w:cs="Arial" w:eastAsia="Arial" w:hAnsi="Arial"/>
                  <w:sz w:val="14"/>
                  <w:szCs w:val="14"/>
                  <w:color w:val="0000EE"/>
                  <w:w w:val="95"/>
                </w:rPr>
                <w:t>Item 1B.</w:t>
              </w:r>
            </w:hyperlink>
          </w:p>
        </w:tc>
        <w:tc>
          <w:tcPr>
            <w:tcW w:w="760" w:type="dxa"/>
            <w:vAlign w:val="bottom"/>
            <w:gridSpan w:val="3"/>
          </w:tcPr>
          <w:p>
            <w:pPr>
              <w:spacing w:after="0"/>
              <w:rPr>
                <w:sz w:val="16"/>
                <w:szCs w:val="16"/>
                <w:color w:val="auto"/>
              </w:rPr>
            </w:pPr>
          </w:p>
        </w:tc>
        <w:tc>
          <w:tcPr>
            <w:tcW w:w="1620" w:type="dxa"/>
            <w:vAlign w:val="bottom"/>
            <w:tcBorders>
              <w:bottom w:val="single" w:sz="8" w:color="0000EE"/>
            </w:tcBorders>
            <w:gridSpan w:val="10"/>
          </w:tcPr>
          <w:p>
            <w:pPr>
              <w:spacing w:after="0"/>
              <w:rPr>
                <w:rFonts w:ascii="Arial" w:cs="Arial" w:eastAsia="Arial" w:hAnsi="Arial"/>
                <w:sz w:val="14"/>
                <w:szCs w:val="14"/>
                <w:color w:val="0000EE"/>
                <w:w w:val="91"/>
              </w:rPr>
            </w:pPr>
            <w:hyperlink w:anchor="page26">
              <w:r>
                <w:rPr>
                  <w:rFonts w:ascii="Arial" w:cs="Arial" w:eastAsia="Arial" w:hAnsi="Arial"/>
                  <w:sz w:val="14"/>
                  <w:szCs w:val="14"/>
                  <w:color w:val="0000EE"/>
                  <w:w w:val="91"/>
                </w:rPr>
                <w:t>Unresolved Staff Comments</w:t>
              </w:r>
            </w:hyperlink>
          </w:p>
        </w:tc>
        <w:tc>
          <w:tcPr>
            <w:tcW w:w="6320" w:type="dxa"/>
            <w:vAlign w:val="bottom"/>
            <w:gridSpan w:val="11"/>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Borders>
              <w:bottom w:val="single" w:sz="8" w:color="0000EE"/>
            </w:tcBorders>
          </w:tcPr>
          <w:p>
            <w:pPr>
              <w:jc w:val="right"/>
              <w:spacing w:after="0"/>
              <w:rPr>
                <w:rFonts w:ascii="Arial" w:cs="Arial" w:eastAsia="Arial" w:hAnsi="Arial"/>
                <w:sz w:val="14"/>
                <w:szCs w:val="14"/>
                <w:color w:val="0000EE"/>
                <w:w w:val="76"/>
              </w:rPr>
            </w:pPr>
            <w:hyperlink w:anchor="page26">
              <w:r>
                <w:rPr>
                  <w:rFonts w:ascii="Arial" w:cs="Arial" w:eastAsia="Arial" w:hAnsi="Arial"/>
                  <w:sz w:val="14"/>
                  <w:szCs w:val="14"/>
                  <w:color w:val="0000EE"/>
                  <w:w w:val="76"/>
                </w:rPr>
                <w:t>24</w:t>
              </w:r>
            </w:hyperlink>
          </w:p>
        </w:tc>
      </w:tr>
      <w:tr>
        <w:trPr>
          <w:trHeight w:val="192"/>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4"/>
          </w:tcPr>
          <w:p>
            <w:pPr>
              <w:spacing w:after="0"/>
              <w:rPr>
                <w:rFonts w:ascii="Arial" w:cs="Arial" w:eastAsia="Arial" w:hAnsi="Arial"/>
                <w:sz w:val="14"/>
                <w:szCs w:val="14"/>
                <w:color w:val="0000EE"/>
                <w:w w:val="83"/>
              </w:rPr>
            </w:pPr>
            <w:hyperlink w:anchor="page26">
              <w:r>
                <w:rPr>
                  <w:rFonts w:ascii="Arial" w:cs="Arial" w:eastAsia="Arial" w:hAnsi="Arial"/>
                  <w:sz w:val="14"/>
                  <w:szCs w:val="14"/>
                  <w:color w:val="0000EE"/>
                  <w:w w:val="83"/>
                </w:rPr>
                <w:t>Item 2.</w:t>
              </w:r>
            </w:hyperlink>
          </w:p>
        </w:tc>
        <w:tc>
          <w:tcPr>
            <w:tcW w:w="900" w:type="dxa"/>
            <w:vAlign w:val="bottom"/>
            <w:gridSpan w:val="7"/>
          </w:tcPr>
          <w:p>
            <w:pPr>
              <w:spacing w:after="0"/>
              <w:rPr>
                <w:sz w:val="16"/>
                <w:szCs w:val="16"/>
                <w:color w:val="auto"/>
              </w:rPr>
            </w:pPr>
          </w:p>
        </w:tc>
        <w:tc>
          <w:tcPr>
            <w:tcW w:w="7940" w:type="dxa"/>
            <w:vAlign w:val="bottom"/>
            <w:gridSpan w:val="21"/>
          </w:tcPr>
          <w:p>
            <w:pPr>
              <w:spacing w:after="0"/>
              <w:rPr>
                <w:rFonts w:ascii="Arial" w:cs="Arial" w:eastAsia="Arial" w:hAnsi="Arial"/>
                <w:sz w:val="14"/>
                <w:szCs w:val="14"/>
                <w:color w:val="0000EE"/>
              </w:rPr>
            </w:pPr>
            <w:hyperlink w:anchor="page26">
              <w:r>
                <w:rPr>
                  <w:rFonts w:ascii="Arial" w:cs="Arial" w:eastAsia="Arial" w:hAnsi="Arial"/>
                  <w:sz w:val="14"/>
                  <w:szCs w:val="14"/>
                  <w:color w:val="0000EE"/>
                </w:rPr>
                <w:t>Properties</w:t>
              </w:r>
            </w:hyperlink>
          </w:p>
        </w:tc>
        <w:tc>
          <w:tcPr>
            <w:tcW w:w="1720" w:type="dxa"/>
            <w:vAlign w:val="bottom"/>
            <w:gridSpan w:val="2"/>
          </w:tcPr>
          <w:p>
            <w:pPr>
              <w:jc w:val="right"/>
              <w:spacing w:after="0"/>
              <w:rPr>
                <w:rFonts w:ascii="Arial" w:cs="Arial" w:eastAsia="Arial" w:hAnsi="Arial"/>
                <w:sz w:val="14"/>
                <w:szCs w:val="14"/>
                <w:color w:val="0000EE"/>
              </w:rPr>
            </w:pPr>
            <w:hyperlink w:anchor="page26">
              <w:r>
                <w:rPr>
                  <w:rFonts w:ascii="Arial" w:cs="Arial" w:eastAsia="Arial" w:hAnsi="Arial"/>
                  <w:sz w:val="14"/>
                  <w:szCs w:val="14"/>
                  <w:color w:val="0000EE"/>
                </w:rPr>
                <w:t>24</w:t>
              </w:r>
            </w:hyperlink>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Borders>
              <w:bottom w:val="single" w:sz="8" w:color="0000EE"/>
            </w:tcBorders>
            <w:gridSpan w:val="4"/>
          </w:tcPr>
          <w:p>
            <w:pPr>
              <w:spacing w:after="0"/>
              <w:rPr>
                <w:rFonts w:ascii="Arial" w:cs="Arial" w:eastAsia="Arial" w:hAnsi="Arial"/>
                <w:sz w:val="14"/>
                <w:szCs w:val="14"/>
                <w:color w:val="0000EE"/>
                <w:w w:val="83"/>
              </w:rPr>
            </w:pPr>
            <w:hyperlink w:anchor="page27">
              <w:r>
                <w:rPr>
                  <w:rFonts w:ascii="Arial" w:cs="Arial" w:eastAsia="Arial" w:hAnsi="Arial"/>
                  <w:sz w:val="14"/>
                  <w:szCs w:val="14"/>
                  <w:color w:val="0000EE"/>
                  <w:w w:val="83"/>
                </w:rPr>
                <w:t>Item 3.</w:t>
              </w:r>
            </w:hyperlink>
          </w:p>
        </w:tc>
        <w:tc>
          <w:tcPr>
            <w:tcW w:w="900" w:type="dxa"/>
            <w:vAlign w:val="bottom"/>
            <w:gridSpan w:val="7"/>
          </w:tcPr>
          <w:p>
            <w:pPr>
              <w:spacing w:after="0"/>
              <w:rPr>
                <w:sz w:val="16"/>
                <w:szCs w:val="16"/>
                <w:color w:val="auto"/>
              </w:rPr>
            </w:pPr>
          </w:p>
        </w:tc>
        <w:tc>
          <w:tcPr>
            <w:tcW w:w="1060" w:type="dxa"/>
            <w:vAlign w:val="bottom"/>
            <w:tcBorders>
              <w:bottom w:val="single" w:sz="8" w:color="0000EE"/>
            </w:tcBorders>
            <w:gridSpan w:val="5"/>
          </w:tcPr>
          <w:p>
            <w:pPr>
              <w:spacing w:after="0"/>
              <w:rPr>
                <w:rFonts w:ascii="Arial" w:cs="Arial" w:eastAsia="Arial" w:hAnsi="Arial"/>
                <w:sz w:val="14"/>
                <w:szCs w:val="14"/>
                <w:color w:val="0000EE"/>
                <w:w w:val="89"/>
              </w:rPr>
            </w:pPr>
            <w:hyperlink w:anchor="page27">
              <w:r>
                <w:rPr>
                  <w:rFonts w:ascii="Arial" w:cs="Arial" w:eastAsia="Arial" w:hAnsi="Arial"/>
                  <w:sz w:val="14"/>
                  <w:szCs w:val="14"/>
                  <w:color w:val="0000EE"/>
                  <w:w w:val="89"/>
                </w:rPr>
                <w:t>Legal Proceedings</w:t>
              </w:r>
            </w:hyperlink>
          </w:p>
        </w:tc>
        <w:tc>
          <w:tcPr>
            <w:tcW w:w="6880" w:type="dxa"/>
            <w:vAlign w:val="bottom"/>
            <w:gridSpan w:val="16"/>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Borders>
              <w:bottom w:val="single" w:sz="8" w:color="0000EE"/>
            </w:tcBorders>
          </w:tcPr>
          <w:p>
            <w:pPr>
              <w:jc w:val="right"/>
              <w:spacing w:after="0"/>
              <w:rPr>
                <w:rFonts w:ascii="Arial" w:cs="Arial" w:eastAsia="Arial" w:hAnsi="Arial"/>
                <w:sz w:val="14"/>
                <w:szCs w:val="14"/>
                <w:color w:val="0000EE"/>
                <w:w w:val="76"/>
              </w:rPr>
            </w:pPr>
            <w:hyperlink w:anchor="page27">
              <w:r>
                <w:rPr>
                  <w:rFonts w:ascii="Arial" w:cs="Arial" w:eastAsia="Arial" w:hAnsi="Arial"/>
                  <w:sz w:val="14"/>
                  <w:szCs w:val="14"/>
                  <w:color w:val="0000EE"/>
                  <w:w w:val="76"/>
                </w:rPr>
                <w:t>25</w:t>
              </w:r>
            </w:hyperlink>
          </w:p>
        </w:tc>
      </w:tr>
      <w:tr>
        <w:trPr>
          <w:trHeight w:val="192"/>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11"/>
          </w:tcPr>
          <w:p>
            <w:pPr>
              <w:spacing w:after="0"/>
              <w:rPr>
                <w:rFonts w:ascii="Arial" w:cs="Arial" w:eastAsia="Arial" w:hAnsi="Arial"/>
                <w:sz w:val="14"/>
                <w:szCs w:val="14"/>
                <w:color w:val="0000EE"/>
              </w:rPr>
            </w:pPr>
            <w:hyperlink w:anchor="page27">
              <w:r>
                <w:rPr>
                  <w:rFonts w:ascii="Arial" w:cs="Arial" w:eastAsia="Arial" w:hAnsi="Arial"/>
                  <w:sz w:val="14"/>
                  <w:szCs w:val="14"/>
                  <w:color w:val="0000EE"/>
                </w:rPr>
                <w:t>Item 4.</w:t>
              </w:r>
            </w:hyperlink>
          </w:p>
        </w:tc>
        <w:tc>
          <w:tcPr>
            <w:tcW w:w="7940" w:type="dxa"/>
            <w:vAlign w:val="bottom"/>
            <w:gridSpan w:val="21"/>
          </w:tcPr>
          <w:p>
            <w:pPr>
              <w:spacing w:after="0"/>
              <w:rPr>
                <w:rFonts w:ascii="Arial" w:cs="Arial" w:eastAsia="Arial" w:hAnsi="Arial"/>
                <w:sz w:val="14"/>
                <w:szCs w:val="14"/>
                <w:color w:val="0000EE"/>
              </w:rPr>
            </w:pPr>
            <w:hyperlink w:anchor="page27">
              <w:r>
                <w:rPr>
                  <w:rFonts w:ascii="Arial" w:cs="Arial" w:eastAsia="Arial" w:hAnsi="Arial"/>
                  <w:sz w:val="14"/>
                  <w:szCs w:val="14"/>
                  <w:color w:val="0000EE"/>
                </w:rPr>
                <w:t>Mine Safety Disclosure</w:t>
              </w:r>
            </w:hyperlink>
          </w:p>
        </w:tc>
        <w:tc>
          <w:tcPr>
            <w:tcW w:w="1720" w:type="dxa"/>
            <w:vAlign w:val="bottom"/>
            <w:gridSpan w:val="2"/>
          </w:tcPr>
          <w:p>
            <w:pPr>
              <w:jc w:val="right"/>
              <w:spacing w:after="0"/>
              <w:rPr>
                <w:rFonts w:ascii="Arial" w:cs="Arial" w:eastAsia="Arial" w:hAnsi="Arial"/>
                <w:sz w:val="14"/>
                <w:szCs w:val="14"/>
                <w:color w:val="0000EE"/>
              </w:rPr>
            </w:pPr>
            <w:hyperlink w:anchor="page27">
              <w:r>
                <w:rPr>
                  <w:rFonts w:ascii="Arial" w:cs="Arial" w:eastAsia="Arial" w:hAnsi="Arial"/>
                  <w:sz w:val="14"/>
                  <w:szCs w:val="14"/>
                  <w:color w:val="0000EE"/>
                </w:rPr>
                <w:t>25</w:t>
              </w:r>
            </w:hyperlink>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80" w:type="dxa"/>
            <w:vAlign w:val="bottom"/>
            <w:tcBorders>
              <w:bottom w:val="single" w:sz="8" w:color="0000EE"/>
            </w:tcBorders>
            <w:gridSpan w:val="3"/>
          </w:tcPr>
          <w:p>
            <w:pPr>
              <w:spacing w:after="0"/>
              <w:rPr>
                <w:rFonts w:ascii="Arial" w:cs="Arial" w:eastAsia="Arial" w:hAnsi="Arial"/>
                <w:sz w:val="14"/>
                <w:szCs w:val="14"/>
                <w:color w:val="0000EE"/>
                <w:w w:val="93"/>
              </w:rPr>
            </w:pPr>
            <w:hyperlink w:anchor="page28">
              <w:r>
                <w:rPr>
                  <w:rFonts w:ascii="Arial" w:cs="Arial" w:eastAsia="Arial" w:hAnsi="Arial"/>
                  <w:sz w:val="14"/>
                  <w:szCs w:val="14"/>
                  <w:color w:val="0000EE"/>
                  <w:w w:val="93"/>
                </w:rPr>
                <w:t>PART II</w:t>
              </w:r>
            </w:hyperlink>
          </w:p>
        </w:tc>
        <w:tc>
          <w:tcPr>
            <w:tcW w:w="1100" w:type="dxa"/>
            <w:vAlign w:val="bottom"/>
            <w:gridSpan w:val="9"/>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Borders>
              <w:bottom w:val="single" w:sz="8" w:color="0000EE"/>
            </w:tcBorders>
            <w:gridSpan w:val="4"/>
          </w:tcPr>
          <w:p>
            <w:pPr>
              <w:spacing w:after="0"/>
              <w:rPr>
                <w:rFonts w:ascii="Arial" w:cs="Arial" w:eastAsia="Arial" w:hAnsi="Arial"/>
                <w:sz w:val="14"/>
                <w:szCs w:val="14"/>
                <w:color w:val="0000EE"/>
                <w:w w:val="83"/>
              </w:rPr>
            </w:pPr>
            <w:hyperlink w:anchor="page28">
              <w:r>
                <w:rPr>
                  <w:rFonts w:ascii="Arial" w:cs="Arial" w:eastAsia="Arial" w:hAnsi="Arial"/>
                  <w:sz w:val="14"/>
                  <w:szCs w:val="14"/>
                  <w:color w:val="0000EE"/>
                  <w:w w:val="83"/>
                </w:rPr>
                <w:t>Item 5.</w:t>
              </w:r>
            </w:hyperlink>
          </w:p>
        </w:tc>
        <w:tc>
          <w:tcPr>
            <w:tcW w:w="900" w:type="dxa"/>
            <w:vAlign w:val="bottom"/>
            <w:gridSpan w:val="7"/>
          </w:tcPr>
          <w:p>
            <w:pPr>
              <w:spacing w:after="0"/>
              <w:rPr>
                <w:sz w:val="16"/>
                <w:szCs w:val="16"/>
                <w:color w:val="auto"/>
              </w:rPr>
            </w:pPr>
          </w:p>
        </w:tc>
        <w:tc>
          <w:tcPr>
            <w:tcW w:w="6360" w:type="dxa"/>
            <w:vAlign w:val="bottom"/>
            <w:tcBorders>
              <w:bottom w:val="single" w:sz="8" w:color="0000EE"/>
            </w:tcBorders>
            <w:gridSpan w:val="20"/>
          </w:tcPr>
          <w:p>
            <w:pPr>
              <w:spacing w:after="0"/>
              <w:rPr>
                <w:rFonts w:ascii="Arial" w:cs="Arial" w:eastAsia="Arial" w:hAnsi="Arial"/>
                <w:sz w:val="14"/>
                <w:szCs w:val="14"/>
                <w:color w:val="0000EE"/>
                <w:w w:val="91"/>
              </w:rPr>
            </w:pPr>
            <w:hyperlink w:anchor="page28">
              <w:r>
                <w:rPr>
                  <w:rFonts w:ascii="Arial" w:cs="Arial" w:eastAsia="Arial" w:hAnsi="Arial"/>
                  <w:sz w:val="14"/>
                  <w:szCs w:val="14"/>
                  <w:color w:val="0000EE"/>
                  <w:w w:val="91"/>
                </w:rPr>
                <w:t>Market for Registrant’s Common Equity, Related Stockholder Matters and Issuer Purchases of Equity Securities</w:t>
              </w:r>
            </w:hyperlink>
          </w:p>
        </w:tc>
        <w:tc>
          <w:tcPr>
            <w:tcW w:w="1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Borders>
              <w:bottom w:val="single" w:sz="8" w:color="0000EE"/>
            </w:tcBorders>
          </w:tcPr>
          <w:p>
            <w:pPr>
              <w:jc w:val="right"/>
              <w:spacing w:after="0"/>
              <w:rPr>
                <w:rFonts w:ascii="Arial" w:cs="Arial" w:eastAsia="Arial" w:hAnsi="Arial"/>
                <w:sz w:val="14"/>
                <w:szCs w:val="14"/>
                <w:color w:val="0000EE"/>
                <w:w w:val="76"/>
              </w:rPr>
            </w:pPr>
            <w:hyperlink w:anchor="page28">
              <w:r>
                <w:rPr>
                  <w:rFonts w:ascii="Arial" w:cs="Arial" w:eastAsia="Arial" w:hAnsi="Arial"/>
                  <w:sz w:val="14"/>
                  <w:szCs w:val="14"/>
                  <w:color w:val="0000EE"/>
                  <w:w w:val="76"/>
                </w:rPr>
                <w:t>26</w:t>
              </w:r>
            </w:hyperlink>
          </w:p>
        </w:tc>
      </w:tr>
      <w:tr>
        <w:trPr>
          <w:trHeight w:val="192"/>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4"/>
          </w:tcPr>
          <w:p>
            <w:pPr>
              <w:spacing w:after="0"/>
              <w:rPr>
                <w:rFonts w:ascii="Arial" w:cs="Arial" w:eastAsia="Arial" w:hAnsi="Arial"/>
                <w:sz w:val="14"/>
                <w:szCs w:val="14"/>
                <w:color w:val="0000EE"/>
                <w:w w:val="83"/>
              </w:rPr>
            </w:pPr>
            <w:hyperlink w:anchor="page29">
              <w:r>
                <w:rPr>
                  <w:rFonts w:ascii="Arial" w:cs="Arial" w:eastAsia="Arial" w:hAnsi="Arial"/>
                  <w:sz w:val="14"/>
                  <w:szCs w:val="14"/>
                  <w:color w:val="0000EE"/>
                  <w:w w:val="83"/>
                </w:rPr>
                <w:t>Item 6.</w:t>
              </w:r>
            </w:hyperlink>
          </w:p>
        </w:tc>
        <w:tc>
          <w:tcPr>
            <w:tcW w:w="900" w:type="dxa"/>
            <w:vAlign w:val="bottom"/>
            <w:gridSpan w:val="7"/>
          </w:tcPr>
          <w:p>
            <w:pPr>
              <w:spacing w:after="0"/>
              <w:rPr>
                <w:sz w:val="16"/>
                <w:szCs w:val="16"/>
                <w:color w:val="auto"/>
              </w:rPr>
            </w:pPr>
          </w:p>
        </w:tc>
        <w:tc>
          <w:tcPr>
            <w:tcW w:w="7940" w:type="dxa"/>
            <w:vAlign w:val="bottom"/>
            <w:gridSpan w:val="21"/>
          </w:tcPr>
          <w:p>
            <w:pPr>
              <w:spacing w:after="0"/>
              <w:rPr>
                <w:rFonts w:ascii="Arial" w:cs="Arial" w:eastAsia="Arial" w:hAnsi="Arial"/>
                <w:sz w:val="14"/>
                <w:szCs w:val="14"/>
                <w:color w:val="0000EE"/>
              </w:rPr>
            </w:pPr>
            <w:hyperlink w:anchor="page29">
              <w:r>
                <w:rPr>
                  <w:rFonts w:ascii="Arial" w:cs="Arial" w:eastAsia="Arial" w:hAnsi="Arial"/>
                  <w:sz w:val="14"/>
                  <w:szCs w:val="14"/>
                  <w:color w:val="0000EE"/>
                </w:rPr>
                <w:t>Selected Financial Data</w:t>
              </w:r>
            </w:hyperlink>
          </w:p>
        </w:tc>
        <w:tc>
          <w:tcPr>
            <w:tcW w:w="1720" w:type="dxa"/>
            <w:vAlign w:val="bottom"/>
            <w:gridSpan w:val="2"/>
          </w:tcPr>
          <w:p>
            <w:pPr>
              <w:jc w:val="right"/>
              <w:spacing w:after="0"/>
              <w:rPr>
                <w:rFonts w:ascii="Arial" w:cs="Arial" w:eastAsia="Arial" w:hAnsi="Arial"/>
                <w:sz w:val="14"/>
                <w:szCs w:val="14"/>
                <w:color w:val="0000EE"/>
              </w:rPr>
            </w:pPr>
            <w:hyperlink w:anchor="page29">
              <w:r>
                <w:rPr>
                  <w:rFonts w:ascii="Arial" w:cs="Arial" w:eastAsia="Arial" w:hAnsi="Arial"/>
                  <w:sz w:val="14"/>
                  <w:szCs w:val="14"/>
                  <w:color w:val="0000EE"/>
                </w:rPr>
                <w:t>27</w:t>
              </w:r>
            </w:hyperlink>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4"/>
          </w:tcPr>
          <w:p>
            <w:pPr>
              <w:spacing w:after="0"/>
              <w:rPr>
                <w:rFonts w:ascii="Arial" w:cs="Arial" w:eastAsia="Arial" w:hAnsi="Arial"/>
                <w:sz w:val="14"/>
                <w:szCs w:val="14"/>
                <w:color w:val="0000EE"/>
                <w:w w:val="83"/>
              </w:rPr>
            </w:pPr>
            <w:hyperlink w:anchor="page31">
              <w:r>
                <w:rPr>
                  <w:rFonts w:ascii="Arial" w:cs="Arial" w:eastAsia="Arial" w:hAnsi="Arial"/>
                  <w:sz w:val="14"/>
                  <w:szCs w:val="14"/>
                  <w:color w:val="0000EE"/>
                  <w:w w:val="83"/>
                </w:rPr>
                <w:t>Item 7.</w:t>
              </w:r>
            </w:hyperlink>
          </w:p>
        </w:tc>
        <w:tc>
          <w:tcPr>
            <w:tcW w:w="900" w:type="dxa"/>
            <w:vAlign w:val="bottom"/>
            <w:gridSpan w:val="7"/>
          </w:tcPr>
          <w:p>
            <w:pPr>
              <w:spacing w:after="0"/>
              <w:rPr>
                <w:sz w:val="16"/>
                <w:szCs w:val="16"/>
                <w:color w:val="auto"/>
              </w:rPr>
            </w:pPr>
          </w:p>
        </w:tc>
        <w:tc>
          <w:tcPr>
            <w:tcW w:w="7940" w:type="dxa"/>
            <w:vAlign w:val="bottom"/>
            <w:gridSpan w:val="21"/>
          </w:tcPr>
          <w:p>
            <w:pPr>
              <w:spacing w:after="0"/>
              <w:rPr>
                <w:rFonts w:ascii="Arial" w:cs="Arial" w:eastAsia="Arial" w:hAnsi="Arial"/>
                <w:sz w:val="14"/>
                <w:szCs w:val="14"/>
                <w:color w:val="0000EE"/>
              </w:rPr>
            </w:pPr>
            <w:hyperlink w:anchor="page31">
              <w:r>
                <w:rPr>
                  <w:rFonts w:ascii="Arial" w:cs="Arial" w:eastAsia="Arial" w:hAnsi="Arial"/>
                  <w:sz w:val="14"/>
                  <w:szCs w:val="14"/>
                  <w:color w:val="0000EE"/>
                </w:rPr>
                <w:t>Management’s Discussion and Analysis of Financial Condition and Results of Operations</w:t>
              </w:r>
            </w:hyperlink>
          </w:p>
        </w:tc>
        <w:tc>
          <w:tcPr>
            <w:tcW w:w="1720" w:type="dxa"/>
            <w:vAlign w:val="bottom"/>
            <w:gridSpan w:val="2"/>
          </w:tcPr>
          <w:p>
            <w:pPr>
              <w:jc w:val="right"/>
              <w:spacing w:after="0"/>
              <w:rPr>
                <w:rFonts w:ascii="Arial" w:cs="Arial" w:eastAsia="Arial" w:hAnsi="Arial"/>
                <w:sz w:val="14"/>
                <w:szCs w:val="14"/>
                <w:color w:val="0000EE"/>
              </w:rPr>
            </w:pPr>
            <w:hyperlink w:anchor="page31">
              <w:r>
                <w:rPr>
                  <w:rFonts w:ascii="Arial" w:cs="Arial" w:eastAsia="Arial" w:hAnsi="Arial"/>
                  <w:sz w:val="14"/>
                  <w:szCs w:val="14"/>
                  <w:color w:val="0000EE"/>
                </w:rPr>
                <w:t>29</w:t>
              </w:r>
            </w:hyperlink>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Borders>
              <w:bottom w:val="single" w:sz="8" w:color="0000EE"/>
            </w:tcBorders>
            <w:gridSpan w:val="8"/>
          </w:tcPr>
          <w:p>
            <w:pPr>
              <w:spacing w:after="0"/>
              <w:rPr>
                <w:rFonts w:ascii="Arial" w:cs="Arial" w:eastAsia="Arial" w:hAnsi="Arial"/>
                <w:sz w:val="14"/>
                <w:szCs w:val="14"/>
                <w:color w:val="0000EE"/>
                <w:w w:val="95"/>
              </w:rPr>
            </w:pPr>
            <w:hyperlink w:anchor="page41">
              <w:r>
                <w:rPr>
                  <w:rFonts w:ascii="Arial" w:cs="Arial" w:eastAsia="Arial" w:hAnsi="Arial"/>
                  <w:sz w:val="14"/>
                  <w:szCs w:val="14"/>
                  <w:color w:val="0000EE"/>
                  <w:w w:val="95"/>
                </w:rPr>
                <w:t>Item 7A.</w:t>
              </w:r>
            </w:hyperlink>
          </w:p>
        </w:tc>
        <w:tc>
          <w:tcPr>
            <w:tcW w:w="760" w:type="dxa"/>
            <w:vAlign w:val="bottom"/>
            <w:gridSpan w:val="3"/>
          </w:tcPr>
          <w:p>
            <w:pPr>
              <w:spacing w:after="0"/>
              <w:rPr>
                <w:sz w:val="16"/>
                <w:szCs w:val="16"/>
                <w:color w:val="auto"/>
              </w:rPr>
            </w:pPr>
          </w:p>
        </w:tc>
        <w:tc>
          <w:tcPr>
            <w:tcW w:w="3440" w:type="dxa"/>
            <w:vAlign w:val="bottom"/>
            <w:tcBorders>
              <w:bottom w:val="single" w:sz="8" w:color="0000EE"/>
            </w:tcBorders>
            <w:gridSpan w:val="15"/>
          </w:tcPr>
          <w:p>
            <w:pPr>
              <w:spacing w:after="0"/>
              <w:rPr>
                <w:rFonts w:ascii="Arial" w:cs="Arial" w:eastAsia="Arial" w:hAnsi="Arial"/>
                <w:sz w:val="14"/>
                <w:szCs w:val="14"/>
                <w:color w:val="0000EE"/>
                <w:w w:val="93"/>
              </w:rPr>
            </w:pPr>
            <w:hyperlink w:anchor="page41">
              <w:r>
                <w:rPr>
                  <w:rFonts w:ascii="Arial" w:cs="Arial" w:eastAsia="Arial" w:hAnsi="Arial"/>
                  <w:sz w:val="14"/>
                  <w:szCs w:val="14"/>
                  <w:color w:val="0000EE"/>
                  <w:w w:val="93"/>
                </w:rPr>
                <w:t>Quantitative and Qualitative Disclosures About Market Risk</w:t>
              </w:r>
            </w:hyperlink>
          </w:p>
        </w:tc>
        <w:tc>
          <w:tcPr>
            <w:tcW w:w="4500" w:type="dxa"/>
            <w:vAlign w:val="bottom"/>
            <w:gridSpan w:val="6"/>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Borders>
              <w:bottom w:val="single" w:sz="8" w:color="0000EE"/>
            </w:tcBorders>
          </w:tcPr>
          <w:p>
            <w:pPr>
              <w:jc w:val="right"/>
              <w:spacing w:after="0"/>
              <w:rPr>
                <w:rFonts w:ascii="Arial" w:cs="Arial" w:eastAsia="Arial" w:hAnsi="Arial"/>
                <w:sz w:val="14"/>
                <w:szCs w:val="14"/>
                <w:color w:val="0000EE"/>
                <w:w w:val="76"/>
              </w:rPr>
            </w:pPr>
            <w:hyperlink w:anchor="page41">
              <w:r>
                <w:rPr>
                  <w:rFonts w:ascii="Arial" w:cs="Arial" w:eastAsia="Arial" w:hAnsi="Arial"/>
                  <w:sz w:val="14"/>
                  <w:szCs w:val="14"/>
                  <w:color w:val="0000EE"/>
                  <w:w w:val="76"/>
                </w:rPr>
                <w:t>39</w:t>
              </w:r>
            </w:hyperlink>
          </w:p>
        </w:tc>
      </w:tr>
      <w:tr>
        <w:trPr>
          <w:trHeight w:val="192"/>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4"/>
          </w:tcPr>
          <w:p>
            <w:pPr>
              <w:spacing w:after="0"/>
              <w:rPr>
                <w:rFonts w:ascii="Arial" w:cs="Arial" w:eastAsia="Arial" w:hAnsi="Arial"/>
                <w:sz w:val="14"/>
                <w:szCs w:val="14"/>
                <w:color w:val="0000EE"/>
                <w:w w:val="83"/>
              </w:rPr>
            </w:pPr>
            <w:hyperlink w:anchor="page42">
              <w:r>
                <w:rPr>
                  <w:rFonts w:ascii="Arial" w:cs="Arial" w:eastAsia="Arial" w:hAnsi="Arial"/>
                  <w:sz w:val="14"/>
                  <w:szCs w:val="14"/>
                  <w:color w:val="0000EE"/>
                  <w:w w:val="83"/>
                </w:rPr>
                <w:t>Item 8.</w:t>
              </w:r>
            </w:hyperlink>
          </w:p>
        </w:tc>
        <w:tc>
          <w:tcPr>
            <w:tcW w:w="900" w:type="dxa"/>
            <w:vAlign w:val="bottom"/>
            <w:gridSpan w:val="7"/>
          </w:tcPr>
          <w:p>
            <w:pPr>
              <w:spacing w:after="0"/>
              <w:rPr>
                <w:sz w:val="16"/>
                <w:szCs w:val="16"/>
                <w:color w:val="auto"/>
              </w:rPr>
            </w:pPr>
          </w:p>
        </w:tc>
        <w:tc>
          <w:tcPr>
            <w:tcW w:w="7940" w:type="dxa"/>
            <w:vAlign w:val="bottom"/>
            <w:gridSpan w:val="21"/>
          </w:tcPr>
          <w:p>
            <w:pPr>
              <w:spacing w:after="0"/>
              <w:rPr>
                <w:rFonts w:ascii="Arial" w:cs="Arial" w:eastAsia="Arial" w:hAnsi="Arial"/>
                <w:sz w:val="14"/>
                <w:szCs w:val="14"/>
                <w:color w:val="0000EE"/>
              </w:rPr>
            </w:pPr>
            <w:hyperlink w:anchor="page42">
              <w:r>
                <w:rPr>
                  <w:rFonts w:ascii="Arial" w:cs="Arial" w:eastAsia="Arial" w:hAnsi="Arial"/>
                  <w:sz w:val="14"/>
                  <w:szCs w:val="14"/>
                  <w:color w:val="0000EE"/>
                </w:rPr>
                <w:t>Financial Statements and Supplementary Data</w:t>
              </w:r>
            </w:hyperlink>
          </w:p>
        </w:tc>
        <w:tc>
          <w:tcPr>
            <w:tcW w:w="1720" w:type="dxa"/>
            <w:vAlign w:val="bottom"/>
            <w:gridSpan w:val="2"/>
          </w:tcPr>
          <w:p>
            <w:pPr>
              <w:jc w:val="right"/>
              <w:spacing w:after="0"/>
              <w:rPr>
                <w:rFonts w:ascii="Arial" w:cs="Arial" w:eastAsia="Arial" w:hAnsi="Arial"/>
                <w:sz w:val="14"/>
                <w:szCs w:val="14"/>
                <w:color w:val="0000EE"/>
              </w:rPr>
            </w:pPr>
            <w:hyperlink w:anchor="page42">
              <w:r>
                <w:rPr>
                  <w:rFonts w:ascii="Arial" w:cs="Arial" w:eastAsia="Arial" w:hAnsi="Arial"/>
                  <w:sz w:val="14"/>
                  <w:szCs w:val="14"/>
                  <w:color w:val="0000EE"/>
                </w:rPr>
                <w:t>40</w:t>
              </w:r>
            </w:hyperlink>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Borders>
              <w:bottom w:val="single" w:sz="8" w:color="0000EE"/>
            </w:tcBorders>
            <w:gridSpan w:val="4"/>
          </w:tcPr>
          <w:p>
            <w:pPr>
              <w:spacing w:after="0"/>
              <w:rPr>
                <w:rFonts w:ascii="Arial" w:cs="Arial" w:eastAsia="Arial" w:hAnsi="Arial"/>
                <w:sz w:val="14"/>
                <w:szCs w:val="14"/>
                <w:color w:val="0000EE"/>
                <w:w w:val="83"/>
              </w:rPr>
            </w:pPr>
            <w:hyperlink w:anchor="page76">
              <w:r>
                <w:rPr>
                  <w:rFonts w:ascii="Arial" w:cs="Arial" w:eastAsia="Arial" w:hAnsi="Arial"/>
                  <w:sz w:val="14"/>
                  <w:szCs w:val="14"/>
                  <w:color w:val="0000EE"/>
                  <w:w w:val="83"/>
                </w:rPr>
                <w:t>Item 9.</w:t>
              </w:r>
            </w:hyperlink>
          </w:p>
        </w:tc>
        <w:tc>
          <w:tcPr>
            <w:tcW w:w="900" w:type="dxa"/>
            <w:vAlign w:val="bottom"/>
            <w:gridSpan w:val="7"/>
          </w:tcPr>
          <w:p>
            <w:pPr>
              <w:spacing w:after="0"/>
              <w:rPr>
                <w:sz w:val="16"/>
                <w:szCs w:val="16"/>
                <w:color w:val="auto"/>
              </w:rPr>
            </w:pPr>
          </w:p>
        </w:tc>
        <w:tc>
          <w:tcPr>
            <w:tcW w:w="5100" w:type="dxa"/>
            <w:vAlign w:val="bottom"/>
            <w:tcBorders>
              <w:bottom w:val="single" w:sz="8" w:color="0000EE"/>
            </w:tcBorders>
            <w:gridSpan w:val="18"/>
          </w:tcPr>
          <w:p>
            <w:pPr>
              <w:spacing w:after="0"/>
              <w:rPr>
                <w:rFonts w:ascii="Arial" w:cs="Arial" w:eastAsia="Arial" w:hAnsi="Arial"/>
                <w:sz w:val="14"/>
                <w:szCs w:val="14"/>
                <w:color w:val="0000EE"/>
                <w:w w:val="91"/>
              </w:rPr>
            </w:pPr>
            <w:hyperlink w:anchor="page76">
              <w:r>
                <w:rPr>
                  <w:rFonts w:ascii="Arial" w:cs="Arial" w:eastAsia="Arial" w:hAnsi="Arial"/>
                  <w:sz w:val="14"/>
                  <w:szCs w:val="14"/>
                  <w:color w:val="0000EE"/>
                  <w:w w:val="91"/>
                </w:rPr>
                <w:t>Changes in and Disagreements with Accountants on Accounting and Financial Disclosure</w:t>
              </w:r>
            </w:hyperlink>
          </w:p>
        </w:tc>
        <w:tc>
          <w:tcPr>
            <w:tcW w:w="2840" w:type="dxa"/>
            <w:vAlign w:val="bottom"/>
            <w:gridSpan w:val="3"/>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Borders>
              <w:bottom w:val="single" w:sz="8" w:color="0000EE"/>
            </w:tcBorders>
          </w:tcPr>
          <w:p>
            <w:pPr>
              <w:jc w:val="right"/>
              <w:spacing w:after="0"/>
              <w:rPr>
                <w:rFonts w:ascii="Arial" w:cs="Arial" w:eastAsia="Arial" w:hAnsi="Arial"/>
                <w:sz w:val="14"/>
                <w:szCs w:val="14"/>
                <w:color w:val="0000EE"/>
                <w:w w:val="76"/>
              </w:rPr>
            </w:pPr>
            <w:hyperlink w:anchor="page76">
              <w:r>
                <w:rPr>
                  <w:rFonts w:ascii="Arial" w:cs="Arial" w:eastAsia="Arial" w:hAnsi="Arial"/>
                  <w:sz w:val="14"/>
                  <w:szCs w:val="14"/>
                  <w:color w:val="0000EE"/>
                  <w:w w:val="76"/>
                </w:rPr>
                <w:t>74</w:t>
              </w:r>
            </w:hyperlink>
          </w:p>
        </w:tc>
      </w:tr>
      <w:tr>
        <w:trPr>
          <w:trHeight w:val="192"/>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Borders>
              <w:bottom w:val="single" w:sz="8" w:color="0000EE"/>
            </w:tcBorders>
            <w:gridSpan w:val="8"/>
          </w:tcPr>
          <w:p>
            <w:pPr>
              <w:spacing w:after="0"/>
              <w:rPr>
                <w:rFonts w:ascii="Arial" w:cs="Arial" w:eastAsia="Arial" w:hAnsi="Arial"/>
                <w:sz w:val="14"/>
                <w:szCs w:val="14"/>
                <w:color w:val="0000EE"/>
                <w:w w:val="95"/>
              </w:rPr>
            </w:pPr>
            <w:hyperlink w:anchor="page76">
              <w:r>
                <w:rPr>
                  <w:rFonts w:ascii="Arial" w:cs="Arial" w:eastAsia="Arial" w:hAnsi="Arial"/>
                  <w:sz w:val="14"/>
                  <w:szCs w:val="14"/>
                  <w:color w:val="0000EE"/>
                  <w:w w:val="95"/>
                </w:rPr>
                <w:t>Item 9A.</w:t>
              </w:r>
            </w:hyperlink>
          </w:p>
        </w:tc>
        <w:tc>
          <w:tcPr>
            <w:tcW w:w="760" w:type="dxa"/>
            <w:vAlign w:val="bottom"/>
            <w:gridSpan w:val="3"/>
          </w:tcPr>
          <w:p>
            <w:pPr>
              <w:spacing w:after="0"/>
              <w:rPr>
                <w:sz w:val="16"/>
                <w:szCs w:val="16"/>
                <w:color w:val="auto"/>
              </w:rPr>
            </w:pPr>
          </w:p>
        </w:tc>
        <w:tc>
          <w:tcPr>
            <w:tcW w:w="1400" w:type="dxa"/>
            <w:vAlign w:val="bottom"/>
            <w:tcBorders>
              <w:bottom w:val="single" w:sz="8" w:color="0000EE"/>
            </w:tcBorders>
            <w:gridSpan w:val="8"/>
          </w:tcPr>
          <w:p>
            <w:pPr>
              <w:spacing w:after="0"/>
              <w:rPr>
                <w:rFonts w:ascii="Arial" w:cs="Arial" w:eastAsia="Arial" w:hAnsi="Arial"/>
                <w:sz w:val="14"/>
                <w:szCs w:val="14"/>
                <w:color w:val="0000EE"/>
                <w:w w:val="89"/>
              </w:rPr>
            </w:pPr>
            <w:hyperlink w:anchor="page76">
              <w:r>
                <w:rPr>
                  <w:rFonts w:ascii="Arial" w:cs="Arial" w:eastAsia="Arial" w:hAnsi="Arial"/>
                  <w:sz w:val="14"/>
                  <w:szCs w:val="14"/>
                  <w:color w:val="0000EE"/>
                  <w:w w:val="89"/>
                </w:rPr>
                <w:t>Controls and Procedures</w:t>
              </w:r>
            </w:hyperlink>
          </w:p>
        </w:tc>
        <w:tc>
          <w:tcPr>
            <w:tcW w:w="6540" w:type="dxa"/>
            <w:vAlign w:val="bottom"/>
            <w:gridSpan w:val="13"/>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Borders>
              <w:bottom w:val="single" w:sz="8" w:color="0000EE"/>
            </w:tcBorders>
          </w:tcPr>
          <w:p>
            <w:pPr>
              <w:jc w:val="right"/>
              <w:spacing w:after="0"/>
              <w:rPr>
                <w:rFonts w:ascii="Arial" w:cs="Arial" w:eastAsia="Arial" w:hAnsi="Arial"/>
                <w:sz w:val="14"/>
                <w:szCs w:val="14"/>
                <w:color w:val="0000EE"/>
                <w:w w:val="76"/>
              </w:rPr>
            </w:pPr>
            <w:hyperlink w:anchor="page76">
              <w:r>
                <w:rPr>
                  <w:rFonts w:ascii="Arial" w:cs="Arial" w:eastAsia="Arial" w:hAnsi="Arial"/>
                  <w:sz w:val="14"/>
                  <w:szCs w:val="14"/>
                  <w:color w:val="0000EE"/>
                  <w:w w:val="76"/>
                </w:rPr>
                <w:t>74</w:t>
              </w:r>
            </w:hyperlink>
          </w:p>
        </w:tc>
      </w:tr>
      <w:tr>
        <w:trPr>
          <w:trHeight w:val="192"/>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Borders>
              <w:bottom w:val="single" w:sz="8" w:color="0000EE"/>
            </w:tcBorders>
            <w:gridSpan w:val="8"/>
          </w:tcPr>
          <w:p>
            <w:pPr>
              <w:spacing w:after="0"/>
              <w:rPr>
                <w:rFonts w:ascii="Arial" w:cs="Arial" w:eastAsia="Arial" w:hAnsi="Arial"/>
                <w:sz w:val="14"/>
                <w:szCs w:val="14"/>
                <w:color w:val="0000EE"/>
                <w:w w:val="95"/>
              </w:rPr>
            </w:pPr>
            <w:hyperlink w:anchor="page78">
              <w:r>
                <w:rPr>
                  <w:rFonts w:ascii="Arial" w:cs="Arial" w:eastAsia="Arial" w:hAnsi="Arial"/>
                  <w:sz w:val="14"/>
                  <w:szCs w:val="14"/>
                  <w:color w:val="0000EE"/>
                  <w:w w:val="95"/>
                </w:rPr>
                <w:t>Item 9B.</w:t>
              </w:r>
            </w:hyperlink>
          </w:p>
        </w:tc>
        <w:tc>
          <w:tcPr>
            <w:tcW w:w="760" w:type="dxa"/>
            <w:vAlign w:val="bottom"/>
            <w:gridSpan w:val="3"/>
          </w:tcPr>
          <w:p>
            <w:pPr>
              <w:spacing w:after="0"/>
              <w:rPr>
                <w:sz w:val="16"/>
                <w:szCs w:val="16"/>
                <w:color w:val="auto"/>
              </w:rPr>
            </w:pPr>
          </w:p>
        </w:tc>
        <w:tc>
          <w:tcPr>
            <w:tcW w:w="1040" w:type="dxa"/>
            <w:vAlign w:val="bottom"/>
            <w:tcBorders>
              <w:bottom w:val="single" w:sz="8" w:color="0000EE"/>
            </w:tcBorders>
            <w:gridSpan w:val="4"/>
          </w:tcPr>
          <w:p>
            <w:pPr>
              <w:spacing w:after="0"/>
              <w:rPr>
                <w:rFonts w:ascii="Arial" w:cs="Arial" w:eastAsia="Arial" w:hAnsi="Arial"/>
                <w:sz w:val="14"/>
                <w:szCs w:val="14"/>
                <w:color w:val="0000EE"/>
                <w:w w:val="93"/>
              </w:rPr>
            </w:pPr>
            <w:hyperlink w:anchor="page78">
              <w:r>
                <w:rPr>
                  <w:rFonts w:ascii="Arial" w:cs="Arial" w:eastAsia="Arial" w:hAnsi="Arial"/>
                  <w:sz w:val="14"/>
                  <w:szCs w:val="14"/>
                  <w:color w:val="0000EE"/>
                  <w:w w:val="93"/>
                </w:rPr>
                <w:t>Other Information</w:t>
              </w:r>
            </w:hyperlink>
          </w:p>
        </w:tc>
        <w:tc>
          <w:tcPr>
            <w:tcW w:w="6900" w:type="dxa"/>
            <w:vAlign w:val="bottom"/>
            <w:gridSpan w:val="17"/>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Borders>
              <w:bottom w:val="single" w:sz="8" w:color="0000EE"/>
            </w:tcBorders>
          </w:tcPr>
          <w:p>
            <w:pPr>
              <w:jc w:val="right"/>
              <w:spacing w:after="0"/>
              <w:rPr>
                <w:rFonts w:ascii="Arial" w:cs="Arial" w:eastAsia="Arial" w:hAnsi="Arial"/>
                <w:sz w:val="14"/>
                <w:szCs w:val="14"/>
                <w:color w:val="0000EE"/>
                <w:w w:val="76"/>
              </w:rPr>
            </w:pPr>
            <w:hyperlink w:anchor="page78">
              <w:r>
                <w:rPr>
                  <w:rFonts w:ascii="Arial" w:cs="Arial" w:eastAsia="Arial" w:hAnsi="Arial"/>
                  <w:sz w:val="14"/>
                  <w:szCs w:val="14"/>
                  <w:color w:val="0000EE"/>
                  <w:w w:val="76"/>
                </w:rPr>
                <w:t>76</w:t>
              </w:r>
            </w:hyperlink>
          </w:p>
        </w:tc>
      </w:tr>
      <w:tr>
        <w:trPr>
          <w:trHeight w:val="192"/>
        </w:trPr>
        <w:tc>
          <w:tcPr>
            <w:tcW w:w="20" w:type="dxa"/>
            <w:vAlign w:val="bottom"/>
          </w:tcPr>
          <w:p>
            <w:pPr>
              <w:spacing w:after="0"/>
              <w:rPr>
                <w:sz w:val="16"/>
                <w:szCs w:val="16"/>
                <w:color w:val="auto"/>
              </w:rPr>
            </w:pPr>
          </w:p>
        </w:tc>
        <w:tc>
          <w:tcPr>
            <w:tcW w:w="1580" w:type="dxa"/>
            <w:vAlign w:val="bottom"/>
            <w:gridSpan w:val="12"/>
          </w:tcPr>
          <w:p>
            <w:pPr>
              <w:spacing w:after="0"/>
              <w:rPr>
                <w:rFonts w:ascii="Arial" w:cs="Arial" w:eastAsia="Arial" w:hAnsi="Arial"/>
                <w:sz w:val="14"/>
                <w:szCs w:val="14"/>
                <w:color w:val="0000EE"/>
              </w:rPr>
            </w:pPr>
            <w:hyperlink w:anchor="page79">
              <w:r>
                <w:rPr>
                  <w:rFonts w:ascii="Arial" w:cs="Arial" w:eastAsia="Arial" w:hAnsi="Arial"/>
                  <w:sz w:val="14"/>
                  <w:szCs w:val="14"/>
                  <w:color w:val="0000EE"/>
                </w:rPr>
                <w:t>PART III</w:t>
              </w:r>
            </w:hyperlink>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gridSpan w:val="6"/>
          </w:tcPr>
          <w:p>
            <w:pPr>
              <w:spacing w:after="0"/>
              <w:rPr>
                <w:rFonts w:ascii="Arial" w:cs="Arial" w:eastAsia="Arial" w:hAnsi="Arial"/>
                <w:sz w:val="14"/>
                <w:szCs w:val="14"/>
                <w:color w:val="0000EE"/>
                <w:w w:val="90"/>
              </w:rPr>
            </w:pPr>
            <w:hyperlink w:anchor="page79">
              <w:r>
                <w:rPr>
                  <w:rFonts w:ascii="Arial" w:cs="Arial" w:eastAsia="Arial" w:hAnsi="Arial"/>
                  <w:sz w:val="14"/>
                  <w:szCs w:val="14"/>
                  <w:color w:val="0000EE"/>
                  <w:w w:val="90"/>
                </w:rPr>
                <w:t>Item 10.</w:t>
              </w:r>
            </w:hyperlink>
          </w:p>
        </w:tc>
        <w:tc>
          <w:tcPr>
            <w:tcW w:w="820" w:type="dxa"/>
            <w:vAlign w:val="bottom"/>
            <w:gridSpan w:val="5"/>
          </w:tcPr>
          <w:p>
            <w:pPr>
              <w:spacing w:after="0"/>
              <w:rPr>
                <w:sz w:val="16"/>
                <w:szCs w:val="16"/>
                <w:color w:val="auto"/>
              </w:rPr>
            </w:pPr>
          </w:p>
        </w:tc>
        <w:tc>
          <w:tcPr>
            <w:tcW w:w="7940" w:type="dxa"/>
            <w:vAlign w:val="bottom"/>
            <w:gridSpan w:val="21"/>
          </w:tcPr>
          <w:p>
            <w:pPr>
              <w:spacing w:after="0"/>
              <w:rPr>
                <w:rFonts w:ascii="Arial" w:cs="Arial" w:eastAsia="Arial" w:hAnsi="Arial"/>
                <w:sz w:val="14"/>
                <w:szCs w:val="14"/>
                <w:color w:val="0000EE"/>
              </w:rPr>
            </w:pPr>
            <w:hyperlink w:anchor="page79">
              <w:r>
                <w:rPr>
                  <w:rFonts w:ascii="Arial" w:cs="Arial" w:eastAsia="Arial" w:hAnsi="Arial"/>
                  <w:sz w:val="14"/>
                  <w:szCs w:val="14"/>
                  <w:color w:val="0000EE"/>
                </w:rPr>
                <w:t>Directors, Executive Officers and Corporate Governance</w:t>
              </w:r>
            </w:hyperlink>
          </w:p>
        </w:tc>
        <w:tc>
          <w:tcPr>
            <w:tcW w:w="1720" w:type="dxa"/>
            <w:vAlign w:val="bottom"/>
            <w:gridSpan w:val="2"/>
          </w:tcPr>
          <w:p>
            <w:pPr>
              <w:jc w:val="right"/>
              <w:spacing w:after="0"/>
              <w:rPr>
                <w:rFonts w:ascii="Arial" w:cs="Arial" w:eastAsia="Arial" w:hAnsi="Arial"/>
                <w:sz w:val="14"/>
                <w:szCs w:val="14"/>
                <w:color w:val="0000EE"/>
              </w:rPr>
            </w:pPr>
            <w:hyperlink w:anchor="page79">
              <w:r>
                <w:rPr>
                  <w:rFonts w:ascii="Arial" w:cs="Arial" w:eastAsia="Arial" w:hAnsi="Arial"/>
                  <w:sz w:val="14"/>
                  <w:szCs w:val="14"/>
                  <w:color w:val="0000EE"/>
                </w:rPr>
                <w:t>77</w:t>
              </w:r>
            </w:hyperlink>
          </w:p>
        </w:tc>
      </w:tr>
      <w:tr>
        <w:trPr>
          <w:trHeight w:val="192"/>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Borders>
              <w:top w:val="single" w:sz="8" w:color="0000EE"/>
            </w:tcBorders>
            <w:gridSpan w:val="6"/>
          </w:tcPr>
          <w:p>
            <w:pPr>
              <w:spacing w:after="0"/>
              <w:rPr>
                <w:rFonts w:ascii="Arial" w:cs="Arial" w:eastAsia="Arial" w:hAnsi="Arial"/>
                <w:sz w:val="14"/>
                <w:szCs w:val="14"/>
                <w:color w:val="0000EE"/>
                <w:w w:val="90"/>
              </w:rPr>
            </w:pPr>
            <w:hyperlink w:anchor="page79">
              <w:r>
                <w:rPr>
                  <w:rFonts w:ascii="Arial" w:cs="Arial" w:eastAsia="Arial" w:hAnsi="Arial"/>
                  <w:sz w:val="14"/>
                  <w:szCs w:val="14"/>
                  <w:color w:val="0000EE"/>
                  <w:w w:val="90"/>
                </w:rPr>
                <w:t>Item 11.</w:t>
              </w:r>
            </w:hyperlink>
          </w:p>
        </w:tc>
        <w:tc>
          <w:tcPr>
            <w:tcW w:w="820" w:type="dxa"/>
            <w:vAlign w:val="bottom"/>
            <w:gridSpan w:val="5"/>
          </w:tcPr>
          <w:p>
            <w:pPr>
              <w:spacing w:after="0"/>
              <w:rPr>
                <w:sz w:val="16"/>
                <w:szCs w:val="16"/>
                <w:color w:val="auto"/>
              </w:rPr>
            </w:pPr>
          </w:p>
        </w:tc>
        <w:tc>
          <w:tcPr>
            <w:tcW w:w="3220" w:type="dxa"/>
            <w:vAlign w:val="bottom"/>
            <w:tcBorders>
              <w:top w:val="single" w:sz="8" w:color="0000EE"/>
            </w:tcBorders>
            <w:gridSpan w:val="14"/>
          </w:tcPr>
          <w:p>
            <w:pPr>
              <w:spacing w:after="0"/>
              <w:rPr>
                <w:rFonts w:ascii="Arial" w:cs="Arial" w:eastAsia="Arial" w:hAnsi="Arial"/>
                <w:sz w:val="14"/>
                <w:szCs w:val="14"/>
                <w:color w:val="0000EE"/>
              </w:rPr>
            </w:pPr>
            <w:hyperlink w:anchor="page79">
              <w:r>
                <w:rPr>
                  <w:rFonts w:ascii="Arial" w:cs="Arial" w:eastAsia="Arial" w:hAnsi="Arial"/>
                  <w:sz w:val="14"/>
                  <w:szCs w:val="14"/>
                  <w:color w:val="0000EE"/>
                </w:rPr>
                <w:t>Executive Compensation</w:t>
              </w:r>
            </w:hyperlink>
          </w:p>
        </w:tc>
        <w:tc>
          <w:tcPr>
            <w:tcW w:w="4720" w:type="dxa"/>
            <w:vAlign w:val="bottom"/>
            <w:gridSpan w:val="7"/>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Borders>
              <w:top w:val="single" w:sz="8" w:color="0000EE"/>
            </w:tcBorders>
          </w:tcPr>
          <w:p>
            <w:pPr>
              <w:jc w:val="right"/>
              <w:spacing w:after="0"/>
              <w:rPr>
                <w:rFonts w:ascii="Arial" w:cs="Arial" w:eastAsia="Arial" w:hAnsi="Arial"/>
                <w:sz w:val="14"/>
                <w:szCs w:val="14"/>
                <w:color w:val="0000EE"/>
                <w:w w:val="76"/>
              </w:rPr>
            </w:pPr>
            <w:hyperlink w:anchor="page79">
              <w:r>
                <w:rPr>
                  <w:rFonts w:ascii="Arial" w:cs="Arial" w:eastAsia="Arial" w:hAnsi="Arial"/>
                  <w:sz w:val="14"/>
                  <w:szCs w:val="14"/>
                  <w:color w:val="0000EE"/>
                  <w:w w:val="76"/>
                </w:rPr>
                <w:t>77</w:t>
              </w:r>
            </w:hyperlink>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Borders>
              <w:bottom w:val="single" w:sz="8" w:color="0000EE"/>
            </w:tcBorders>
            <w:gridSpan w:val="7"/>
          </w:tcPr>
          <w:p>
            <w:pPr>
              <w:spacing w:after="0"/>
              <w:rPr>
                <w:rFonts w:ascii="Arial" w:cs="Arial" w:eastAsia="Arial" w:hAnsi="Arial"/>
                <w:sz w:val="14"/>
                <w:szCs w:val="14"/>
                <w:color w:val="0000EE"/>
                <w:w w:val="94"/>
              </w:rPr>
            </w:pPr>
            <w:hyperlink w:anchor="page79">
              <w:r>
                <w:rPr>
                  <w:rFonts w:ascii="Arial" w:cs="Arial" w:eastAsia="Arial" w:hAnsi="Arial"/>
                  <w:sz w:val="14"/>
                  <w:szCs w:val="14"/>
                  <w:color w:val="0000EE"/>
                  <w:w w:val="94"/>
                </w:rPr>
                <w:t>Item 12.</w:t>
              </w:r>
            </w:hyperlink>
          </w:p>
        </w:tc>
        <w:tc>
          <w:tcPr>
            <w:tcW w:w="800" w:type="dxa"/>
            <w:vAlign w:val="bottom"/>
            <w:gridSpan w:val="4"/>
          </w:tcPr>
          <w:p>
            <w:pPr>
              <w:spacing w:after="0"/>
              <w:rPr>
                <w:sz w:val="16"/>
                <w:szCs w:val="16"/>
                <w:color w:val="auto"/>
              </w:rPr>
            </w:pPr>
          </w:p>
        </w:tc>
        <w:tc>
          <w:tcPr>
            <w:tcW w:w="5740" w:type="dxa"/>
            <w:vAlign w:val="bottom"/>
            <w:tcBorders>
              <w:bottom w:val="single" w:sz="8" w:color="0000EE"/>
            </w:tcBorders>
            <w:gridSpan w:val="19"/>
          </w:tcPr>
          <w:p>
            <w:pPr>
              <w:spacing w:after="0"/>
              <w:rPr>
                <w:rFonts w:ascii="Arial" w:cs="Arial" w:eastAsia="Arial" w:hAnsi="Arial"/>
                <w:sz w:val="14"/>
                <w:szCs w:val="14"/>
                <w:color w:val="0000EE"/>
                <w:w w:val="91"/>
              </w:rPr>
            </w:pPr>
            <w:hyperlink w:anchor="page79">
              <w:r>
                <w:rPr>
                  <w:rFonts w:ascii="Arial" w:cs="Arial" w:eastAsia="Arial" w:hAnsi="Arial"/>
                  <w:sz w:val="14"/>
                  <w:szCs w:val="14"/>
                  <w:color w:val="0000EE"/>
                  <w:w w:val="91"/>
                </w:rPr>
                <w:t>Security Ownership of Certain Beneficial Owners and Management and Related Stockholder Matters</w:t>
              </w:r>
            </w:hyperlink>
          </w:p>
        </w:tc>
        <w:tc>
          <w:tcPr>
            <w:tcW w:w="2200" w:type="dxa"/>
            <w:vAlign w:val="bottom"/>
            <w:gridSpan w:val="2"/>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Borders>
              <w:bottom w:val="single" w:sz="8" w:color="0000EE"/>
            </w:tcBorders>
          </w:tcPr>
          <w:p>
            <w:pPr>
              <w:jc w:val="right"/>
              <w:spacing w:after="0"/>
              <w:rPr>
                <w:rFonts w:ascii="Arial" w:cs="Arial" w:eastAsia="Arial" w:hAnsi="Arial"/>
                <w:sz w:val="14"/>
                <w:szCs w:val="14"/>
                <w:color w:val="0000EE"/>
                <w:w w:val="76"/>
              </w:rPr>
            </w:pPr>
            <w:hyperlink w:anchor="page79">
              <w:r>
                <w:rPr>
                  <w:rFonts w:ascii="Arial" w:cs="Arial" w:eastAsia="Arial" w:hAnsi="Arial"/>
                  <w:sz w:val="14"/>
                  <w:szCs w:val="14"/>
                  <w:color w:val="0000EE"/>
                  <w:w w:val="76"/>
                </w:rPr>
                <w:t>77</w:t>
              </w:r>
            </w:hyperlink>
          </w:p>
        </w:tc>
      </w:tr>
      <w:tr>
        <w:trPr>
          <w:trHeight w:val="192"/>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gridSpan w:val="7"/>
          </w:tcPr>
          <w:p>
            <w:pPr>
              <w:spacing w:after="0"/>
              <w:rPr>
                <w:rFonts w:ascii="Arial" w:cs="Arial" w:eastAsia="Arial" w:hAnsi="Arial"/>
                <w:sz w:val="14"/>
                <w:szCs w:val="14"/>
                <w:color w:val="0000EE"/>
                <w:w w:val="94"/>
              </w:rPr>
            </w:pPr>
            <w:hyperlink w:anchor="page79">
              <w:r>
                <w:rPr>
                  <w:rFonts w:ascii="Arial" w:cs="Arial" w:eastAsia="Arial" w:hAnsi="Arial"/>
                  <w:sz w:val="14"/>
                  <w:szCs w:val="14"/>
                  <w:color w:val="0000EE"/>
                  <w:w w:val="94"/>
                </w:rPr>
                <w:t>Item 13.</w:t>
              </w:r>
            </w:hyperlink>
          </w:p>
        </w:tc>
        <w:tc>
          <w:tcPr>
            <w:tcW w:w="800" w:type="dxa"/>
            <w:vAlign w:val="bottom"/>
            <w:gridSpan w:val="4"/>
          </w:tcPr>
          <w:p>
            <w:pPr>
              <w:spacing w:after="0"/>
              <w:rPr>
                <w:sz w:val="16"/>
                <w:szCs w:val="16"/>
                <w:color w:val="auto"/>
              </w:rPr>
            </w:pPr>
          </w:p>
        </w:tc>
        <w:tc>
          <w:tcPr>
            <w:tcW w:w="7940" w:type="dxa"/>
            <w:vAlign w:val="bottom"/>
            <w:gridSpan w:val="21"/>
          </w:tcPr>
          <w:p>
            <w:pPr>
              <w:spacing w:after="0"/>
              <w:rPr>
                <w:rFonts w:ascii="Arial" w:cs="Arial" w:eastAsia="Arial" w:hAnsi="Arial"/>
                <w:sz w:val="14"/>
                <w:szCs w:val="14"/>
                <w:color w:val="0000EE"/>
              </w:rPr>
            </w:pPr>
            <w:hyperlink w:anchor="page79">
              <w:r>
                <w:rPr>
                  <w:rFonts w:ascii="Arial" w:cs="Arial" w:eastAsia="Arial" w:hAnsi="Arial"/>
                  <w:sz w:val="14"/>
                  <w:szCs w:val="14"/>
                  <w:color w:val="0000EE"/>
                </w:rPr>
                <w:t>Certain Relationships and Related Transactions, and Director Independence</w:t>
              </w:r>
            </w:hyperlink>
          </w:p>
        </w:tc>
        <w:tc>
          <w:tcPr>
            <w:tcW w:w="1720" w:type="dxa"/>
            <w:vAlign w:val="bottom"/>
            <w:gridSpan w:val="2"/>
          </w:tcPr>
          <w:p>
            <w:pPr>
              <w:jc w:val="right"/>
              <w:spacing w:after="0"/>
              <w:rPr>
                <w:rFonts w:ascii="Arial" w:cs="Arial" w:eastAsia="Arial" w:hAnsi="Arial"/>
                <w:sz w:val="14"/>
                <w:szCs w:val="14"/>
                <w:color w:val="0000EE"/>
              </w:rPr>
            </w:pPr>
            <w:hyperlink w:anchor="page79">
              <w:r>
                <w:rPr>
                  <w:rFonts w:ascii="Arial" w:cs="Arial" w:eastAsia="Arial" w:hAnsi="Arial"/>
                  <w:sz w:val="14"/>
                  <w:szCs w:val="14"/>
                  <w:color w:val="0000EE"/>
                </w:rPr>
                <w:t>77</w:t>
              </w:r>
            </w:hyperlink>
          </w:p>
        </w:tc>
      </w:tr>
      <w:tr>
        <w:trPr>
          <w:trHeight w:val="192"/>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Borders>
              <w:top w:val="single" w:sz="8" w:color="0000EE"/>
            </w:tcBorders>
            <w:gridSpan w:val="6"/>
          </w:tcPr>
          <w:p>
            <w:pPr>
              <w:spacing w:after="0"/>
              <w:rPr>
                <w:rFonts w:ascii="Arial" w:cs="Arial" w:eastAsia="Arial" w:hAnsi="Arial"/>
                <w:sz w:val="14"/>
                <w:szCs w:val="14"/>
                <w:color w:val="0000EE"/>
                <w:w w:val="90"/>
              </w:rPr>
            </w:pPr>
            <w:hyperlink w:anchor="page79">
              <w:r>
                <w:rPr>
                  <w:rFonts w:ascii="Arial" w:cs="Arial" w:eastAsia="Arial" w:hAnsi="Arial"/>
                  <w:sz w:val="14"/>
                  <w:szCs w:val="14"/>
                  <w:color w:val="0000EE"/>
                  <w:w w:val="90"/>
                </w:rPr>
                <w:t>Item 14.</w:t>
              </w:r>
            </w:hyperlink>
          </w:p>
        </w:tc>
        <w:tc>
          <w:tcPr>
            <w:tcW w:w="20" w:type="dxa"/>
            <w:vAlign w:val="bottom"/>
            <w:tcBorders>
              <w:top w:val="single" w:sz="8" w:color="0000EE"/>
            </w:tcBorders>
          </w:tcPr>
          <w:p>
            <w:pPr>
              <w:spacing w:after="0"/>
              <w:rPr>
                <w:sz w:val="16"/>
                <w:szCs w:val="16"/>
                <w:color w:val="auto"/>
              </w:rPr>
            </w:pPr>
          </w:p>
        </w:tc>
        <w:tc>
          <w:tcPr>
            <w:tcW w:w="800" w:type="dxa"/>
            <w:vAlign w:val="bottom"/>
            <w:gridSpan w:val="4"/>
          </w:tcPr>
          <w:p>
            <w:pPr>
              <w:spacing w:after="0"/>
              <w:rPr>
                <w:sz w:val="16"/>
                <w:szCs w:val="16"/>
                <w:color w:val="auto"/>
              </w:rPr>
            </w:pPr>
          </w:p>
        </w:tc>
        <w:tc>
          <w:tcPr>
            <w:tcW w:w="4280" w:type="dxa"/>
            <w:vAlign w:val="bottom"/>
            <w:tcBorders>
              <w:top w:val="single" w:sz="8" w:color="0000EE"/>
            </w:tcBorders>
            <w:gridSpan w:val="16"/>
          </w:tcPr>
          <w:p>
            <w:pPr>
              <w:spacing w:after="0"/>
              <w:rPr>
                <w:rFonts w:ascii="Arial" w:cs="Arial" w:eastAsia="Arial" w:hAnsi="Arial"/>
                <w:sz w:val="14"/>
                <w:szCs w:val="14"/>
                <w:color w:val="0000EE"/>
              </w:rPr>
            </w:pPr>
            <w:hyperlink w:anchor="page79">
              <w:r>
                <w:rPr>
                  <w:rFonts w:ascii="Arial" w:cs="Arial" w:eastAsia="Arial" w:hAnsi="Arial"/>
                  <w:sz w:val="14"/>
                  <w:szCs w:val="14"/>
                  <w:color w:val="0000EE"/>
                </w:rPr>
                <w:t>Principal Accounting Fees and Services</w:t>
              </w:r>
            </w:hyperlink>
          </w:p>
        </w:tc>
        <w:tc>
          <w:tcPr>
            <w:tcW w:w="3660" w:type="dxa"/>
            <w:vAlign w:val="bottom"/>
            <w:gridSpan w:val="5"/>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Borders>
              <w:top w:val="single" w:sz="8" w:color="0000EE"/>
            </w:tcBorders>
          </w:tcPr>
          <w:p>
            <w:pPr>
              <w:jc w:val="right"/>
              <w:spacing w:after="0"/>
              <w:rPr>
                <w:rFonts w:ascii="Arial" w:cs="Arial" w:eastAsia="Arial" w:hAnsi="Arial"/>
                <w:sz w:val="14"/>
                <w:szCs w:val="14"/>
                <w:color w:val="0000EE"/>
                <w:w w:val="76"/>
              </w:rPr>
            </w:pPr>
            <w:hyperlink w:anchor="page79">
              <w:r>
                <w:rPr>
                  <w:rFonts w:ascii="Arial" w:cs="Arial" w:eastAsia="Arial" w:hAnsi="Arial"/>
                  <w:sz w:val="14"/>
                  <w:szCs w:val="14"/>
                  <w:color w:val="0000EE"/>
                  <w:w w:val="76"/>
                </w:rPr>
                <w:t>77</w:t>
              </w:r>
            </w:hyperlink>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580" w:type="dxa"/>
            <w:vAlign w:val="bottom"/>
            <w:gridSpan w:val="12"/>
          </w:tcPr>
          <w:p>
            <w:pPr>
              <w:spacing w:after="0"/>
              <w:rPr>
                <w:rFonts w:ascii="Arial" w:cs="Arial" w:eastAsia="Arial" w:hAnsi="Arial"/>
                <w:sz w:val="14"/>
                <w:szCs w:val="14"/>
                <w:color w:val="0000EE"/>
              </w:rPr>
            </w:pPr>
            <w:hyperlink w:anchor="page80">
              <w:r>
                <w:rPr>
                  <w:rFonts w:ascii="Arial" w:cs="Arial" w:eastAsia="Arial" w:hAnsi="Arial"/>
                  <w:sz w:val="14"/>
                  <w:szCs w:val="14"/>
                  <w:color w:val="0000EE"/>
                </w:rPr>
                <w:t>PART IV</w:t>
              </w:r>
            </w:hyperlink>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5660" w:type="dxa"/>
            <w:vAlign w:val="bottom"/>
            <w:gridSpan w:val="9"/>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gridSpan w:val="7"/>
          </w:tcPr>
          <w:p>
            <w:pPr>
              <w:spacing w:after="0"/>
              <w:rPr>
                <w:rFonts w:ascii="Arial" w:cs="Arial" w:eastAsia="Arial" w:hAnsi="Arial"/>
                <w:sz w:val="14"/>
                <w:szCs w:val="14"/>
                <w:color w:val="0000EE"/>
                <w:w w:val="94"/>
              </w:rPr>
            </w:pPr>
            <w:hyperlink w:anchor="page80">
              <w:r>
                <w:rPr>
                  <w:rFonts w:ascii="Arial" w:cs="Arial" w:eastAsia="Arial" w:hAnsi="Arial"/>
                  <w:sz w:val="14"/>
                  <w:szCs w:val="14"/>
                  <w:color w:val="0000EE"/>
                  <w:w w:val="94"/>
                </w:rPr>
                <w:t>Item 15.</w:t>
              </w:r>
            </w:hyperlink>
          </w:p>
        </w:tc>
        <w:tc>
          <w:tcPr>
            <w:tcW w:w="800" w:type="dxa"/>
            <w:vAlign w:val="bottom"/>
            <w:gridSpan w:val="4"/>
          </w:tcPr>
          <w:p>
            <w:pPr>
              <w:spacing w:after="0"/>
              <w:rPr>
                <w:sz w:val="16"/>
                <w:szCs w:val="16"/>
                <w:color w:val="auto"/>
              </w:rPr>
            </w:pPr>
          </w:p>
        </w:tc>
        <w:tc>
          <w:tcPr>
            <w:tcW w:w="7940" w:type="dxa"/>
            <w:vAlign w:val="bottom"/>
            <w:gridSpan w:val="21"/>
          </w:tcPr>
          <w:p>
            <w:pPr>
              <w:spacing w:after="0"/>
              <w:rPr>
                <w:rFonts w:ascii="Arial" w:cs="Arial" w:eastAsia="Arial" w:hAnsi="Arial"/>
                <w:sz w:val="14"/>
                <w:szCs w:val="14"/>
                <w:color w:val="0000EE"/>
              </w:rPr>
            </w:pPr>
            <w:hyperlink w:anchor="page80">
              <w:r>
                <w:rPr>
                  <w:rFonts w:ascii="Arial" w:cs="Arial" w:eastAsia="Arial" w:hAnsi="Arial"/>
                  <w:sz w:val="14"/>
                  <w:szCs w:val="14"/>
                  <w:color w:val="0000EE"/>
                </w:rPr>
                <w:t>Exhibits, Financial Statement Schedules</w:t>
              </w:r>
            </w:hyperlink>
          </w:p>
        </w:tc>
        <w:tc>
          <w:tcPr>
            <w:tcW w:w="1720" w:type="dxa"/>
            <w:vAlign w:val="bottom"/>
            <w:gridSpan w:val="2"/>
          </w:tcPr>
          <w:p>
            <w:pPr>
              <w:jc w:val="right"/>
              <w:spacing w:after="0"/>
              <w:rPr>
                <w:rFonts w:ascii="Arial" w:cs="Arial" w:eastAsia="Arial" w:hAnsi="Arial"/>
                <w:sz w:val="14"/>
                <w:szCs w:val="14"/>
                <w:color w:val="0000EE"/>
              </w:rPr>
            </w:pPr>
            <w:hyperlink w:anchor="page80">
              <w:r>
                <w:rPr>
                  <w:rFonts w:ascii="Arial" w:cs="Arial" w:eastAsia="Arial" w:hAnsi="Arial"/>
                  <w:sz w:val="14"/>
                  <w:szCs w:val="14"/>
                  <w:color w:val="0000EE"/>
                </w:rPr>
                <w:t>78</w:t>
              </w:r>
            </w:hyperlink>
          </w:p>
        </w:tc>
      </w:tr>
      <w:tr>
        <w:trPr>
          <w:trHeight w:val="192"/>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Borders>
              <w:top w:val="single" w:sz="8" w:color="0000EE"/>
            </w:tcBorders>
            <w:gridSpan w:val="7"/>
          </w:tcPr>
          <w:p>
            <w:pPr>
              <w:spacing w:after="0"/>
              <w:rPr>
                <w:rFonts w:ascii="Arial" w:cs="Arial" w:eastAsia="Arial" w:hAnsi="Arial"/>
                <w:sz w:val="14"/>
                <w:szCs w:val="14"/>
                <w:color w:val="0000EE"/>
                <w:w w:val="94"/>
              </w:rPr>
            </w:pPr>
            <w:hyperlink w:anchor="page85">
              <w:r>
                <w:rPr>
                  <w:rFonts w:ascii="Arial" w:cs="Arial" w:eastAsia="Arial" w:hAnsi="Arial"/>
                  <w:sz w:val="14"/>
                  <w:szCs w:val="14"/>
                  <w:color w:val="0000EE"/>
                  <w:w w:val="94"/>
                </w:rPr>
                <w:t>Item 16.</w:t>
              </w:r>
            </w:hyperlink>
          </w:p>
        </w:tc>
        <w:tc>
          <w:tcPr>
            <w:tcW w:w="800" w:type="dxa"/>
            <w:vAlign w:val="bottom"/>
            <w:gridSpan w:val="4"/>
          </w:tcPr>
          <w:p>
            <w:pPr>
              <w:spacing w:after="0"/>
              <w:rPr>
                <w:sz w:val="16"/>
                <w:szCs w:val="16"/>
                <w:color w:val="auto"/>
              </w:rPr>
            </w:pPr>
          </w:p>
        </w:tc>
        <w:tc>
          <w:tcPr>
            <w:tcW w:w="2280" w:type="dxa"/>
            <w:vAlign w:val="bottom"/>
            <w:tcBorders>
              <w:top w:val="single" w:sz="8" w:color="0000EE"/>
            </w:tcBorders>
            <w:gridSpan w:val="12"/>
          </w:tcPr>
          <w:p>
            <w:pPr>
              <w:spacing w:after="0"/>
              <w:rPr>
                <w:rFonts w:ascii="Arial" w:cs="Arial" w:eastAsia="Arial" w:hAnsi="Arial"/>
                <w:sz w:val="14"/>
                <w:szCs w:val="14"/>
                <w:color w:val="0000EE"/>
              </w:rPr>
            </w:pPr>
            <w:hyperlink w:anchor="page85">
              <w:r>
                <w:rPr>
                  <w:rFonts w:ascii="Arial" w:cs="Arial" w:eastAsia="Arial" w:hAnsi="Arial"/>
                  <w:sz w:val="14"/>
                  <w:szCs w:val="14"/>
                  <w:color w:val="0000EE"/>
                </w:rPr>
                <w:t>Form 10-K Summary</w:t>
              </w:r>
            </w:hyperlink>
          </w:p>
        </w:tc>
        <w:tc>
          <w:tcPr>
            <w:tcW w:w="5660" w:type="dxa"/>
            <w:vAlign w:val="bottom"/>
            <w:gridSpan w:val="9"/>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Borders>
              <w:top w:val="single" w:sz="8" w:color="0000EE"/>
            </w:tcBorders>
          </w:tcPr>
          <w:p>
            <w:pPr>
              <w:jc w:val="right"/>
              <w:spacing w:after="0"/>
              <w:rPr>
                <w:rFonts w:ascii="Arial" w:cs="Arial" w:eastAsia="Arial" w:hAnsi="Arial"/>
                <w:sz w:val="14"/>
                <w:szCs w:val="14"/>
                <w:color w:val="0000EE"/>
                <w:w w:val="76"/>
              </w:rPr>
            </w:pPr>
            <w:hyperlink w:anchor="page85">
              <w:r>
                <w:rPr>
                  <w:rFonts w:ascii="Arial" w:cs="Arial" w:eastAsia="Arial" w:hAnsi="Arial"/>
                  <w:sz w:val="14"/>
                  <w:szCs w:val="14"/>
                  <w:color w:val="0000EE"/>
                  <w:w w:val="76"/>
                </w:rPr>
                <w:t>83</w:t>
              </w:r>
            </w:hyperlink>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7"/>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 w:type="dxa"/>
            <w:vAlign w:val="bottom"/>
            <w:tcBorders>
              <w:bottom w:val="single" w:sz="8" w:color="0000EE"/>
            </w:tcBorders>
            <w:gridSpan w:val="10"/>
          </w:tcPr>
          <w:p>
            <w:pPr>
              <w:spacing w:after="0"/>
              <w:rPr>
                <w:rFonts w:ascii="Arial" w:cs="Arial" w:eastAsia="Arial" w:hAnsi="Arial"/>
                <w:sz w:val="14"/>
                <w:szCs w:val="14"/>
                <w:color w:val="0000EE"/>
                <w:w w:val="94"/>
              </w:rPr>
            </w:pPr>
            <w:hyperlink w:anchor="page85">
              <w:r>
                <w:rPr>
                  <w:rFonts w:ascii="Arial" w:cs="Arial" w:eastAsia="Arial" w:hAnsi="Arial"/>
                  <w:sz w:val="14"/>
                  <w:szCs w:val="14"/>
                  <w:color w:val="0000EE"/>
                  <w:w w:val="94"/>
                </w:rPr>
                <w:t>SIGNATURES</w:t>
              </w:r>
            </w:hyperlink>
          </w:p>
        </w:tc>
        <w:tc>
          <w:tcPr>
            <w:tcW w:w="700" w:type="dxa"/>
            <w:vAlign w:val="bottom"/>
            <w:gridSpan w:val="2"/>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Borders>
              <w:bottom w:val="single" w:sz="8" w:color="0000EE"/>
            </w:tcBorders>
          </w:tcPr>
          <w:p>
            <w:pPr>
              <w:jc w:val="right"/>
              <w:spacing w:after="0"/>
              <w:rPr>
                <w:rFonts w:ascii="Arial" w:cs="Arial" w:eastAsia="Arial" w:hAnsi="Arial"/>
                <w:sz w:val="14"/>
                <w:szCs w:val="14"/>
                <w:color w:val="0000EE"/>
                <w:w w:val="76"/>
              </w:rPr>
            </w:pPr>
            <w:hyperlink w:anchor="page85">
              <w:r>
                <w:rPr>
                  <w:rFonts w:ascii="Arial" w:cs="Arial" w:eastAsia="Arial" w:hAnsi="Arial"/>
                  <w:sz w:val="14"/>
                  <w:szCs w:val="14"/>
                  <w:color w:val="0000EE"/>
                  <w:w w:val="76"/>
                </w:rPr>
                <w:t>83</w:t>
              </w:r>
            </w:hyperlink>
          </w:p>
        </w:tc>
      </w:tr>
    </w:tbl>
    <w:p>
      <w:pPr>
        <w:sectPr>
          <w:pgSz w:w="11900" w:h="16838" w:orient="portrait"/>
          <w:cols w:equalWidth="0" w:num="1">
            <w:col w:w="11260"/>
          </w:cols>
          <w:pgMar w:left="300" w:top="116"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CAUTIONARY NOTE REGARDING FORWARD LOOKING STATEMENTS</w:t>
      </w:r>
    </w:p>
    <w:p>
      <w:pPr>
        <w:spacing w:after="0" w:line="140" w:lineRule="exact"/>
        <w:rPr>
          <w:sz w:val="20"/>
          <w:szCs w:val="20"/>
          <w:color w:val="auto"/>
        </w:rPr>
      </w:pPr>
    </w:p>
    <w:p>
      <w:pPr>
        <w:ind w:right="20" w:firstLine="340"/>
        <w:spacing w:after="0" w:line="279" w:lineRule="auto"/>
        <w:rPr>
          <w:sz w:val="20"/>
          <w:szCs w:val="20"/>
          <w:color w:val="auto"/>
        </w:rPr>
      </w:pPr>
      <w:r>
        <w:rPr>
          <w:rFonts w:ascii="Arial" w:cs="Arial" w:eastAsia="Arial" w:hAnsi="Arial"/>
          <w:sz w:val="13"/>
          <w:szCs w:val="13"/>
          <w:i w:val="1"/>
          <w:iCs w:val="1"/>
          <w:color w:val="auto"/>
        </w:rPr>
        <w:t>This Annual Report on Form 10-K, including the “Management’s Discussion and Analysis of Financial Condition and Results of Operation” section in Item 7 of this report, and other materials accompanying this Annual Report on Form 10-K contain forward-looking statements within the meaning of Section 21E of the Securities Exchange Act of 1934, as amended, and Section 27A of the Securities Act of 1933, as amended. All statements other than statements of historical facts are “forward-looking statements” for purposes of these provisions, including those relating to future events or our future financial performance. In some cases, you can identify these forward- looking statements by words such as “intends,” “will,” “plans,” “anticipates,” “expects,” “may,” “might,” “estimates,” “believes,” “should,” “projects,” “predicts,” “potential” or “continue,” or the negative of those words and other comparable words, and other words or terms of similar meaning in connection with any discussion of future operating or financial performance. Similarly, statements that describe our business strategy, goals, prospects, opportunities, outlook, objectives, plans or intentions are also forward-looking statements. These statements are only predictions and may relate to, but are not limited to, expectations of future operating results or financial performance, capital expenditures, introduction of new products, regulatory compliance, plans for growth and future operations, as well as assumptions relating to the foregoing.</w:t>
      </w:r>
    </w:p>
    <w:p>
      <w:pPr>
        <w:spacing w:after="0" w:line="95" w:lineRule="exact"/>
        <w:rPr>
          <w:sz w:val="20"/>
          <w:szCs w:val="20"/>
          <w:color w:val="auto"/>
        </w:rPr>
      </w:pPr>
    </w:p>
    <w:p>
      <w:pPr>
        <w:ind w:right="160" w:firstLine="340"/>
        <w:spacing w:after="0" w:line="267" w:lineRule="auto"/>
        <w:rPr>
          <w:sz w:val="20"/>
          <w:szCs w:val="20"/>
          <w:color w:val="auto"/>
        </w:rPr>
      </w:pPr>
      <w:r>
        <w:rPr>
          <w:rFonts w:ascii="Arial" w:cs="Arial" w:eastAsia="Arial" w:hAnsi="Arial"/>
          <w:sz w:val="14"/>
          <w:szCs w:val="14"/>
          <w:i w:val="1"/>
          <w:iCs w:val="1"/>
          <w:color w:val="auto"/>
        </w:rPr>
        <w:t>These statements are based on current expectations and assumptions regarding future events and business performance and involve known and unknown risks, uncertainties and other factors that may cause actual events or results to be materially different from any future events or results expressed or implied by these statements. These factors include those set forth in the following discussion and within Item 1A “Risk Factors” of this Annual Report on Form 10-K and elsewhere within this report.</w:t>
      </w:r>
    </w:p>
    <w:p>
      <w:pPr>
        <w:spacing w:after="0" w:line="99" w:lineRule="exact"/>
        <w:rPr>
          <w:sz w:val="20"/>
          <w:szCs w:val="20"/>
          <w:color w:val="auto"/>
        </w:rPr>
      </w:pPr>
    </w:p>
    <w:p>
      <w:pPr>
        <w:ind w:right="20" w:firstLine="340"/>
        <w:spacing w:after="0" w:line="262" w:lineRule="auto"/>
        <w:rPr>
          <w:sz w:val="20"/>
          <w:szCs w:val="20"/>
          <w:color w:val="auto"/>
        </w:rPr>
      </w:pPr>
      <w:r>
        <w:rPr>
          <w:rFonts w:ascii="Arial" w:cs="Arial" w:eastAsia="Arial" w:hAnsi="Arial"/>
          <w:sz w:val="14"/>
          <w:szCs w:val="14"/>
          <w:i w:val="1"/>
          <w:iCs w:val="1"/>
          <w:color w:val="auto"/>
        </w:rPr>
        <w:t>You should not place undue reliance on these forward-looking statements, which apply only as of the filing date of this Annual Report on Form 10-K. You should carefully review the risk factors described in other documents that we file from time to time with the U.S. Securities and Exchange Commission (“SEC”). Except as required by applicable law, including the rules and regulations of the SEC, we do not plan to publicly update or revise any forward-looking statements, whether as a result of any new information, future events or otherwise, other than through the filing of periodic reports in accordance with the Securities Exchange Act of 1934, as amended.</w:t>
      </w:r>
    </w:p>
    <w:p>
      <w:pPr>
        <w:spacing w:after="0" w:line="103" w:lineRule="exact"/>
        <w:rPr>
          <w:sz w:val="20"/>
          <w:szCs w:val="20"/>
          <w:color w:val="auto"/>
        </w:rPr>
      </w:pPr>
    </w:p>
    <w:p>
      <w:pPr>
        <w:jc w:val="both"/>
        <w:ind w:right="580" w:firstLine="340"/>
        <w:spacing w:after="0" w:line="297" w:lineRule="auto"/>
        <w:rPr>
          <w:sz w:val="20"/>
          <w:szCs w:val="20"/>
          <w:color w:val="auto"/>
        </w:rPr>
      </w:pPr>
      <w:r>
        <w:rPr>
          <w:rFonts w:ascii="Arial" w:cs="Arial" w:eastAsia="Arial" w:hAnsi="Arial"/>
          <w:sz w:val="13"/>
          <w:szCs w:val="13"/>
          <w:i w:val="1"/>
          <w:iCs w:val="1"/>
          <w:color w:val="auto"/>
        </w:rPr>
        <w:t>We have proprietary rights to a number of trademarks used in this Annual Report which are important to our business. Solely for convenience, the trademarks and trade names in this prospectus are referred to without the ® and TM symbols, but such references should not be construed as any indicator that their respective owners will not assert, to the fullest extent under applicable law, their rights thereto. All other trademarks, trade names and service marks appearing in this Annual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Overview and Business Model</w:t>
      </w:r>
    </w:p>
    <w:p>
      <w:pPr>
        <w:spacing w:after="0" w:line="246" w:lineRule="exact"/>
        <w:rPr>
          <w:sz w:val="20"/>
          <w:szCs w:val="20"/>
          <w:color w:val="auto"/>
        </w:rPr>
      </w:pPr>
    </w:p>
    <w:p>
      <w:pPr>
        <w:ind w:firstLine="509"/>
        <w:spacing w:after="0" w:line="278" w:lineRule="auto"/>
        <w:rPr>
          <w:sz w:val="20"/>
          <w:szCs w:val="20"/>
          <w:color w:val="auto"/>
        </w:rPr>
      </w:pPr>
      <w:r>
        <w:rPr>
          <w:rFonts w:ascii="Arial" w:cs="Arial" w:eastAsia="Arial" w:hAnsi="Arial"/>
          <w:sz w:val="13"/>
          <w:szCs w:val="13"/>
          <w:color w:val="auto"/>
        </w:rPr>
        <w:t>Luna Innovations Incorporated ("we" or the "Company") is a leader in advanced optical technology, providing high performance fiber optic test, measurement and control products for the telecommunications and photonics industries and distributed fiber optic sensing products for industries utilizing composite and other advanced materials, such as the automotive, aerospace, energy and infrastructure industries. Our distributed fiber optic sensing products help designers and manufacturers more efficiently develop new and innovative products by providing valuable information such as highly detailed stress, strain, and temperature measurements of a new design or manufacturing process. In addition, our distributed fiber optic sensing products are used to monitor the structural integrity or operational health of critical assets, including large civil structures such as bridges. Our communications test and control products accelerate the development of advanced fiber optic components and networks by providing fast and highly accurate characterization of components and networks. We also provide applied research services, typically under research programs funded by the U.S. government, in areas of sensing and instrumentation, advanced materials, optical technologies and health sciences. Our business model is designed to accelerate the process of bringing new and innovative products to market. We use our in-house technical expertise across a range of technologies to perform applied research services for companies and for government funded projects. We continue to invest in product development and commercialization, which we anticipate will lead to increased product sales growth.</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80"/>
          </w:cols>
          <w:pgMar w:left="300" w:top="125" w:right="31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3" w:lineRule="exact"/>
        <w:rPr>
          <w:sz w:val="20"/>
          <w:szCs w:val="20"/>
          <w:color w:val="auto"/>
        </w:rPr>
      </w:pPr>
    </w:p>
    <w:p>
      <w:pPr>
        <w:ind w:right="60" w:firstLine="509"/>
        <w:spacing w:after="0" w:line="288" w:lineRule="auto"/>
        <w:rPr>
          <w:sz w:val="20"/>
          <w:szCs w:val="20"/>
          <w:color w:val="auto"/>
        </w:rPr>
      </w:pPr>
      <w:r>
        <w:rPr>
          <w:rFonts w:ascii="Arial" w:cs="Arial" w:eastAsia="Arial" w:hAnsi="Arial"/>
          <w:sz w:val="13"/>
          <w:szCs w:val="13"/>
          <w:color w:val="auto"/>
        </w:rPr>
        <w:t>We are organized into two main reporting segments, our Products and Licensing segment and our Technology Development segment. Our Products and Licensing segment develops, manufactures and markets distributed fiber optic sensing products and fiber optic communications test and control products. We continue to develop and commercialize our fiber optic technology for sensing applications for aerospace, automotive, energy and infrastructure as well as for test and measurement applications in the telecommunications and data communications industries. Our Products and Licensing segment revenues represented approximately 63% and 51% of our total revenues for the years ended December 31, 2019 and 2018, respectively.</w:t>
      </w:r>
    </w:p>
    <w:p>
      <w:pPr>
        <w:spacing w:after="0" w:line="25" w:lineRule="exact"/>
        <w:rPr>
          <w:sz w:val="20"/>
          <w:szCs w:val="20"/>
          <w:color w:val="auto"/>
        </w:rPr>
      </w:pPr>
    </w:p>
    <w:p>
      <w:pPr>
        <w:jc w:val="both"/>
        <w:ind w:right="120" w:firstLine="509"/>
        <w:spacing w:after="0" w:line="297" w:lineRule="auto"/>
        <w:rPr>
          <w:sz w:val="20"/>
          <w:szCs w:val="20"/>
          <w:color w:val="auto"/>
        </w:rPr>
      </w:pPr>
      <w:r>
        <w:rPr>
          <w:rFonts w:ascii="Arial" w:cs="Arial" w:eastAsia="Arial" w:hAnsi="Arial"/>
          <w:sz w:val="13"/>
          <w:szCs w:val="13"/>
          <w:color w:val="auto"/>
        </w:rPr>
        <w:t>Our Technology Development segment performs applied research principally in the areas of sensing and instrumentation, advanced materials, optical technologies and health sciences. Our Technology Development segment comprised approximately 37% and 49% of our total revenues for the years ended December 31, 2019 and 2018, respectively. Most of the government funding for our Technology Development segment is derived from the Small Business Innovation Research ("SBIR") program coordinated by the U.S. Small Business Administration ("SBA").</w:t>
      </w:r>
    </w:p>
    <w:p>
      <w:pPr>
        <w:spacing w:after="0" w:line="18" w:lineRule="exact"/>
        <w:rPr>
          <w:sz w:val="20"/>
          <w:szCs w:val="20"/>
          <w:color w:val="auto"/>
        </w:rPr>
      </w:pPr>
    </w:p>
    <w:p>
      <w:pPr>
        <w:ind w:right="340" w:firstLine="509"/>
        <w:spacing w:after="0" w:line="281" w:lineRule="auto"/>
        <w:rPr>
          <w:sz w:val="20"/>
          <w:szCs w:val="20"/>
          <w:color w:val="auto"/>
        </w:rPr>
      </w:pPr>
      <w:r>
        <w:rPr>
          <w:rFonts w:ascii="Arial" w:cs="Arial" w:eastAsia="Arial" w:hAnsi="Arial"/>
          <w:sz w:val="14"/>
          <w:szCs w:val="14"/>
          <w:color w:val="auto"/>
        </w:rPr>
        <w:t>Our SBIR research is focused on technological areas with commercial potential and we strive to commercialize any resulting scientific advancements. For the year ended December 31, 2019, approximately 35% of our total revenues were generated under the SBIR program, compared to 44% for the year ended December 31, 2018.</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the years ended December 31, 2019 and 2018, 40% and 53%, respectively, of our total revenues were derived from the U.S. government.</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Acquisition of General Photonics Corporation</w:t>
      </w:r>
    </w:p>
    <w:p>
      <w:pPr>
        <w:spacing w:after="0" w:line="108"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On March 1, 2019, we acquired all of the outstanding stock of General Photonics Corporation ("GP"), a leading provider of innovative components, modules and test equipment focused on the generation, measurement and control of polarized light critical in fiber optic-based applications for aggregate consideration of $19.0 million with an earn-out provision of up to $1.0 million. Of the purchase price, $17.1 million was paid at closing and $1.9 million was placed into escrow for possible working capital adjustments to the purchase price and potential satisfaction of certain post-closing indemnification obligations. As of December 31, 2019 we expect to pay, and have accrued, $1.0 million in additional cash consideration as a result of the successful completion of the earn-out provision.</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Acquisition of Micron Optics, Inc.</w:t>
      </w:r>
    </w:p>
    <w:p>
      <w:pPr>
        <w:spacing w:after="0" w:line="76"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On October 15, 2018, we acquired substantially all of the assets, other than cash, of the U. S. operations of Micron Optics, Inc. ("MOI"), a leading provider of innovative optical components and laser-based equipment that advance the quality of optical measurements, allowing the sensing, imaging and telecommunications industries, to make critical measurements. We paid total cash consideration of $5.5 million for the acquisition of MOI. The acquisition of MOI expanded our technology and product portfolio to include optical sensors and sensing interrogators capable of a broader range of measurement capabilities, including higher speed measurements such as vibration, and the ability to instrument larger structures over longer distances. In addition, the MOI acquisition added a product suite of tunable optical filters, optical sensors and swept lasers.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Products and Licensing</w:t>
      </w:r>
    </w:p>
    <w:p>
      <w:pPr>
        <w:spacing w:after="0" w:line="108" w:lineRule="exact"/>
        <w:rPr>
          <w:sz w:val="20"/>
          <w:szCs w:val="20"/>
          <w:color w:val="auto"/>
        </w:rPr>
      </w:pPr>
    </w:p>
    <w:p>
      <w:pPr>
        <w:ind w:right="220" w:firstLine="509"/>
        <w:spacing w:after="0" w:line="313" w:lineRule="auto"/>
        <w:rPr>
          <w:sz w:val="20"/>
          <w:szCs w:val="20"/>
          <w:color w:val="auto"/>
        </w:rPr>
      </w:pPr>
      <w:r>
        <w:rPr>
          <w:rFonts w:ascii="Arial" w:cs="Arial" w:eastAsia="Arial" w:hAnsi="Arial"/>
          <w:sz w:val="12"/>
          <w:szCs w:val="12"/>
          <w:color w:val="auto"/>
        </w:rPr>
        <w:t>Our Products and Licensing segment includes the sale of fiber optic test, measurement and control instruments and modules. We provide fiber optic test and measurement products which provide solutions primarily for the telecommunications industry marketed under the Luna Technologies brand. We also market our Optical Distributed Sensing Interrogator (“ODiSI”) platform of products for distributed and very high-resolution sensing of strain and temperature utilizing optical fiber. Following the acquisition of MOI, we also market our Hyperion platform of products for distributed fiber optic sensing that offer dynamic measurement capabilities over longer distances. Following our acquisition of GP, we also market solutions for the measurement, management and control of polarization and delay in fiber optic networks. We refer to the groups within our company who develop, manufacture, support and sell these products as our Lightwave division.</w:t>
      </w:r>
    </w:p>
    <w:p>
      <w:pPr>
        <w:spacing w:after="0" w:line="119" w:lineRule="exact"/>
        <w:rPr>
          <w:sz w:val="20"/>
          <w:szCs w:val="20"/>
          <w:color w:val="auto"/>
        </w:rPr>
      </w:pPr>
    </w:p>
    <w:p>
      <w:pPr>
        <w:jc w:val="both"/>
        <w:ind w:right="60" w:firstLine="509"/>
        <w:spacing w:after="0" w:line="267" w:lineRule="auto"/>
        <w:rPr>
          <w:sz w:val="20"/>
          <w:szCs w:val="20"/>
          <w:color w:val="auto"/>
        </w:rPr>
      </w:pPr>
      <w:r>
        <w:rPr>
          <w:rFonts w:ascii="Arial" w:cs="Arial" w:eastAsia="Arial" w:hAnsi="Arial"/>
          <w:sz w:val="14"/>
          <w:szCs w:val="14"/>
          <w:color w:val="auto"/>
        </w:rPr>
        <w:t>Our key initiative for long term growth is to become a leading provider of fiber optic test, measurement and control equipment, including products for physical sensing systems and standard test methods based upon the ODiSI and Hyperion product platforms and products for the characterization of high-speed fiber optic components and networks, including the growing silicon photonics market. Our primary product lines in our Products and Licensing segment are described in more detail below.</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Test and Measurement, Sensing and Instrumentation Products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300" w:top="125" w:right="31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89"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Test and Measurement Equipment for Fiber Optic Components and Sub-Assemblies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Our product lines in the optical test and measurement domain include our Optical Vector Analyzer, our Optical Backscatter Reflectometer, and our Phoenix family of tunable lasers.</w:t>
      </w:r>
    </w:p>
    <w:p>
      <w:pPr>
        <w:spacing w:after="0" w:line="84" w:lineRule="exact"/>
        <w:rPr>
          <w:sz w:val="20"/>
          <w:szCs w:val="20"/>
          <w:color w:val="auto"/>
        </w:rPr>
      </w:pPr>
    </w:p>
    <w:p>
      <w:pPr>
        <w:ind w:firstLine="509"/>
        <w:spacing w:after="0" w:line="280" w:lineRule="auto"/>
        <w:rPr>
          <w:sz w:val="20"/>
          <w:szCs w:val="20"/>
          <w:color w:val="auto"/>
        </w:rPr>
      </w:pPr>
      <w:r>
        <w:rPr>
          <w:rFonts w:ascii="Arial" w:cs="Arial" w:eastAsia="Arial" w:hAnsi="Arial"/>
          <w:sz w:val="13"/>
          <w:szCs w:val="13"/>
          <w:color w:val="auto"/>
        </w:rPr>
        <w:t>Our optical test and measurement products primarily serve the telecommunications industry, as well as provide valuable applications in other fields. Our test and measurement products test and monitor the integrity of fiber optic network components and sub-assemblies. These products are designed for manufacturers and suppliers of optical components and sub-assemblies allowing them to reduce development, test and production costs and improve the quality of their products. Our products are particularly useful for characterizing and testing photonic integrated circuits, such as silicon photonics components, which are a critical technology enabling the growing worldwide demand for internet connectivity. Most manufacturers and suppliers of optical components and modules currently use a combination of different types of optical test equipment to measure performance and identify failures in optical networks, such as bad splices, bends, crimps and other reflective and non-reflective events that can cause defects and negatively impact product performance. Our optical test equipment products eliminate the need to employ multiple test products by addressing all stages of the end user’s product development lifecycle, including design verification, component qualification, assembly process verification and failure analysis.</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ODiSI Sensing Solution</w:t>
      </w:r>
    </w:p>
    <w:p>
      <w:pPr>
        <w:spacing w:after="0" w:line="72" w:lineRule="exact"/>
        <w:rPr>
          <w:sz w:val="20"/>
          <w:szCs w:val="20"/>
          <w:color w:val="auto"/>
        </w:rPr>
      </w:pPr>
    </w:p>
    <w:p>
      <w:pPr>
        <w:ind w:right="200" w:firstLine="509"/>
        <w:spacing w:after="0" w:line="288" w:lineRule="auto"/>
        <w:rPr>
          <w:sz w:val="20"/>
          <w:szCs w:val="20"/>
          <w:color w:val="auto"/>
        </w:rPr>
      </w:pPr>
      <w:r>
        <w:rPr>
          <w:rFonts w:ascii="Arial" w:cs="Arial" w:eastAsia="Arial" w:hAnsi="Arial"/>
          <w:sz w:val="13"/>
          <w:szCs w:val="13"/>
          <w:color w:val="auto"/>
        </w:rPr>
        <w:t>Our ODiSI products provide fully distributed strain and temperature measurements delivering an extraordinary amount of data by using an optical fiber as a continuous sensor for up to 50 meters in length. Compared to traditional sensing methods, such as electrical strain gages, this technology provides greater insight into the performance, tolerances and failure mechanisms of composite structures and vehicles and can be integrated into locations and environments not accessible with traditional sensors. We believe our ODiSI products provide exceptional value to the aerospace and automotive industries as they continue to adopt electrification and move to lighter weight systems made of composite structures.</w:t>
      </w:r>
    </w:p>
    <w:p>
      <w:pPr>
        <w:spacing w:after="0" w:line="25" w:lineRule="exact"/>
        <w:rPr>
          <w:sz w:val="20"/>
          <w:szCs w:val="20"/>
          <w:color w:val="auto"/>
        </w:rPr>
      </w:pPr>
    </w:p>
    <w:p>
      <w:pPr>
        <w:jc w:val="both"/>
        <w:ind w:right="80" w:firstLine="509"/>
        <w:spacing w:after="0" w:line="267" w:lineRule="auto"/>
        <w:rPr>
          <w:sz w:val="20"/>
          <w:szCs w:val="20"/>
          <w:color w:val="auto"/>
        </w:rPr>
      </w:pPr>
      <w:r>
        <w:rPr>
          <w:rFonts w:ascii="Arial" w:cs="Arial" w:eastAsia="Arial" w:hAnsi="Arial"/>
          <w:sz w:val="14"/>
          <w:szCs w:val="14"/>
          <w:color w:val="auto"/>
        </w:rPr>
        <w:t>We have significant expertise in distributed sensing systems, such as ODiSI, which are products that incorporate multiple channels of fiber optic sensors whose inputs are integrated through an advanced measurement system and software. These products use fiber optic sensing technology with our innovative monitoring system that allows several thousand sensors to be networked along a single optical fiber.</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Hyperion Sensing Solution</w:t>
      </w:r>
    </w:p>
    <w:p>
      <w:pPr>
        <w:spacing w:after="0" w:line="72"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Our Hyperion sensing products expand our capabilities in fiber optic sensing by providing distributed sensing using hundreds of Fiber-Bragg Grating ("FBG") or Extrinsic Fabry-Perot ("FP") sensors measured at sampling rates up to 5KHz. Hyperion enables rapid full-spectrum data acquisition and flexible peak detect algorithms of FBGs, Long Period FBGs and FP sensors with low-latency access to data for closed loop feedback applications. Our Hyperion products target fiber optic sensing applications that require more dynamic measurement capabilities or longer distances than provided by our ODiSI platform.</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General Photonics</w:t>
      </w:r>
    </w:p>
    <w:p>
      <w:pPr>
        <w:spacing w:after="0" w:line="104" w:lineRule="exact"/>
        <w:rPr>
          <w:sz w:val="20"/>
          <w:szCs w:val="20"/>
          <w:color w:val="auto"/>
        </w:rPr>
      </w:pPr>
    </w:p>
    <w:p>
      <w:pPr>
        <w:ind w:right="160" w:firstLine="509"/>
        <w:spacing w:after="0" w:line="281" w:lineRule="auto"/>
        <w:rPr>
          <w:sz w:val="20"/>
          <w:szCs w:val="20"/>
          <w:color w:val="auto"/>
        </w:rPr>
      </w:pPr>
      <w:r>
        <w:rPr>
          <w:rFonts w:ascii="Arial" w:cs="Arial" w:eastAsia="Arial" w:hAnsi="Arial"/>
          <w:sz w:val="14"/>
          <w:szCs w:val="14"/>
          <w:color w:val="auto"/>
        </w:rPr>
        <w:t>Our GP products include components, modules and instruments to measure, manage and control polarization and group delay in fiber optic networks. Our proprietary fiber optic squeezing technology ensures high performance polarization control. We also manufacture and sell fiber optic coils for use in gyroscopes.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Tunable Lasers</w:t>
      </w:r>
    </w:p>
    <w:p>
      <w:pPr>
        <w:spacing w:after="0" w:line="104"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We manufacture a line of swept tunable lasers that are integrated into current and new products to help us provide our customers with faster, more flexible and cost-effective test and measurement products. Our laser has desirable properties in the quality of the laser light produced, the speed at which it can operate, the small size of the package, and the environmental conditions in which it can operate. We believe that these traits make it possible for us to move our fiber optic sensing capabilities out of the laboratory, and into more demanding environments such as aircraft structural health monitoring, automotive manufacturing, green energy and industrial applications.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TeraMetrix</w:t>
      </w:r>
    </w:p>
    <w:p>
      <w:pPr>
        <w:spacing w:after="0" w:line="41" w:lineRule="exact"/>
        <w:rPr>
          <w:sz w:val="20"/>
          <w:szCs w:val="20"/>
          <w:color w:val="auto"/>
        </w:rPr>
      </w:pPr>
    </w:p>
    <w:p>
      <w:pPr>
        <w:ind w:right="120" w:firstLine="509"/>
        <w:spacing w:after="0" w:line="267" w:lineRule="auto"/>
        <w:rPr>
          <w:sz w:val="20"/>
          <w:szCs w:val="20"/>
          <w:color w:val="auto"/>
        </w:rPr>
      </w:pPr>
      <w:r>
        <w:rPr>
          <w:rFonts w:ascii="Arial" w:cs="Arial" w:eastAsia="Arial" w:hAnsi="Arial"/>
          <w:sz w:val="14"/>
          <w:szCs w:val="14"/>
          <w:color w:val="auto"/>
        </w:rPr>
        <w:t>Our TeraMetrix products are used to measure and verify physical properties on-line and in real-time to reduce raw materials and rework costs in manufacturing processes as well as conducting quality control monitoring utilizing terahertz ("THz") measurement technologies. THz is a region of the electromagnetic spectrum that lies between microwave and infrared waves and is in the early stages of adoption. While microwaves and infrared waves have been explored and commercialized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125" w:right="31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3"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color w:val="auto"/>
        </w:rPr>
        <w:t>for decades, THz waves are in the early stages of being explored and commercialized because they have historically been very difficult to generate and detect. Advances in femtosecond lasers and ultra-fast semiconductor and electro-optic devices combined with fiber-optic packaging technologies have enabled the development of practical THz instrumentation for the research market with increasing adoption in the industrial, military and aerospace markets. THz is used to "look" through and beneath materials with high two-dimensional and three-dimensional spatial resolution. It can also uniquely identify the chemical composition of many hidden or subsurface objects using non-ionizing radiation, which is not harmful to humans at the power levels commonly used today. We market our THz based products instruments and sensors primarily through value added resellers. Our TeraMetrix THz solutions are aimed at two primary market opportunities: Non-Destructive Test (NDE) and Industrial Process Control. For both of these markets, our TeraMetrix products are used to measure layer thicknesses with very high resolutions for otherwise opaque materials, allowing our customers to manage critical coating and manufacturing processes.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and Marketing</w:t>
      </w:r>
    </w:p>
    <w:p>
      <w:pPr>
        <w:spacing w:after="0" w:line="104"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We primarily market our fiber optic test, measurement and control products to telecommunications companies, defense agencies, government system integrators, researchers, original equipment manufacturers, distributors, testing labs and strategic partners worldwide. We have a regional sales force that markets and sells our products through manufacturer representative organizations to customers in North America and through partner and distribution channels for sales outside of North America. We have a dedicated sales force for direct marketing of our distributed sensing products, with an initial focus on customers in the automotive, aerospace, and energy industries.</w:t>
      </w:r>
    </w:p>
    <w:p>
      <w:pPr>
        <w:spacing w:after="0" w:line="40" w:lineRule="exact"/>
        <w:rPr>
          <w:sz w:val="20"/>
          <w:szCs w:val="20"/>
          <w:color w:val="auto"/>
        </w:rPr>
      </w:pPr>
    </w:p>
    <w:p>
      <w:pPr>
        <w:ind w:right="160" w:firstLine="509"/>
        <w:spacing w:after="0" w:line="281" w:lineRule="auto"/>
        <w:rPr>
          <w:sz w:val="20"/>
          <w:szCs w:val="20"/>
          <w:color w:val="auto"/>
        </w:rPr>
      </w:pPr>
      <w:r>
        <w:rPr>
          <w:rFonts w:ascii="Arial" w:cs="Arial" w:eastAsia="Arial" w:hAnsi="Arial"/>
          <w:sz w:val="14"/>
          <w:szCs w:val="14"/>
          <w:color w:val="auto"/>
        </w:rPr>
        <w:t>We market our THz instruments primarily to original equipment manufacturers through a mix of technical sales engineers, value added resellers and independent sales representatives. We market these products and capabilities through industry specific channels, including the internet, industry trade shows and through trade journals.</w:t>
      </w:r>
    </w:p>
    <w:p>
      <w:pPr>
        <w:spacing w:after="0" w:line="26" w:lineRule="exact"/>
        <w:rPr>
          <w:sz w:val="20"/>
          <w:szCs w:val="20"/>
          <w:color w:val="auto"/>
        </w:rPr>
      </w:pPr>
    </w:p>
    <w:p>
      <w:pPr>
        <w:ind w:right="220" w:firstLine="509"/>
        <w:spacing w:after="0" w:line="281" w:lineRule="auto"/>
        <w:rPr>
          <w:sz w:val="20"/>
          <w:szCs w:val="20"/>
          <w:color w:val="auto"/>
        </w:rPr>
      </w:pPr>
      <w:r>
        <w:rPr>
          <w:rFonts w:ascii="Arial" w:cs="Arial" w:eastAsia="Arial" w:hAnsi="Arial"/>
          <w:sz w:val="14"/>
          <w:szCs w:val="14"/>
          <w:color w:val="auto"/>
        </w:rPr>
        <w:t>We believe that we provide a high level of support in developing and maintaining our long-term relationships with our customers. Customer service and support are provided through our offices and those of our partners that are located throughout the world.</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Technology Development</w:t>
      </w:r>
    </w:p>
    <w:p>
      <w:pPr>
        <w:spacing w:after="0" w:line="108"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We provide applied research for customers in our primary areas of focus, including sensing and materials such as coatings, adhesives, composites and bio-engineered materials. We generally compete to win contracts in these areas on a fee-for-service basis. Our Technology Development segment has a successful track record of evaluating innovative technologies to address the needs of our customers.</w:t>
      </w:r>
    </w:p>
    <w:p>
      <w:pPr>
        <w:spacing w:after="0" w:line="36" w:lineRule="exact"/>
        <w:rPr>
          <w:sz w:val="20"/>
          <w:szCs w:val="20"/>
          <w:color w:val="auto"/>
        </w:rPr>
      </w:pPr>
    </w:p>
    <w:p>
      <w:pPr>
        <w:jc w:val="both"/>
        <w:ind w:right="80" w:firstLine="509"/>
        <w:spacing w:after="0" w:line="331" w:lineRule="auto"/>
        <w:rPr>
          <w:sz w:val="20"/>
          <w:szCs w:val="20"/>
          <w:color w:val="auto"/>
        </w:rPr>
      </w:pPr>
      <w:r>
        <w:rPr>
          <w:rFonts w:ascii="Arial" w:cs="Arial" w:eastAsia="Arial" w:hAnsi="Arial"/>
          <w:sz w:val="12"/>
          <w:szCs w:val="12"/>
          <w:color w:val="auto"/>
        </w:rPr>
        <w:t>We seek to maximize the benefits of our contract research business by generating revenue and identifying promising technologies to develop. We focus primarily on opportunities in which we develop intellectual property rights in areas that we believe we can commercialize. We take a disciplined approach to contract research to ensure the costs of contracts we undertake will be fully reimbursed. We believe this model is cost-efficient and significantly reduces our development risk by enabling us to defray the development costs of higher risk technology with third-party funding.</w:t>
      </w:r>
    </w:p>
    <w:p>
      <w:pPr>
        <w:spacing w:after="0" w:line="2" w:lineRule="exact"/>
        <w:rPr>
          <w:sz w:val="20"/>
          <w:szCs w:val="20"/>
          <w:color w:val="auto"/>
        </w:rPr>
      </w:pPr>
    </w:p>
    <w:p>
      <w:pPr>
        <w:ind w:right="120" w:firstLine="509"/>
        <w:spacing w:after="0" w:line="260" w:lineRule="auto"/>
        <w:rPr>
          <w:sz w:val="20"/>
          <w:szCs w:val="20"/>
          <w:color w:val="auto"/>
        </w:rPr>
      </w:pPr>
      <w:r>
        <w:rPr>
          <w:rFonts w:ascii="Arial" w:cs="Arial" w:eastAsia="Arial" w:hAnsi="Arial"/>
          <w:sz w:val="14"/>
          <w:szCs w:val="14"/>
          <w:color w:val="auto"/>
        </w:rPr>
        <w:t>While we conduct our applied research on a fee-for-service basis for third parties, we seek to retain full or partial rights to the technologies and patents we develop under these contracts to continuously enlarge and strengthen our intellectual property portfolio. New technology that we develop may complement our existing technologies and enable us to develop applications and products that were previously not possible. In addition, the new technologies we develop may have commercial markets beyond the scope of the applications originally contemplated in the contract research stage, and we endeavor to capture the value of those opportunities. Funded research and development within this business segment was $26.0 million and $21.0 million for the years ended December 31, 2019 and 2018, respectively.</w:t>
      </w:r>
    </w:p>
    <w:p>
      <w:pPr>
        <w:spacing w:after="0" w:line="40" w:lineRule="exact"/>
        <w:rPr>
          <w:sz w:val="20"/>
          <w:szCs w:val="20"/>
          <w:color w:val="auto"/>
        </w:rPr>
      </w:pPr>
    </w:p>
    <w:p>
      <w:pPr>
        <w:ind w:right="20" w:firstLine="509"/>
        <w:spacing w:after="0" w:line="288" w:lineRule="auto"/>
        <w:rPr>
          <w:sz w:val="20"/>
          <w:szCs w:val="20"/>
          <w:color w:val="auto"/>
        </w:rPr>
      </w:pPr>
      <w:r>
        <w:rPr>
          <w:rFonts w:ascii="Arial" w:cs="Arial" w:eastAsia="Arial" w:hAnsi="Arial"/>
          <w:sz w:val="13"/>
          <w:szCs w:val="13"/>
          <w:color w:val="auto"/>
        </w:rPr>
        <w:t>Each year, U.S. government federal agencies and departments are required to allocate a portion of their grant awards for SBIR-qualified organizations. SBIR contracts include Phase I feasibility contracts of up to $225,000 and Phase II proof-of-concept contracts, which can be as high as $1,500,000. We have won three National Tibbetts Awards from the SBA for outstanding SBIR performance. We have also won research contracts outside the SBIR program from corporations and government entities. These contracts typically have a longer duration and higher value than SBIR grants. In the future, we seek to derive a larger portion of our contract research revenues from contracts outside of the SBIR program.</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Materials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00" w:top="125" w:right="35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73" w:lineRule="exact"/>
        <w:rPr>
          <w:sz w:val="20"/>
          <w:szCs w:val="20"/>
          <w:color w:val="auto"/>
        </w:rPr>
      </w:pPr>
    </w:p>
    <w:p>
      <w:pPr>
        <w:ind w:right="100" w:firstLine="509"/>
        <w:spacing w:after="0" w:line="281" w:lineRule="auto"/>
        <w:rPr>
          <w:sz w:val="20"/>
          <w:szCs w:val="20"/>
          <w:color w:val="auto"/>
        </w:rPr>
      </w:pPr>
      <w:r>
        <w:rPr>
          <w:rFonts w:ascii="Arial" w:cs="Arial" w:eastAsia="Arial" w:hAnsi="Arial"/>
          <w:sz w:val="14"/>
          <w:szCs w:val="14"/>
          <w:color w:val="auto"/>
        </w:rPr>
        <w:t>We are actively developing a wide variety of materials. For example, we have developed a range of coatings, including both hydrophobic and superoleophobic coatings. These coatings are being evaluated for use in a number of applications. Other coatings under development include anti-corrosion and damage-indicating coatings.</w:t>
      </w:r>
    </w:p>
    <w:p>
      <w:pPr>
        <w:spacing w:after="0" w:line="323"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We are also working on a variety of bioengineered materials for homeostatic agents and wound healing. These materials must be approved by the FDA or similar foreign regulatory agencies before they can be marketed, which we do not expect to occur for at least several years, if at all.</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Sensing</w:t>
      </w:r>
    </w:p>
    <w:p>
      <w:pPr>
        <w:spacing w:after="0" w:line="104" w:lineRule="exact"/>
        <w:rPr>
          <w:sz w:val="20"/>
          <w:szCs w:val="20"/>
          <w:color w:val="auto"/>
        </w:rPr>
      </w:pPr>
    </w:p>
    <w:p>
      <w:pPr>
        <w:ind w:right="20" w:firstLine="509"/>
        <w:spacing w:after="0" w:line="288" w:lineRule="auto"/>
        <w:rPr>
          <w:sz w:val="20"/>
          <w:szCs w:val="20"/>
          <w:color w:val="auto"/>
        </w:rPr>
      </w:pPr>
      <w:r>
        <w:rPr>
          <w:rFonts w:ascii="Arial" w:cs="Arial" w:eastAsia="Arial" w:hAnsi="Arial"/>
          <w:sz w:val="13"/>
          <w:szCs w:val="13"/>
          <w:color w:val="auto"/>
        </w:rPr>
        <w:t>Our Technology Development segment also performs a significant amount of applied research towards developing new sensors. This includes sensors for the purpose of corrosion, temperature, strain, pressure, structural health and chemical detection. Much of the work is directed to harsh environments and uses optics. Examples include measuring temperature and neutron flux in nuclear reactors, pressure and temperature in gas turbines and temperatures of cryogenic lines. The effort utilizes both discrete and distributed sensors. Our technology development work in this area is closely aligned with our Products and Licensing segment and is directed at advancing the technology and the development of new applications.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08" w:lineRule="exact"/>
        <w:rPr>
          <w:sz w:val="20"/>
          <w:szCs w:val="20"/>
          <w:color w:val="auto"/>
        </w:rPr>
      </w:pPr>
    </w:p>
    <w:p>
      <w:pPr>
        <w:ind w:right="200" w:firstLine="446"/>
        <w:spacing w:after="0" w:line="297" w:lineRule="auto"/>
        <w:rPr>
          <w:sz w:val="20"/>
          <w:szCs w:val="20"/>
          <w:color w:val="auto"/>
        </w:rPr>
      </w:pPr>
      <w:r>
        <w:rPr>
          <w:rFonts w:ascii="Arial" w:cs="Arial" w:eastAsia="Arial" w:hAnsi="Arial"/>
          <w:sz w:val="13"/>
          <w:szCs w:val="13"/>
          <w:color w:val="auto"/>
        </w:rPr>
        <w:t>We seek patent protection on inventions that we consider important to the operations of our business. We rely on a combination of patent, trademark, copyright and trade secret laws in the United States and other jurisdictions, as well as confidentiality procedures and contractual provisions to protect our proprietary technology and our brand. We control access to our proprietary technology and enter into confidentiality and invention assignment agreements with our employees and consultants and confidentiality agreements with other third parties.</w:t>
      </w:r>
    </w:p>
    <w:p>
      <w:pPr>
        <w:spacing w:after="0" w:line="18"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Our success depends in part on our ability to develop patentable products and obtain, maintain and enforce patent and trade secret protection for our products, including successfully defending our patents against third-party challenges both in the United States and in other countries. We will only be able to protect our technologies from unauthorized use by third parties to the extent that we own or have licensed valid and enforceable patents or trade secrets that cover them. Furthermore, the degree of future protection of our proprietary rights is uncertain because we may not be able to obtain patent protection on some or all of our technology and because legal means afford only limited protection and may not adequately protect our rights or permit us to gain or keep our competitive advantage.</w:t>
      </w:r>
    </w:p>
    <w:p>
      <w:pPr>
        <w:spacing w:after="0" w:line="40" w:lineRule="exact"/>
        <w:rPr>
          <w:sz w:val="20"/>
          <w:szCs w:val="20"/>
          <w:color w:val="auto"/>
        </w:rPr>
      </w:pPr>
    </w:p>
    <w:p>
      <w:pPr>
        <w:ind w:right="40" w:firstLine="509"/>
        <w:spacing w:after="0" w:line="257" w:lineRule="auto"/>
        <w:rPr>
          <w:sz w:val="20"/>
          <w:szCs w:val="20"/>
          <w:color w:val="auto"/>
        </w:rPr>
      </w:pPr>
      <w:r>
        <w:rPr>
          <w:rFonts w:ascii="Arial" w:cs="Arial" w:eastAsia="Arial" w:hAnsi="Arial"/>
          <w:sz w:val="14"/>
          <w:szCs w:val="14"/>
          <w:color w:val="auto"/>
        </w:rPr>
        <w:t>Currently, we own or license approximately 400 U.S. and international patents and approximately 50 U.S. and international patent applications. Our issued patents generally have terms that are scheduled to expire between 2020 and 2037. The patents scheduled to expire in 2020 are not expected to have a significant impact on our revenues or results of operations. Patents may not be issued for any pending or future pending patent applications owned by or licensed to us. Claims allowed under any issued patent or future issued patent owned or licensed by us may not be valid or sufficiently broad to protect our technologies. Any issued patents owned by or licensed to us now or in the future may be challenged, invalidated or circumvented, and, in addition, the rights under such patents may not provide us with competitive advantages. In addition, competitors may design around our technology or develop competing technologies. To the extent we elect to pursue, intellectual property rights may also be unavailable or limited in some foreign countries, which could make it easier for competitors to capture or increase their market share with respect to related technologies.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discussion of our material in-licensed patents is set forth below.</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NASA Patents</w:t>
      </w:r>
    </w:p>
    <w:p>
      <w:pPr>
        <w:spacing w:after="0" w:line="69" w:lineRule="exact"/>
        <w:rPr>
          <w:sz w:val="20"/>
          <w:szCs w:val="20"/>
          <w:color w:val="auto"/>
        </w:rPr>
      </w:pPr>
    </w:p>
    <w:p>
      <w:pPr>
        <w:ind w:right="20" w:firstLine="509"/>
        <w:spacing w:after="0" w:line="282" w:lineRule="auto"/>
        <w:rPr>
          <w:sz w:val="20"/>
          <w:szCs w:val="20"/>
          <w:color w:val="auto"/>
        </w:rPr>
      </w:pPr>
      <w:r>
        <w:rPr>
          <w:rFonts w:ascii="Arial" w:cs="Arial" w:eastAsia="Arial" w:hAnsi="Arial"/>
          <w:sz w:val="13"/>
          <w:szCs w:val="13"/>
          <w:color w:val="auto"/>
        </w:rPr>
        <w:t>We have licensed, on a non-exclusive basis, four U.S. patents and related patents in Japan, Canada, Germany, France, Great Britain and Belgium from the National Aeronautics and Space Administration, an agency of the U.S. government (“NASA”), which patents concern the measurement of strain in optical fiber using Bragg gratings and Rayleigh scatter and the measurement of the properties of fiber-optic communications devices. These patents expire between March 2020 and October 2020. Under the license agreements, we pay NASA certain royalties based on a percentage of net sales of products covered by the patents. We incur a royalty obligation to NASA based upon a specified percentage of the revenue earned on each product sold utilizing these patents subject to combined minimum royalties of $220,000 per year under the license agreements. The term of the license agreements continues until the expiration of the last licensed patent. These license agreements may be terminated by us on 90 days' notice. Either party may terminate the license agreements for cause upon certain conditions.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20"/>
          </w:cols>
          <w:pgMar w:left="300" w:top="125" w:right="37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Shape Sensing Patents</w:t>
      </w:r>
    </w:p>
    <w:p>
      <w:pPr>
        <w:spacing w:after="0" w:line="91" w:lineRule="exact"/>
        <w:rPr>
          <w:sz w:val="20"/>
          <w:szCs w:val="20"/>
          <w:color w:val="auto"/>
        </w:rPr>
      </w:pPr>
    </w:p>
    <w:p>
      <w:pPr>
        <w:ind w:firstLine="509"/>
        <w:spacing w:after="0" w:line="280" w:lineRule="auto"/>
        <w:rPr>
          <w:sz w:val="20"/>
          <w:szCs w:val="20"/>
          <w:color w:val="auto"/>
        </w:rPr>
      </w:pPr>
      <w:r>
        <w:rPr>
          <w:rFonts w:ascii="Arial" w:cs="Arial" w:eastAsia="Arial" w:hAnsi="Arial"/>
          <w:sz w:val="13"/>
          <w:szCs w:val="13"/>
          <w:color w:val="auto"/>
        </w:rPr>
        <w:t>As a part of our sale of assets associated with our fiber optic shape sensing technology in the medical field to Intuitive Surgical, Inc. ("Intuitive") in 2014, we transferred our related patents to Intuitive. Also, as a part of this transaction, we entered into a revocable license agreement with Intuitive pursuant to which we have the right to use all of our transferred technology outside the field of medicine and in respect of our existing non-shape sensing products in certain non-robotic medical fields. Two U.S. patents that we now license back from Intuitive cover the use of optical frequency domain reflectometry and multiple, closely spaced Bragg gratings for shape sensing, and the use of the inherent scatter as a strain sensor for shape sensing. These two patents expire in July 2025. We also license back from Intuitive patents and patent applications that cover certain refinements to the measurements covered in the foregoing two patents and related technologies, which are necessary in order to achieve the necessary accuracies for medical and other applications. These patent applications were filed in the United States, the European Patent Office, China, India, Russia, Brazil, Japan, Indonesia and elsewhere. These patents and patent applications can support other nonmedical applications of our fiber optic shape sensing technology.</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Coherent</w:t>
      </w:r>
    </w:p>
    <w:p>
      <w:pPr>
        <w:spacing w:after="0" w:line="72" w:lineRule="exact"/>
        <w:rPr>
          <w:sz w:val="20"/>
          <w:szCs w:val="20"/>
          <w:color w:val="auto"/>
        </w:rPr>
      </w:pPr>
    </w:p>
    <w:p>
      <w:pPr>
        <w:ind w:firstLine="509"/>
        <w:spacing w:after="0" w:line="309" w:lineRule="auto"/>
        <w:rPr>
          <w:sz w:val="20"/>
          <w:szCs w:val="20"/>
          <w:color w:val="auto"/>
        </w:rPr>
      </w:pPr>
      <w:r>
        <w:rPr>
          <w:rFonts w:ascii="Arial" w:cs="Arial" w:eastAsia="Arial" w:hAnsi="Arial"/>
          <w:sz w:val="12"/>
          <w:szCs w:val="12"/>
          <w:color w:val="auto"/>
        </w:rPr>
        <w:t>In December 2006, we entered into an asset transfer and license agreement with Coherent, Inc. Under the agreement, we acquired the rights to manufacture Coherent’s “Iolon” brand of swept tunable lasers as well as certain manufacturing equipment and inventory previously used by Coherent to manufacture the lasers. We continue to enhance, produce and market these lasers under our “Phoenix” brand. Under this agreement, Coherent granted non-exclusive licenses to us for certain U.S. patents and other intellectual property rights owned or controlled by Coherent for making, having made, using, importing, selling and offering for sale the lasers. This agreement expired in 2016. However, the patent licenses became fully paid and perpetual, as we fulfilled our royalty obligations during the 10-year period and the license to the other intellectual property rights is perpetual. These U.S. patents expire between 2020 and 2022. As consideration, we paid Coherent a total of $1.3 million in addition to paying royalties on net sales of products sold by us that incorporate the lasers or that are manufactured using the intellectual property covered by the licenses.</w:t>
      </w:r>
    </w:p>
    <w:p>
      <w:pPr>
        <w:spacing w:after="0" w:line="16" w:lineRule="exact"/>
        <w:rPr>
          <w:sz w:val="20"/>
          <w:szCs w:val="20"/>
          <w:color w:val="auto"/>
        </w:rPr>
      </w:pPr>
    </w:p>
    <w:p>
      <w:pPr>
        <w:ind w:right="60" w:firstLine="340"/>
        <w:spacing w:after="0" w:line="284" w:lineRule="auto"/>
        <w:rPr>
          <w:sz w:val="20"/>
          <w:szCs w:val="20"/>
          <w:color w:val="auto"/>
        </w:rPr>
      </w:pPr>
      <w:r>
        <w:rPr>
          <w:rFonts w:ascii="Arial" w:cs="Arial" w:eastAsia="Arial" w:hAnsi="Arial"/>
          <w:sz w:val="13"/>
          <w:szCs w:val="13"/>
          <w:color w:val="auto"/>
        </w:rPr>
        <w:t>The Phoenix laser is a miniaturized, external-cavity laser offering high performance in a compact footprint and is applicable to a range of fiber optic test and measurement, instrumentation, and sensing applications. These products employ frequency-tuned lasers to measure various aspects of the transmission properties of telecommunications fiber optic components and systems. Lasers are also used in fiber optic sensing applications such as distributed strain and temperature mapping, and distributed measurement of shape. We currently use these lasers within our ODiSI platform of products, our fiber optic shape sensing products and certain of our backscatter reflectometer products, and we also sell variations of the Phoenix laser as standalone products. Under our agreements related to our sale of assets to Intuitive, we have certain obligations to supply Intuitive with these lasers.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History</w:t>
      </w:r>
    </w:p>
    <w:p>
      <w:pPr>
        <w:spacing w:after="0" w:line="108" w:lineRule="exact"/>
        <w:rPr>
          <w:sz w:val="20"/>
          <w:szCs w:val="20"/>
          <w:color w:val="auto"/>
        </w:rPr>
      </w:pPr>
    </w:p>
    <w:p>
      <w:pPr>
        <w:ind w:right="20" w:firstLine="340"/>
        <w:spacing w:after="0" w:line="281" w:lineRule="auto"/>
        <w:rPr>
          <w:sz w:val="20"/>
          <w:szCs w:val="20"/>
          <w:color w:val="auto"/>
        </w:rPr>
      </w:pPr>
      <w:r>
        <w:rPr>
          <w:rFonts w:ascii="Arial" w:cs="Arial" w:eastAsia="Arial" w:hAnsi="Arial"/>
          <w:sz w:val="14"/>
          <w:szCs w:val="14"/>
          <w:color w:val="auto"/>
        </w:rPr>
        <w:t>We were incorporated in the Commonwealth of Virginia in 1990 and reincorporated in the State of Delaware in April 2003. We completed our initial public offering in June 2006. Our executive offices are located at 301 1st St SW, Suite 200, Roanoke, Virginia 24011 and our main telephone number is (540) 769-8400.</w:t>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Material Agreements</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Sale of High-Speed Optical Receiver ("HSOR") Business</w:t>
      </w:r>
    </w:p>
    <w:p>
      <w:pPr>
        <w:spacing w:after="0" w:line="72" w:lineRule="exact"/>
        <w:rPr>
          <w:sz w:val="20"/>
          <w:szCs w:val="20"/>
          <w:color w:val="auto"/>
        </w:rPr>
      </w:pPr>
    </w:p>
    <w:p>
      <w:pPr>
        <w:ind w:right="60" w:firstLine="509"/>
        <w:spacing w:after="0" w:line="260" w:lineRule="auto"/>
        <w:rPr>
          <w:sz w:val="20"/>
          <w:szCs w:val="20"/>
          <w:color w:val="auto"/>
        </w:rPr>
      </w:pPr>
      <w:r>
        <w:rPr>
          <w:rFonts w:ascii="Arial" w:cs="Arial" w:eastAsia="Arial" w:hAnsi="Arial"/>
          <w:sz w:val="14"/>
          <w:szCs w:val="14"/>
          <w:color w:val="auto"/>
        </w:rPr>
        <w:t>On August 9, 2017, we completed the sale of our HSOR business, which was part of our Products and Licensing segment, to an unaffiliated third party for an initial purchase price of $33.5 million, of which $29.5 million in cash has been received, and $4.0 million was placed into escrow until December 15, 2018 for possible working capital adjustments to the purchase price and potential satisfaction of certain post-closing indemnification obligations. In December 2018, we received $1.5 million of the escrow amount. The remaining $2.5 million remains in escrow and is pending the resolution of certain indemnification claims which the buyer has made and which are disputed by us. The HSOR business was a component of the operations of Advanced Photonix, Inc., which we acquired in May 2015.</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Sale of Luna Optoelectronics</w:t>
      </w:r>
    </w:p>
    <w:p>
      <w:pPr>
        <w:spacing w:after="0" w:line="72" w:lineRule="exact"/>
        <w:rPr>
          <w:sz w:val="20"/>
          <w:szCs w:val="20"/>
          <w:color w:val="auto"/>
        </w:rPr>
      </w:pPr>
    </w:p>
    <w:p>
      <w:pPr>
        <w:ind w:right="180" w:firstLine="509"/>
        <w:spacing w:after="0" w:line="321" w:lineRule="auto"/>
        <w:rPr>
          <w:sz w:val="20"/>
          <w:szCs w:val="20"/>
          <w:color w:val="auto"/>
        </w:rPr>
      </w:pPr>
      <w:r>
        <w:rPr>
          <w:rFonts w:ascii="Arial" w:cs="Arial" w:eastAsia="Arial" w:hAnsi="Arial"/>
          <w:sz w:val="13"/>
          <w:szCs w:val="13"/>
          <w:color w:val="auto"/>
        </w:rPr>
        <w:t>In July 2018 we sold substantially all of the assets associated with our custom optoelectronic components and sub-assemblies business for total cash consideration of $17.5 million, paid at closing, in addition to contingent consideration of up to $1.0 million. The contingent consideration is subject to the optoelectronic business achieving specified revenue targets for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80"/>
          </w:cols>
          <w:pgMar w:left="300" w:top="125" w:right="31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the 18-month period following the closing date. As of December 31, 2019, we are unsure if any of the contingent consideration will be received. The optoelectronic business was a component of the operations of Advanced Photonix, Inc.</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08" w:lineRule="exact"/>
        <w:rPr>
          <w:sz w:val="20"/>
          <w:szCs w:val="20"/>
          <w:color w:val="auto"/>
        </w:rPr>
      </w:pPr>
    </w:p>
    <w:p>
      <w:pPr>
        <w:ind w:right="260" w:firstLine="318"/>
        <w:spacing w:after="0" w:line="284" w:lineRule="auto"/>
        <w:rPr>
          <w:sz w:val="20"/>
          <w:szCs w:val="20"/>
          <w:color w:val="auto"/>
        </w:rPr>
      </w:pPr>
      <w:r>
        <w:rPr>
          <w:rFonts w:ascii="Arial" w:cs="Arial" w:eastAsia="Arial" w:hAnsi="Arial"/>
          <w:sz w:val="13"/>
          <w:szCs w:val="13"/>
          <w:color w:val="auto"/>
        </w:rPr>
        <w:t>We compete with a variety of companies in several different product markets. The products that we have developed or are currently developing will compete with other technologically innovative products, as well as products incorporating conventional materials and technologies. We expect that we will compete with companies in a wide range of industries, including semiconductors, electronics, biotechnology, textiles, alternative energy, military, defense, healthcare, telecommunications, industrial measurement, security applications and consumer electronics. Although there can be no assurance that we will continue to do so, we believe that we compete favorably in these areas because our products leverage advanced technologies to offer superior performance. If we are unable to effectively compete in these areas in the future, we could lose business to our competitors, which could harm our operating results.</w:t>
      </w:r>
    </w:p>
    <w:p>
      <w:pPr>
        <w:spacing w:after="0" w:line="28" w:lineRule="exact"/>
        <w:rPr>
          <w:sz w:val="20"/>
          <w:szCs w:val="20"/>
          <w:color w:val="auto"/>
        </w:rPr>
      </w:pPr>
    </w:p>
    <w:p>
      <w:pPr>
        <w:ind w:right="100" w:firstLine="509"/>
        <w:spacing w:after="0" w:line="284" w:lineRule="auto"/>
        <w:rPr>
          <w:sz w:val="20"/>
          <w:szCs w:val="20"/>
          <w:color w:val="auto"/>
        </w:rPr>
      </w:pPr>
      <w:r>
        <w:rPr>
          <w:rFonts w:ascii="Arial" w:cs="Arial" w:eastAsia="Arial" w:hAnsi="Arial"/>
          <w:sz w:val="13"/>
          <w:szCs w:val="13"/>
          <w:color w:val="auto"/>
        </w:rPr>
        <w:t>We also compete, or will compete, for government, university and corporate research contracts relating to a broad range of technologies. Competition for contract research is intense and the industry has few barriers to entry. We compete against a number of in-house research and development departments of major corporations, as well as a number of small, limited-service contract research providers and companies backed by large venture capital firms. The contract research industry continues to experience consolidation, which has resulted in greater competition for clients. Increased competition might lead to price and other forms of competition that could harm our operating results. We compete for contract research on the basis of a number of factors, including reliability, past performance, expertise and experience in specific areas, scope of service offerings, technological capabilities and price.</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Qualification for Small Business Innovation Research Grants</w:t>
      </w:r>
    </w:p>
    <w:p>
      <w:pPr>
        <w:spacing w:after="0" w:line="104" w:lineRule="exact"/>
        <w:rPr>
          <w:sz w:val="20"/>
          <w:szCs w:val="20"/>
          <w:color w:val="auto"/>
        </w:rPr>
      </w:pPr>
    </w:p>
    <w:p>
      <w:pPr>
        <w:ind w:right="200" w:firstLine="509"/>
        <w:spacing w:after="0" w:line="267" w:lineRule="auto"/>
        <w:rPr>
          <w:sz w:val="20"/>
          <w:szCs w:val="20"/>
          <w:color w:val="auto"/>
        </w:rPr>
      </w:pPr>
      <w:r>
        <w:rPr>
          <w:rFonts w:ascii="Arial" w:cs="Arial" w:eastAsia="Arial" w:hAnsi="Arial"/>
          <w:sz w:val="14"/>
          <w:szCs w:val="14"/>
          <w:color w:val="auto"/>
        </w:rPr>
        <w:t>SBIR is a highly competitive program that encourages small businesses to explore their technological potential and provides them with incentives to commercialize their technologies by funding research that might otherwise be prohibitively expensive or risky for companies like us. As noted above, we presently derive a significant portion of our revenue from this program, but we must continue to qualify for the SBIR program in order to be eligible to receive future SBIR awards. The eligibility requirements are:</w:t>
      </w:r>
    </w:p>
    <w:p>
      <w:pPr>
        <w:spacing w:after="0" w:line="290" w:lineRule="exact"/>
        <w:rPr>
          <w:sz w:val="20"/>
          <w:szCs w:val="20"/>
          <w:color w:val="auto"/>
        </w:rPr>
      </w:pPr>
    </w:p>
    <w:p>
      <w:pPr>
        <w:ind w:left="700" w:right="360" w:hanging="324"/>
        <w:spacing w:after="0" w:line="281" w:lineRule="auto"/>
        <w:tabs>
          <w:tab w:leader="none" w:pos="700" w:val="left"/>
        </w:tabs>
        <w:numPr>
          <w:ilvl w:val="1"/>
          <w:numId w:val="3"/>
        </w:numPr>
        <w:rPr>
          <w:rFonts w:ascii="Arial" w:cs="Arial" w:eastAsia="Arial" w:hAnsi="Arial"/>
          <w:sz w:val="14"/>
          <w:szCs w:val="14"/>
          <w:color w:val="auto"/>
        </w:rPr>
      </w:pPr>
      <w:r>
        <w:rPr>
          <w:rFonts w:ascii="Arial" w:cs="Arial" w:eastAsia="Arial" w:hAnsi="Arial"/>
          <w:sz w:val="14"/>
          <w:szCs w:val="14"/>
          <w:color w:val="auto"/>
        </w:rPr>
        <w:t>Ownership. The company must be more than 50 percent owned and controlled by U.S. citizens or permanent resident aliens, or owned by an entity that is itself more than 50 percent owned and controlled by U.S. citizens or permanent resident aliens; and</w:t>
      </w:r>
    </w:p>
    <w:p>
      <w:pPr>
        <w:spacing w:after="0" w:line="4" w:lineRule="exact"/>
        <w:rPr>
          <w:rFonts w:ascii="Arial" w:cs="Arial" w:eastAsia="Arial" w:hAnsi="Arial"/>
          <w:sz w:val="14"/>
          <w:szCs w:val="14"/>
          <w:color w:val="auto"/>
        </w:rPr>
      </w:pPr>
    </w:p>
    <w:p>
      <w:pPr>
        <w:ind w:left="700" w:hanging="387"/>
        <w:spacing w:after="0"/>
        <w:tabs>
          <w:tab w:leader="none" w:pos="700" w:val="left"/>
        </w:tabs>
        <w:numPr>
          <w:ilvl w:val="0"/>
          <w:numId w:val="3"/>
        </w:numPr>
        <w:rPr>
          <w:rFonts w:ascii="Arial" w:cs="Arial" w:eastAsia="Arial" w:hAnsi="Arial"/>
          <w:sz w:val="14"/>
          <w:szCs w:val="14"/>
          <w:color w:val="auto"/>
        </w:rPr>
      </w:pPr>
      <w:r>
        <w:rPr>
          <w:rFonts w:ascii="Arial" w:cs="Arial" w:eastAsia="Arial" w:hAnsi="Arial"/>
          <w:sz w:val="14"/>
          <w:szCs w:val="14"/>
          <w:color w:val="auto"/>
        </w:rPr>
        <w:t>Size. The company, including its affiliates, cannot have more than 500 employees.</w:t>
      </w:r>
    </w:p>
    <w:p>
      <w:pPr>
        <w:spacing w:after="0" w:line="104" w:lineRule="exact"/>
        <w:rPr>
          <w:sz w:val="20"/>
          <w:szCs w:val="20"/>
          <w:color w:val="auto"/>
        </w:rPr>
      </w:pPr>
    </w:p>
    <w:p>
      <w:pPr>
        <w:ind w:right="100" w:firstLine="509"/>
        <w:spacing w:after="0" w:line="260" w:lineRule="auto"/>
        <w:rPr>
          <w:sz w:val="20"/>
          <w:szCs w:val="20"/>
          <w:color w:val="auto"/>
        </w:rPr>
      </w:pPr>
      <w:r>
        <w:rPr>
          <w:rFonts w:ascii="Arial" w:cs="Arial" w:eastAsia="Arial" w:hAnsi="Arial"/>
          <w:sz w:val="14"/>
          <w:szCs w:val="14"/>
          <w:color w:val="auto"/>
        </w:rPr>
        <w:t>These requirements are set forth in the SBA’s regulations and are interpreted by the SBA’s Office of Hearings and Appeals. In determining whether we satisfy the more than 50% ownership requirement, agreements to merge, stock options, convertible debt and other similar instruments are given “present effect” by the SBA as though the underlying security were actually issued unless the exercisability or conversion of such securities is speculative, remote or beyond the control of the security holder. We therefore believe our outstanding options and warrants held by eligible individuals may be counted as outstanding equity for purposes of meeting the more than 50% equity ownership requirement. We believe that we are in compliance with the SBA ownership requirements.</w:t>
      </w:r>
    </w:p>
    <w:p>
      <w:pPr>
        <w:spacing w:after="0" w:line="40" w:lineRule="exact"/>
        <w:rPr>
          <w:sz w:val="20"/>
          <w:szCs w:val="20"/>
          <w:color w:val="auto"/>
        </w:rPr>
      </w:pPr>
    </w:p>
    <w:p>
      <w:pPr>
        <w:ind w:firstLine="509"/>
        <w:spacing w:after="0" w:line="282" w:lineRule="auto"/>
        <w:rPr>
          <w:sz w:val="20"/>
          <w:szCs w:val="20"/>
          <w:color w:val="auto"/>
        </w:rPr>
      </w:pPr>
      <w:r>
        <w:rPr>
          <w:rFonts w:ascii="Arial" w:cs="Arial" w:eastAsia="Arial" w:hAnsi="Arial"/>
          <w:sz w:val="13"/>
          <w:szCs w:val="13"/>
          <w:color w:val="auto"/>
        </w:rPr>
        <w:t>In addition, to be eligible for SBIR contracts, the number of our employees, including those of any entities that are considered to be affiliated with us, cannot exceed 500. As of December 31, 2019, we, including all of our divisions, had 267 full- and part-time employees. In determining whether we have 500 or fewer employees, the SBA may count the number of employees of entities that are large stockholders who are “affiliated” or have the power to control us. In determining whether firms are affiliated, the SBA evaluates factors such as stock ownership and common management, but it ultimately may make its determination based on the totality of the circumstances. Eligibility protests can be raised to the SBA by a competitor or by the awarding contracting agency. If we grow larger, and if our ownership becomes more diversified, we may no longer qualify for the SBIR program, and we may be required to seek alternative sources and partnerships to fund some of our research and development costs. Additional information regarding these risks may be found below in “Risk Factors.”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Environmental, Health and Safety Regulation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80"/>
          </w:cols>
          <w:pgMar w:left="300" w:top="125" w:right="31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firstLine="509"/>
        <w:spacing w:after="0" w:line="277" w:lineRule="auto"/>
        <w:rPr>
          <w:sz w:val="20"/>
          <w:szCs w:val="20"/>
          <w:color w:val="auto"/>
        </w:rPr>
      </w:pPr>
      <w:r>
        <w:rPr>
          <w:rFonts w:ascii="Arial" w:cs="Arial" w:eastAsia="Arial" w:hAnsi="Arial"/>
          <w:sz w:val="13"/>
          <w:szCs w:val="13"/>
          <w:color w:val="auto"/>
        </w:rPr>
        <w:t>Our facilities and current and proposed activities involve the use of a broad range of materials that are considered hazardous under applicable laws and regulations. Accordingly, we are subject to a number of domestic and foreign laws and regulations and other requirements relating to employee health and safety, protection of the environment, product labeling and product take back. Regulated activities include the storage, use, transportation and disposal of, and exposure to, hazardous or potentially hazardous materials and wastes. Our current and proposed activities also include potential exposure to physical hazards associated with work environment and equipment. We could incur costs, fines, civil and criminal penalties, personal injury and third-party property damage claims, or we could be required to incur substantial investigation or remediation costs, if we were to violate or become liable under environmental, health and safety laws and regulations or requirements. Liability under environmental, health and safety laws can be joint and several and without regard to fault. There can be no assurance that violations of environmental, health and safety laws will not occur in the future as a result of the inability to obtain permits in a timely manner, human error, equipment failure or other causes. Environmental, health and safety laws could also become more stringent over time, imposing greater compliance costs and increasing risks and penalties associated with violations, which could harm our business. Further, violations of present and future environmental, health and safety laws could restrict our ability to expand facilities and pursue certain technologies, as well as require us to acquire costly equipment or to incur potentially significant costs to comply with environmental, health and safety regulations and other requirements.</w:t>
      </w:r>
    </w:p>
    <w:p>
      <w:pPr>
        <w:spacing w:after="0" w:line="36" w:lineRule="exact"/>
        <w:rPr>
          <w:sz w:val="20"/>
          <w:szCs w:val="20"/>
          <w:color w:val="auto"/>
        </w:rPr>
      </w:pPr>
    </w:p>
    <w:p>
      <w:pPr>
        <w:ind w:right="280" w:firstLine="509"/>
        <w:spacing w:after="0" w:line="319" w:lineRule="auto"/>
        <w:rPr>
          <w:sz w:val="20"/>
          <w:szCs w:val="20"/>
          <w:color w:val="auto"/>
        </w:rPr>
      </w:pPr>
      <w:r>
        <w:rPr>
          <w:rFonts w:ascii="Arial" w:cs="Arial" w:eastAsia="Arial" w:hAnsi="Arial"/>
          <w:sz w:val="12"/>
          <w:szCs w:val="12"/>
          <w:color w:val="auto"/>
        </w:rPr>
        <w:t>We have made, and will continue to make, expenditures to comply with current and future environmental, health and safety laws. We anticipate that we could incur additional capital and operating costs in the future to comply with existing environmental, health and safety laws and new requirements arising from new or amended statutes and regulations. In addition, because the applicable regulatory agencies have not yet promulgated final standards for some existing environmental, health and safety programs, we cannot at this time reasonably estimate the cost for compliance with these additional requirements. The amount of any such compliance costs could be material. We cannot predict the impact that future regulations will impose upon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108" w:lineRule="exact"/>
        <w:rPr>
          <w:sz w:val="20"/>
          <w:szCs w:val="20"/>
          <w:color w:val="auto"/>
        </w:rPr>
      </w:pPr>
    </w:p>
    <w:p>
      <w:pPr>
        <w:ind w:right="20" w:firstLine="509"/>
        <w:spacing w:after="0" w:line="267" w:lineRule="auto"/>
        <w:rPr>
          <w:sz w:val="20"/>
          <w:szCs w:val="20"/>
          <w:color w:val="auto"/>
        </w:rPr>
      </w:pPr>
      <w:r>
        <w:rPr>
          <w:rFonts w:ascii="Arial" w:cs="Arial" w:eastAsia="Arial" w:hAnsi="Arial"/>
          <w:sz w:val="14"/>
          <w:szCs w:val="14"/>
          <w:color w:val="auto"/>
        </w:rPr>
        <w:t>As of December 31, 2019, we had approximately 267 total employees, including approximately 130 in research, development and engineering positions, approximately 72 in operations, approximately 25 in sales and marketing, and approximately 40 in administrative positions. None of our employees are covered by a collective bargaining agreement, and we consider our relationship with our employees to be good.</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Backlog</w:t>
      </w:r>
    </w:p>
    <w:p>
      <w:pPr>
        <w:spacing w:after="0" w:line="108" w:lineRule="exact"/>
        <w:rPr>
          <w:sz w:val="20"/>
          <w:szCs w:val="20"/>
          <w:color w:val="auto"/>
        </w:rPr>
      </w:pPr>
    </w:p>
    <w:p>
      <w:pPr>
        <w:ind w:right="80" w:firstLine="509"/>
        <w:spacing w:after="0" w:line="281" w:lineRule="auto"/>
        <w:rPr>
          <w:sz w:val="20"/>
          <w:szCs w:val="20"/>
          <w:color w:val="auto"/>
        </w:rPr>
      </w:pPr>
      <w:r>
        <w:rPr>
          <w:rFonts w:ascii="Arial" w:cs="Arial" w:eastAsia="Arial" w:hAnsi="Arial"/>
          <w:sz w:val="14"/>
          <w:szCs w:val="14"/>
          <w:color w:val="auto"/>
        </w:rPr>
        <w:t>Our backlog of purchase orders received for which the related goods have not been shipped or recognized as revenue within our Products and Licensing segment was $16.1 million and $5.8 million at December 31, 2019 and 2018, respectively.</w:t>
      </w:r>
    </w:p>
    <w:p>
      <w:pPr>
        <w:spacing w:after="0" w:line="26" w:lineRule="exact"/>
        <w:rPr>
          <w:sz w:val="20"/>
          <w:szCs w:val="20"/>
          <w:color w:val="auto"/>
        </w:rPr>
      </w:pPr>
    </w:p>
    <w:p>
      <w:pPr>
        <w:ind w:right="180" w:firstLine="509"/>
        <w:spacing w:after="0" w:line="281" w:lineRule="auto"/>
        <w:rPr>
          <w:sz w:val="20"/>
          <w:szCs w:val="20"/>
          <w:color w:val="auto"/>
        </w:rPr>
      </w:pPr>
      <w:r>
        <w:rPr>
          <w:rFonts w:ascii="Arial" w:cs="Arial" w:eastAsia="Arial" w:hAnsi="Arial"/>
          <w:sz w:val="14"/>
          <w:szCs w:val="14"/>
          <w:color w:val="auto"/>
        </w:rPr>
        <w:t>We have historically had a backlog of contracts, primarily within our Technology Development segment, for which work has been scheduled, but for which a specified portion of work has not yet been completed. The approximate value of our backlog was $31.3 million and $26.0 million at December 31, 2019 and 2018, respectively.</w:t>
      </w:r>
    </w:p>
    <w:p>
      <w:pPr>
        <w:spacing w:after="0" w:line="26" w:lineRule="exact"/>
        <w:rPr>
          <w:sz w:val="20"/>
          <w:szCs w:val="20"/>
          <w:color w:val="auto"/>
        </w:rPr>
      </w:pPr>
    </w:p>
    <w:p>
      <w:pPr>
        <w:ind w:firstLine="509"/>
        <w:spacing w:after="0" w:line="284" w:lineRule="auto"/>
        <w:rPr>
          <w:sz w:val="20"/>
          <w:szCs w:val="20"/>
          <w:color w:val="auto"/>
        </w:rPr>
      </w:pPr>
      <w:r>
        <w:rPr>
          <w:rFonts w:ascii="Arial" w:cs="Arial" w:eastAsia="Arial" w:hAnsi="Arial"/>
          <w:sz w:val="13"/>
          <w:szCs w:val="13"/>
          <w:color w:val="auto"/>
        </w:rPr>
        <w:t>We define backlog as the dollar amount of obligations payable to us under negotiated contracts upon completion of a specified portion of work that has not yet been completed, exclusive of revenues previously recognized for work already performed under these contracts, if any. Total backlog includes funded backlog, which is the amount for which money has been directly authorized by the U.S. government or for which a purchase order has been received from a commercial customer, and unfunded backlog, which represents firm orders for which funding has not yet been appropriated. Unfunded backlog was $2.2 million and $4.5 million as of December 31, 2019 and 2018, respectively. Indefinite delivery and quantity contracts and unexercised options are not reported in total backlog. Our backlog is subject to delays or program cancellations that may be beyond our control.</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Website Access to Reports</w:t>
      </w:r>
    </w:p>
    <w:p>
      <w:pPr>
        <w:spacing w:after="0" w:line="108" w:lineRule="exact"/>
        <w:rPr>
          <w:sz w:val="20"/>
          <w:szCs w:val="20"/>
          <w:color w:val="auto"/>
        </w:rPr>
      </w:pPr>
    </w:p>
    <w:p>
      <w:pPr>
        <w:ind w:firstLine="509"/>
        <w:spacing w:after="0" w:line="319" w:lineRule="auto"/>
        <w:rPr>
          <w:sz w:val="20"/>
          <w:szCs w:val="20"/>
          <w:color w:val="auto"/>
        </w:rPr>
      </w:pPr>
      <w:r>
        <w:rPr>
          <w:rFonts w:ascii="Arial" w:cs="Arial" w:eastAsia="Arial" w:hAnsi="Arial"/>
          <w:sz w:val="12"/>
          <w:szCs w:val="12"/>
          <w:color w:val="auto"/>
        </w:rPr>
        <w:t>Our website address is www.lunainc.com. We make available, free of charge under “SEC Filings” on the Investor Relations portion of our website, access to our annual report on Form 10-K, our quarterly reports on Form 10-Q and our current reports on Form 8-K, as well as amendments to those reports filed or furnished pursuant to Section 13(a) or 15(d) of the Securities Exchange Act of 1934, as amended, as soon as reasonably practicable after such material is electronically filed with or furnished to the SEC. Information appearing on our website is not incorporated by reference in and is not a part of this annual report. The SEC maintains an internet site that contains reports, proxy and information statements, and other information regarding our filings at www.sec.gov.</w:t>
      </w:r>
    </w:p>
    <w:p>
      <w:pPr>
        <w:spacing w:after="0" w:line="175"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1A.</w:t>
        <w:tab/>
        <w:t>RISK FACTORS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80"/>
          </w:cols>
          <w:pgMar w:left="300" w:top="125" w:right="31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2"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i w:val="1"/>
          <w:iCs w:val="1"/>
          <w:color w:val="auto"/>
        </w:rPr>
        <w:t>You should carefully consider the risks described below before deciding whether to invest in our common stock. The risks described below are not the only ones we face. Additional risks not presently known to us or that we currently believe are immaterial may also impair our business operations and financial results. If any of the following risks actually occurs, our business, financial condition or results of operations could be adversely affected. In such case, the trading price of our common stock could decline and you could lose all or part of your investment. Our filings with the Securities and Exchange Commission also contain forward-looking statements that involve risks or uncertainties. Our actual results could differ materially from those anticipated or contemplated by these forward-looking statements as a result of a number of factors, including the risks we face described below, as well as other variables that could affect our operating results. Past financial performance should not be considered to be a reliable indicator of future performance, and investors should not use historical trends to anticipate results or trends in future periods.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GENERALLY</w:t>
      </w:r>
    </w:p>
    <w:p>
      <w:pPr>
        <w:spacing w:after="0" w:line="267" w:lineRule="exact"/>
        <w:rPr>
          <w:sz w:val="20"/>
          <w:szCs w:val="20"/>
          <w:color w:val="auto"/>
        </w:rPr>
      </w:pPr>
    </w:p>
    <w:p>
      <w:pPr>
        <w:ind w:right="300"/>
        <w:spacing w:after="0" w:line="281" w:lineRule="auto"/>
        <w:rPr>
          <w:sz w:val="20"/>
          <w:szCs w:val="20"/>
          <w:color w:val="auto"/>
        </w:rPr>
      </w:pPr>
      <w:r>
        <w:rPr>
          <w:rFonts w:ascii="Arial" w:cs="Arial" w:eastAsia="Arial" w:hAnsi="Arial"/>
          <w:sz w:val="14"/>
          <w:szCs w:val="14"/>
          <w:b w:val="1"/>
          <w:bCs w:val="1"/>
          <w:i w:val="1"/>
          <w:iCs w:val="1"/>
          <w:color w:val="auto"/>
        </w:rPr>
        <w:t>Our technology is subject to a license from Intuitive Surgical, Inc., which is revocable in certain circumstances. Without this license, we cannot continue to market, manufacture or sell our fiber-optic products.</w:t>
      </w:r>
    </w:p>
    <w:p>
      <w:pPr>
        <w:spacing w:after="0" w:line="47" w:lineRule="exact"/>
        <w:rPr>
          <w:sz w:val="20"/>
          <w:szCs w:val="20"/>
          <w:color w:val="auto"/>
        </w:rPr>
      </w:pPr>
    </w:p>
    <w:p>
      <w:pPr>
        <w:ind w:right="60" w:firstLine="340"/>
        <w:spacing w:after="0" w:line="280" w:lineRule="auto"/>
        <w:rPr>
          <w:sz w:val="20"/>
          <w:szCs w:val="20"/>
          <w:color w:val="auto"/>
        </w:rPr>
      </w:pPr>
      <w:r>
        <w:rPr>
          <w:rFonts w:ascii="Arial" w:cs="Arial" w:eastAsia="Arial" w:hAnsi="Arial"/>
          <w:sz w:val="13"/>
          <w:szCs w:val="13"/>
          <w:color w:val="auto"/>
        </w:rPr>
        <w:t>As a part of the sale of certain assets to Intuitive Surgical, Inc. ("Intuitive") in 2014, we entered into a license agreement with Intuitive pursuant to which we received rights to use all of our transferred technology outside the field of medicine and in respect of our existing non-shape sensing products in certain non-robotic medical fields. This license back to us is revocable if after notice and certain time periods, we were to (i) challenge the validity or enforceability of the transferred patents and patent applications, (ii) commercialize our fiber optical shape sensing and localization technology in the field of medicine (except to perform on a development and supply project for Hansen Medical, Inc.), (iii) violate our obligations related to our ability to sub-license in the field of medicine or (iv) violate our confidentiality obligations in a manner that advantages a competitor in the field of medicine and not cure such violation. Maintaining this license is necessary for us to conduct our fiber-optic products business, both for our telecom products and our ODiSI sensing products. If this license were to be revoked by Intuitive, we would no longer be able to market, manufacture or sell these products which could have a material adverse effect on our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depend on third-party vendors for specialized components in our manufacturing operations, making us vulnerable to supply shortages and price fluctuations that could harm our business.</w:t>
      </w:r>
    </w:p>
    <w:p>
      <w:pPr>
        <w:spacing w:after="0" w:line="117" w:lineRule="exact"/>
        <w:rPr>
          <w:sz w:val="20"/>
          <w:szCs w:val="20"/>
          <w:color w:val="auto"/>
        </w:rPr>
      </w:pPr>
    </w:p>
    <w:p>
      <w:pPr>
        <w:ind w:right="20" w:firstLine="340"/>
        <w:spacing w:after="0" w:line="258" w:lineRule="auto"/>
        <w:rPr>
          <w:sz w:val="20"/>
          <w:szCs w:val="20"/>
          <w:color w:val="auto"/>
        </w:rPr>
      </w:pPr>
      <w:r>
        <w:rPr>
          <w:rFonts w:ascii="Arial" w:cs="Arial" w:eastAsia="Arial" w:hAnsi="Arial"/>
          <w:sz w:val="14"/>
          <w:szCs w:val="14"/>
          <w:color w:val="auto"/>
        </w:rPr>
        <w:t>We primarily rely on third-party vendors for the manufacture of the specialized components used in our products. The highly specialized nature of our supply requirements poses risks that we may not be able to locate additional sources of the specialized components required in our business. For example, there are few manufacturers who produce the special lasers used in our optical test equipment. Our reliance on these vendors subjects us to a number of risks that could negatively affect our ability to manufacture our products and harm our business, including interruption of supply. Although we are now manufacturing tunable lasers in low-rate initial production, we expect our overall reliance on third-party vendors to continue. Any significant delay or interruption in the supply of components, or our inability to obtain substitute components or materials from alternate sources at acceptable prices and in a timely manner could impair our ability to meet the demand of our customers and could harm our business.</w:t>
      </w:r>
    </w:p>
    <w:p>
      <w:pPr>
        <w:spacing w:after="0" w:line="235"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b w:val="1"/>
          <w:bCs w:val="1"/>
          <w:i w:val="1"/>
          <w:iCs w:val="1"/>
          <w:color w:val="auto"/>
        </w:rPr>
        <w:t>We depend upon outside contract manufacturers for a portion of the manufacturing process for some of our products. Our operations and revenue related to these products could be adversely affected if we encounter problems with these contract manufacturers.</w:t>
      </w:r>
    </w:p>
    <w:p>
      <w:pPr>
        <w:spacing w:after="0" w:line="47" w:lineRule="exact"/>
        <w:rPr>
          <w:sz w:val="20"/>
          <w:szCs w:val="20"/>
          <w:color w:val="auto"/>
        </w:rPr>
      </w:pPr>
    </w:p>
    <w:p>
      <w:pPr>
        <w:ind w:right="60" w:firstLine="340"/>
        <w:spacing w:after="0" w:line="257" w:lineRule="auto"/>
        <w:rPr>
          <w:sz w:val="20"/>
          <w:szCs w:val="20"/>
          <w:color w:val="auto"/>
        </w:rPr>
      </w:pPr>
      <w:r>
        <w:rPr>
          <w:rFonts w:ascii="Arial" w:cs="Arial" w:eastAsia="Arial" w:hAnsi="Arial"/>
          <w:sz w:val="14"/>
          <w:szCs w:val="14"/>
          <w:color w:val="auto"/>
        </w:rPr>
        <w:t>Many of our products are manufactured internally. However, we also rely upon contract manufacturers to produce the finished portion of certain lasers. Our reliance on contract manufacturers for these products makes us vulnerable to possible capacity constraints and reduced control over delivery schedules, manufacturing yields, manufacturing quality control and costs. If the contract manufacturer for our products were unable or unwilling to manufacture our products in required volumes and at high quality levels or to continue our existing supply arrangement, we would have to identify, qualify and select an acceptable alternative contract manufacturer or move these manufacturing operations to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the supply of products to our customers, which in turn would reduce our revenue, harm our relationships with the customers of these products and cause us to forego potential revenue opportunities.</w:t>
      </w:r>
    </w:p>
    <w:p>
      <w:pPr>
        <w:spacing w:after="0" w:line="236" w:lineRule="exact"/>
        <w:rPr>
          <w:sz w:val="20"/>
          <w:szCs w:val="20"/>
          <w:color w:val="auto"/>
        </w:rPr>
      </w:pPr>
    </w:p>
    <w:p>
      <w:pPr>
        <w:ind w:right="360"/>
        <w:spacing w:after="0" w:line="281" w:lineRule="auto"/>
        <w:rPr>
          <w:sz w:val="20"/>
          <w:szCs w:val="20"/>
          <w:color w:val="auto"/>
        </w:rPr>
      </w:pPr>
      <w:r>
        <w:rPr>
          <w:rFonts w:ascii="Arial" w:cs="Arial" w:eastAsia="Arial" w:hAnsi="Arial"/>
          <w:sz w:val="14"/>
          <w:szCs w:val="14"/>
          <w:b w:val="1"/>
          <w:bCs w:val="1"/>
          <w:i w:val="1"/>
          <w:iCs w:val="1"/>
          <w:color w:val="auto"/>
        </w:rPr>
        <w:t>As a provider of contract research to the U.S. government, we are subject to federal rules, regulations, audits and investigations, the violation or failure of which could adversely affect our business.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00" w:top="125" w:right="3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7" w:lineRule="exact"/>
        <w:rPr>
          <w:sz w:val="20"/>
          <w:szCs w:val="20"/>
          <w:color w:val="auto"/>
        </w:rPr>
      </w:pPr>
    </w:p>
    <w:p>
      <w:pPr>
        <w:ind w:right="140" w:firstLine="340"/>
        <w:spacing w:after="0" w:line="260" w:lineRule="auto"/>
        <w:rPr>
          <w:sz w:val="20"/>
          <w:szCs w:val="20"/>
          <w:color w:val="auto"/>
        </w:rPr>
      </w:pPr>
      <w:r>
        <w:rPr>
          <w:rFonts w:ascii="Arial" w:cs="Arial" w:eastAsia="Arial" w:hAnsi="Arial"/>
          <w:sz w:val="14"/>
          <w:szCs w:val="14"/>
          <w:color w:val="auto"/>
        </w:rPr>
        <w:t>We must comply with and are affected by laws and regulations relating to the award, administration and performance of U.S. government contracts. Government contract laws and regulations affect how we do business with our government customers and, in some instances, impose added costs on our business. A violation of a specific law or regulation could result in the imposition of fines and penalties, termination of our contracts or debarment from bidding on contracts. In some instances, these laws and regulations impose terms or rights that are more favorable to the government than those typically available to commercial parties in negotiated transactions. For example, the U.S. government may terminate any of our government contracts and, in general, subcontracts, at their convenience, as well as for default based on performance.</w:t>
      </w:r>
    </w:p>
    <w:p>
      <w:pPr>
        <w:spacing w:after="0" w:line="62" w:lineRule="exact"/>
        <w:rPr>
          <w:sz w:val="20"/>
          <w:szCs w:val="20"/>
          <w:color w:val="auto"/>
        </w:rPr>
      </w:pPr>
    </w:p>
    <w:p>
      <w:pPr>
        <w:ind w:right="100" w:firstLine="340"/>
        <w:spacing w:after="0" w:line="257" w:lineRule="auto"/>
        <w:rPr>
          <w:sz w:val="20"/>
          <w:szCs w:val="20"/>
          <w:color w:val="auto"/>
        </w:rPr>
      </w:pPr>
      <w:r>
        <w:rPr>
          <w:rFonts w:ascii="Arial" w:cs="Arial" w:eastAsia="Arial" w:hAnsi="Arial"/>
          <w:sz w:val="14"/>
          <w:szCs w:val="14"/>
          <w:color w:val="auto"/>
        </w:rPr>
        <w:t>In addition, U.S. government agencies, including the Defense Contract Audit Agency and the Department of Labor, routinely audit and investigate government contractors. These agencies review a contractor’s performance under its contracts, cost structure and compliance with applicable laws, regulations and standards. The U.S. government also may review the adequacy of, and a contractor’s compliance with, its internal control systems and policies, including the contractor’s purchasing, property, estimating, compensation and management information systems. Any costs found to be improperly allocated to a specific contract will not be reimbursed, while such costs already reimbursed must be refunded. If an audit uncovers the inclusion of certain claimed costs deemed to be expressly unallowable, or improper or illegal activities, we may be subject to civil and criminal penalties and administrative sanctions, including termination of contracts, forfeiture of profits, suspension of payments, fines and suspension or prohibition from doing business with the U.S. government. In addition, our reputation could suffer serious harm if allegations of impropriety were made against us.</w:t>
      </w:r>
    </w:p>
    <w:p>
      <w:pPr>
        <w:spacing w:after="0" w:line="66" w:lineRule="exact"/>
        <w:rPr>
          <w:sz w:val="20"/>
          <w:szCs w:val="20"/>
          <w:color w:val="auto"/>
        </w:rPr>
      </w:pPr>
    </w:p>
    <w:p>
      <w:pPr>
        <w:ind w:right="120" w:firstLine="340"/>
        <w:spacing w:after="0" w:line="321" w:lineRule="auto"/>
        <w:rPr>
          <w:sz w:val="20"/>
          <w:szCs w:val="20"/>
          <w:color w:val="auto"/>
        </w:rPr>
      </w:pPr>
      <w:r>
        <w:rPr>
          <w:rFonts w:ascii="Arial" w:cs="Arial" w:eastAsia="Arial" w:hAnsi="Arial"/>
          <w:sz w:val="13"/>
          <w:szCs w:val="13"/>
          <w:color w:val="auto"/>
        </w:rPr>
        <w:t>In addition to the risk of government audits and investigations, U.S. government contracts and grants impose requirements on contractors and grantees relating to ethics and business practices, which carry civil and criminal penalties including monetary fines, assessments, loss of the ability to do business with the U.S. government and certain other criminal penalties.</w:t>
      </w:r>
    </w:p>
    <w:p>
      <w:pPr>
        <w:spacing w:after="0" w:line="24" w:lineRule="exact"/>
        <w:rPr>
          <w:sz w:val="20"/>
          <w:szCs w:val="20"/>
          <w:color w:val="auto"/>
        </w:rPr>
      </w:pPr>
    </w:p>
    <w:p>
      <w:pPr>
        <w:ind w:right="120" w:firstLine="340"/>
        <w:spacing w:after="0" w:line="331" w:lineRule="auto"/>
        <w:rPr>
          <w:sz w:val="20"/>
          <w:szCs w:val="20"/>
          <w:color w:val="auto"/>
        </w:rPr>
      </w:pPr>
      <w:r>
        <w:rPr>
          <w:rFonts w:ascii="Arial" w:cs="Arial" w:eastAsia="Arial" w:hAnsi="Arial"/>
          <w:sz w:val="12"/>
          <w:szCs w:val="12"/>
          <w:color w:val="auto"/>
        </w:rPr>
        <w:t>We may also be prohibited from commercially selling certain products that we develop under our Technology Development segment or related products based on the same core technologies if the U.S. government determines that the commercial availability of those products could pose a risk to national security. For example, certain of our wireless technologies have been classified as secret by the U.S. government and as a result we cannot sell them commercially. Any of these determinations would limit our ability to generate product sales and license revenues.</w:t>
      </w:r>
    </w:p>
    <w:p>
      <w:pPr>
        <w:spacing w:after="0" w:line="193"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b w:val="1"/>
          <w:bCs w:val="1"/>
          <w:i w:val="1"/>
          <w:iCs w:val="1"/>
          <w:color w:val="auto"/>
        </w:rPr>
        <w:t>We rely and will continue to rely on contracts and grants awarded under the SBIR program for a significant portion of our revenues. A finding by the SBA that we no longer qualify to receive SBIR awards could adversely affect our business.</w:t>
      </w:r>
    </w:p>
    <w:p>
      <w:pPr>
        <w:spacing w:after="0" w:line="47" w:lineRule="exact"/>
        <w:rPr>
          <w:sz w:val="20"/>
          <w:szCs w:val="20"/>
          <w:color w:val="auto"/>
        </w:rPr>
      </w:pPr>
    </w:p>
    <w:p>
      <w:pPr>
        <w:jc w:val="both"/>
        <w:ind w:right="220" w:firstLine="340"/>
        <w:spacing w:after="0" w:line="267" w:lineRule="auto"/>
        <w:rPr>
          <w:sz w:val="20"/>
          <w:szCs w:val="20"/>
          <w:color w:val="auto"/>
        </w:rPr>
      </w:pPr>
      <w:r>
        <w:rPr>
          <w:rFonts w:ascii="Arial" w:cs="Arial" w:eastAsia="Arial" w:hAnsi="Arial"/>
          <w:sz w:val="14"/>
          <w:szCs w:val="14"/>
          <w:color w:val="auto"/>
        </w:rPr>
        <w:t>We compete as a small business for some of our government contracts. Our revenues derived from the SBIR program account for a significant portion of our consolidated total revenues, and contract research, including SBIR contracts, will remain a significant portion of our consolidated total revenues for the foreseeable future. For the year ended December 31, 2019, 35% of our total revenues were generated under the SBIR program, compared to 44% in for the year ended December 31, 2018.</w:t>
      </w:r>
    </w:p>
    <w:p>
      <w:pPr>
        <w:spacing w:after="0" w:line="57" w:lineRule="exact"/>
        <w:rPr>
          <w:sz w:val="20"/>
          <w:szCs w:val="20"/>
          <w:color w:val="auto"/>
        </w:rPr>
      </w:pPr>
    </w:p>
    <w:p>
      <w:pPr>
        <w:ind w:firstLine="340"/>
        <w:spacing w:after="0" w:line="267" w:lineRule="auto"/>
        <w:rPr>
          <w:sz w:val="20"/>
          <w:szCs w:val="20"/>
          <w:color w:val="auto"/>
        </w:rPr>
      </w:pPr>
      <w:r>
        <w:rPr>
          <w:rFonts w:ascii="Arial" w:cs="Arial" w:eastAsia="Arial" w:hAnsi="Arial"/>
          <w:sz w:val="14"/>
          <w:szCs w:val="14"/>
          <w:color w:val="auto"/>
        </w:rPr>
        <w:t>We may not continue to qualify to participate in the SBIR program or to receive new SBIR awards from federal agencies. In order to qualify for SBIR contracts and grants, we must meet certain size and ownership eligibility criteria. These eligibility criteria are applied as of the time of the award of a contract or grant. A company can be declared ineligible for a contract award as a result of a size challenge filed with the SBA by a competitor or a federal agency.</w:t>
      </w:r>
    </w:p>
    <w:p>
      <w:pPr>
        <w:spacing w:after="0" w:line="57" w:lineRule="exact"/>
        <w:rPr>
          <w:sz w:val="20"/>
          <w:szCs w:val="20"/>
          <w:color w:val="auto"/>
        </w:rPr>
      </w:pPr>
    </w:p>
    <w:p>
      <w:pPr>
        <w:ind w:firstLine="340"/>
        <w:spacing w:after="0" w:line="262" w:lineRule="auto"/>
        <w:rPr>
          <w:sz w:val="20"/>
          <w:szCs w:val="20"/>
          <w:color w:val="auto"/>
        </w:rPr>
      </w:pPr>
      <w:r>
        <w:rPr>
          <w:rFonts w:ascii="Arial" w:cs="Arial" w:eastAsia="Arial" w:hAnsi="Arial"/>
          <w:sz w:val="14"/>
          <w:szCs w:val="14"/>
          <w:color w:val="auto"/>
        </w:rPr>
        <w:t>In order to be eligible for SBIR contracts and grants, under current SBA rules we must be more than 50% owned and controlled by individuals who are U.S. citizens or permanent resident aliens, and/or other small business concerns (each of which is more than 50% owned and controlled by individuals who are U.S. citizens or permanent resident aliens) or certain qualified investment companies. In the event our institutional ownership significantly increases, either because of increased buying by institutions or selling by individuals, we could lose eligibility for new SBIR contracts and grants.</w:t>
      </w:r>
    </w:p>
    <w:p>
      <w:pPr>
        <w:spacing w:after="0" w:line="61" w:lineRule="exact"/>
        <w:rPr>
          <w:sz w:val="20"/>
          <w:szCs w:val="20"/>
          <w:color w:val="auto"/>
        </w:rPr>
      </w:pPr>
    </w:p>
    <w:p>
      <w:pPr>
        <w:ind w:right="120" w:firstLine="340"/>
        <w:spacing w:after="0" w:line="257" w:lineRule="auto"/>
        <w:rPr>
          <w:sz w:val="20"/>
          <w:szCs w:val="20"/>
          <w:color w:val="auto"/>
        </w:rPr>
      </w:pPr>
      <w:r>
        <w:rPr>
          <w:rFonts w:ascii="Arial" w:cs="Arial" w:eastAsia="Arial" w:hAnsi="Arial"/>
          <w:sz w:val="14"/>
          <w:szCs w:val="14"/>
          <w:color w:val="auto"/>
        </w:rPr>
        <w:t>Also, in order to be eligible for SBIR contracts and grants, the number of our employees, including those of any entities that are considered to be affiliated with us, cannot exceed 500. As of December 31, 2019, we had approximately 267 full and part-time employees. In determining whether we are affiliated with any other entity, the SBA may analyze whether another entity controls or has the power to control us. Carilion Clinic is our largest institutional stockholder. Since early 2011, a formal size determination by the SBA that focused on whether or not Carilion is or was our affiliate has been outstanding. Although we do not believe that Carilion has or had the power to control our company, we cannot assure you that the SBA will interpret its regulations in our favor on this question. If the SBA were to make a determination that we are or were affiliated with Carilion, we would exceed the size limitations, as Carilion has over 500 employees. In that case, we would lose eligibility for new SBIR contracts and grants and other awards that are set aside for small businesses based on the criterion of number of employees, and the relevant government agency would have the discretion to suspend performance on existing SBIR grants. The loss of our eligibility to receive SBIR awards would have a material adverse impact on our revenues, cash flows and our ability to fund our growth.</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80"/>
          </w:cols>
          <w:pgMar w:left="300" w:top="125" w:right="31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7" w:lineRule="exact"/>
        <w:rPr>
          <w:sz w:val="20"/>
          <w:szCs w:val="20"/>
          <w:color w:val="auto"/>
        </w:rPr>
      </w:pPr>
    </w:p>
    <w:p>
      <w:pPr>
        <w:ind w:left="340"/>
        <w:spacing w:after="0"/>
        <w:rPr>
          <w:sz w:val="20"/>
          <w:szCs w:val="20"/>
          <w:color w:val="auto"/>
        </w:rPr>
      </w:pPr>
      <w:r>
        <w:rPr>
          <w:rFonts w:ascii="Arial" w:cs="Arial" w:eastAsia="Arial" w:hAnsi="Arial"/>
          <w:sz w:val="12"/>
          <w:szCs w:val="12"/>
          <w:color w:val="auto"/>
        </w:rPr>
        <w:t>Moreover, as our business grows, it is foreseeable that we will eventually exceed the SBIR size limitations, in which case we may be required to seek alternative sources of revenues or capital.</w:t>
      </w:r>
    </w:p>
    <w:p>
      <w:pPr>
        <w:spacing w:after="0" w:line="286"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b w:val="1"/>
          <w:bCs w:val="1"/>
          <w:i w:val="1"/>
          <w:iCs w:val="1"/>
          <w:color w:val="auto"/>
        </w:rPr>
        <w:t>A decline in government research contract awards or government funding for existing or future government research contracts, including SBIR contracts, could adversely affect our revenues, cash flows and ability to fund our growth.</w:t>
      </w:r>
    </w:p>
    <w:p>
      <w:pPr>
        <w:spacing w:after="0" w:line="47" w:lineRule="exact"/>
        <w:rPr>
          <w:sz w:val="20"/>
          <w:szCs w:val="20"/>
          <w:color w:val="auto"/>
        </w:rPr>
      </w:pPr>
    </w:p>
    <w:p>
      <w:pPr>
        <w:ind w:firstLine="340"/>
        <w:spacing w:after="0" w:line="257" w:lineRule="auto"/>
        <w:rPr>
          <w:sz w:val="20"/>
          <w:szCs w:val="20"/>
          <w:color w:val="auto"/>
        </w:rPr>
      </w:pPr>
      <w:r>
        <w:rPr>
          <w:rFonts w:ascii="Arial" w:cs="Arial" w:eastAsia="Arial" w:hAnsi="Arial"/>
          <w:sz w:val="14"/>
          <w:szCs w:val="14"/>
          <w:color w:val="auto"/>
        </w:rPr>
        <w:t>Technology Development segment revenues, which consist primarily of government-funded research, accounted for 37% and 49% of our total revenues for the years ended December 31, 2019 and 2018, respectively. As a result, we are vulnerable to adverse changes in our revenues and cash flows if a significant number of our research contracts and subcontracts were to be simultaneously delayed or canceled for budgetary, performance or other reasons. For example, the U.S. government may cancel these contracts at any time without cause or may change its requirements, programs or contract budget, any of which could reduce our revenues and cash flows from U.S. government research contracts. Our revenues and cash flows from U.S. government research contracts and subcontracts could also be reduced by declines or other changes in U.S. defense, homeland security and other federal agency budgets. In addition, we compete as a small business for some of these contracts, and in order to maintain our eligibility to compete as a small business, we, together with any affiliates, must continue to meet size and revenue limitations established by the U.S. government.</w:t>
      </w:r>
    </w:p>
    <w:p>
      <w:pPr>
        <w:spacing w:after="0" w:line="66" w:lineRule="exact"/>
        <w:rPr>
          <w:sz w:val="20"/>
          <w:szCs w:val="20"/>
          <w:color w:val="auto"/>
        </w:rPr>
      </w:pPr>
    </w:p>
    <w:p>
      <w:pPr>
        <w:ind w:right="180" w:firstLine="340"/>
        <w:spacing w:after="0" w:line="321" w:lineRule="auto"/>
        <w:rPr>
          <w:sz w:val="20"/>
          <w:szCs w:val="20"/>
          <w:color w:val="auto"/>
        </w:rPr>
      </w:pPr>
      <w:r>
        <w:rPr>
          <w:rFonts w:ascii="Arial" w:cs="Arial" w:eastAsia="Arial" w:hAnsi="Arial"/>
          <w:sz w:val="13"/>
          <w:szCs w:val="13"/>
          <w:color w:val="auto"/>
        </w:rPr>
        <w:t>Our contract research customer base includes government agencies, corporations and academic institutions. Our customers are not obligated to extend their agreements with us and may elect not to do so. Also, our customers’ priorities regarding funding for certain projects may change and funding resources may no longer be available at previous levels.</w:t>
      </w:r>
    </w:p>
    <w:p>
      <w:pPr>
        <w:spacing w:after="0" w:line="24" w:lineRule="exact"/>
        <w:rPr>
          <w:sz w:val="20"/>
          <w:szCs w:val="20"/>
          <w:color w:val="auto"/>
        </w:rPr>
      </w:pPr>
    </w:p>
    <w:p>
      <w:pPr>
        <w:ind w:right="80" w:firstLine="340"/>
        <w:spacing w:after="0" w:line="257" w:lineRule="auto"/>
        <w:rPr>
          <w:sz w:val="20"/>
          <w:szCs w:val="20"/>
          <w:color w:val="auto"/>
        </w:rPr>
      </w:pPr>
      <w:r>
        <w:rPr>
          <w:rFonts w:ascii="Arial" w:cs="Arial" w:eastAsia="Arial" w:hAnsi="Arial"/>
          <w:sz w:val="14"/>
          <w:szCs w:val="14"/>
          <w:color w:val="auto"/>
        </w:rPr>
        <w:t>In addition to contract cancellations and changes in agency budgets, our future financial results may be adversely affected by curtailment of or restrictions on the U.S. government’s use of contract research providers, including curtailment due to government budget reductions and related fiscal matters or any legislation or resolution limiting the number or amount of awards we may receive. These or other factors could cause U.S. defense and other federal agencies to conduct research internally rather than through commercial research organizations or direct awards to other organizations, to reduce their overall contract research requirements or to exercise their rights to terminate contracts. Alternatively, the U.S. government may discontinue the SBIR program or its funding altogether. Also, SBIR regulations permit increased competition for SBIR awards from companies that may not have previously been eligible, such as those backed by venture capital operating companies, hedge funds and private equity firms. Any of these developments could limit our ability to obtain new contract awards and adversely affect our revenues, cash flows and ability to fund our growth.</w:t>
      </w:r>
    </w:p>
    <w:p>
      <w:pPr>
        <w:spacing w:after="0" w:line="236" w:lineRule="exact"/>
        <w:rPr>
          <w:sz w:val="20"/>
          <w:szCs w:val="20"/>
          <w:color w:val="auto"/>
        </w:rPr>
      </w:pPr>
    </w:p>
    <w:p>
      <w:pPr>
        <w:ind w:right="380"/>
        <w:spacing w:after="0" w:line="281" w:lineRule="auto"/>
        <w:rPr>
          <w:sz w:val="20"/>
          <w:szCs w:val="20"/>
          <w:color w:val="auto"/>
        </w:rPr>
      </w:pPr>
      <w:r>
        <w:rPr>
          <w:rFonts w:ascii="Arial" w:cs="Arial" w:eastAsia="Arial" w:hAnsi="Arial"/>
          <w:sz w:val="14"/>
          <w:szCs w:val="14"/>
          <w:b w:val="1"/>
          <w:bCs w:val="1"/>
          <w:i w:val="1"/>
          <w:iCs w:val="1"/>
          <w:color w:val="auto"/>
        </w:rPr>
        <w:t>Our failure to attract, train and retain skilled employees or members of our senior management and to obtain necessary security clearances for such persons or maintain a facility security clearance would adversely affect our business and operating results.</w:t>
      </w:r>
    </w:p>
    <w:p>
      <w:pPr>
        <w:spacing w:after="0" w:line="47" w:lineRule="exact"/>
        <w:rPr>
          <w:sz w:val="20"/>
          <w:szCs w:val="20"/>
          <w:color w:val="auto"/>
        </w:rPr>
      </w:pPr>
    </w:p>
    <w:p>
      <w:pPr>
        <w:ind w:right="100" w:firstLine="340"/>
        <w:spacing w:after="0" w:line="257" w:lineRule="auto"/>
        <w:rPr>
          <w:sz w:val="20"/>
          <w:szCs w:val="20"/>
          <w:color w:val="auto"/>
        </w:rPr>
      </w:pPr>
      <w:r>
        <w:rPr>
          <w:rFonts w:ascii="Arial" w:cs="Arial" w:eastAsia="Arial" w:hAnsi="Arial"/>
          <w:sz w:val="14"/>
          <w:szCs w:val="14"/>
          <w:color w:val="auto"/>
        </w:rPr>
        <w:t>The availability of highly trained and skilled technical and professional personnel is critical to our future growth and profitability. Competition for scientists, engineers, technicians and professional personnel is intense and our competitors aggressively recruit key employees. In the past, we have experienced difficulties in recruiting and hiring these personnel as a result of the tight labor market in certain fields. Any difficulty in hiring or retaining qualified employees, combined with our growth strategy and future needs for additional experienced personnel, particularly in highly specialized areas such as nanomaterial manufacturing and fiber optic sensing technologies, may make it more difficult to meet all of our needs for these employees in a timely manner. Although we intend to continue to devote significant resources to recruit, train and retain qualified employees, we may not be able to attract and retain these employees, especially in technical fields in which the supply of experienced qualified candidates is limited, or at the senior management level. Any failure to do so would have an adverse effect on our business. Any loss of key personnel could have a material adverse effect on our ability to meet key operational objectives, such as timely and effective project milestones and product introductions, which in turn could adversely affect our business, results of operations and financial condition.</w:t>
      </w:r>
    </w:p>
    <w:p>
      <w:pPr>
        <w:spacing w:after="0" w:line="64" w:lineRule="exact"/>
        <w:rPr>
          <w:sz w:val="20"/>
          <w:szCs w:val="20"/>
          <w:color w:val="auto"/>
        </w:rPr>
      </w:pPr>
    </w:p>
    <w:p>
      <w:pPr>
        <w:ind w:right="60" w:firstLine="340"/>
        <w:spacing w:after="0" w:line="331" w:lineRule="auto"/>
        <w:rPr>
          <w:sz w:val="20"/>
          <w:szCs w:val="20"/>
          <w:color w:val="auto"/>
        </w:rPr>
      </w:pPr>
      <w:r>
        <w:rPr>
          <w:rFonts w:ascii="Arial" w:cs="Arial" w:eastAsia="Arial" w:hAnsi="Arial"/>
          <w:sz w:val="12"/>
          <w:szCs w:val="12"/>
          <w:color w:val="auto"/>
        </w:rPr>
        <w:t>We provide certain services to the U.S. government that require us to maintain a facility security clearance and for certain of our employees and our board chairman to hold security clearances. In general, the failure for necessary persons to obtain or retain sufficient security clearances, any loss by us of a facility security clearance or any public reprimand related to security matters could result in a U.S. government customer terminating an existing contract or choosing not to renew a contract or prevent us from bidding on or winning certain new government contracts.</w:t>
      </w:r>
    </w:p>
    <w:p>
      <w:pPr>
        <w:spacing w:after="0" w:line="23" w:lineRule="exact"/>
        <w:rPr>
          <w:sz w:val="20"/>
          <w:szCs w:val="20"/>
          <w:color w:val="auto"/>
        </w:rPr>
      </w:pPr>
    </w:p>
    <w:p>
      <w:pPr>
        <w:ind w:right="40" w:firstLine="340"/>
        <w:spacing w:after="0" w:line="281" w:lineRule="auto"/>
        <w:rPr>
          <w:sz w:val="20"/>
          <w:szCs w:val="20"/>
          <w:color w:val="auto"/>
        </w:rPr>
      </w:pPr>
      <w:r>
        <w:rPr>
          <w:rFonts w:ascii="Arial" w:cs="Arial" w:eastAsia="Arial" w:hAnsi="Arial"/>
          <w:sz w:val="14"/>
          <w:szCs w:val="14"/>
          <w:color w:val="auto"/>
        </w:rPr>
        <w:t>In addition, our future success depends in a large part upon the continued service of key members of our senior management team. We do not maintain any key-person life insurance policies on our officers. The loss of any members of our management team or other key personnel could seriously harm our business.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60"/>
          </w:cols>
          <w:pgMar w:left="300" w:top="125"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subject to the cyclical nature of the markets in which we compete, and any future downturn may reduce demand for our products and revenue.</w:t>
      </w:r>
    </w:p>
    <w:p>
      <w:pPr>
        <w:spacing w:after="0" w:line="94" w:lineRule="exact"/>
        <w:rPr>
          <w:sz w:val="20"/>
          <w:szCs w:val="20"/>
          <w:color w:val="auto"/>
        </w:rPr>
      </w:pPr>
    </w:p>
    <w:p>
      <w:pPr>
        <w:ind w:right="280" w:firstLine="340"/>
        <w:spacing w:after="0" w:line="267" w:lineRule="auto"/>
        <w:rPr>
          <w:sz w:val="20"/>
          <w:szCs w:val="20"/>
          <w:color w:val="auto"/>
        </w:rPr>
      </w:pPr>
      <w:r>
        <w:rPr>
          <w:rFonts w:ascii="Arial" w:cs="Arial" w:eastAsia="Arial" w:hAnsi="Arial"/>
          <w:sz w:val="14"/>
          <w:szCs w:val="14"/>
          <w:color w:val="auto"/>
        </w:rPr>
        <w:t>Many factors beyond our control affect our business, including consumer confidence in the economy, interest rates, fuel prices and the general availability of credit. The overall economic climate and changes in Gross National Product growth have a direct impact on some of our customers and the demand for our products. We cannot be sure that our business will not be adversely affected as a result of an industry or general economic downturn.</w:t>
      </w:r>
    </w:p>
    <w:p>
      <w:pPr>
        <w:spacing w:after="0" w:line="57" w:lineRule="exact"/>
        <w:rPr>
          <w:sz w:val="20"/>
          <w:szCs w:val="20"/>
          <w:color w:val="auto"/>
        </w:rPr>
      </w:pPr>
    </w:p>
    <w:p>
      <w:pPr>
        <w:ind w:firstLine="340"/>
        <w:spacing w:after="0" w:line="281" w:lineRule="auto"/>
        <w:rPr>
          <w:sz w:val="20"/>
          <w:szCs w:val="20"/>
          <w:color w:val="auto"/>
        </w:rPr>
      </w:pPr>
      <w:r>
        <w:rPr>
          <w:rFonts w:ascii="Arial" w:cs="Arial" w:eastAsia="Arial" w:hAnsi="Arial"/>
          <w:sz w:val="14"/>
          <w:szCs w:val="14"/>
          <w:color w:val="auto"/>
        </w:rPr>
        <w:t>Our customers may reduce capital expenditures and have difficulty satisfying liquidity needs because of continued turbulence in the U.S. and global economies, resulting in reduced sales of our products and harm to our financial condition and results of operations.</w:t>
      </w:r>
    </w:p>
    <w:p>
      <w:pPr>
        <w:spacing w:after="0" w:line="47" w:lineRule="exact"/>
        <w:rPr>
          <w:sz w:val="20"/>
          <w:szCs w:val="20"/>
          <w:color w:val="auto"/>
        </w:rPr>
      </w:pPr>
    </w:p>
    <w:p>
      <w:pPr>
        <w:ind w:firstLine="340"/>
        <w:spacing w:after="0" w:line="262" w:lineRule="auto"/>
        <w:rPr>
          <w:sz w:val="20"/>
          <w:szCs w:val="20"/>
          <w:color w:val="auto"/>
        </w:rPr>
      </w:pPr>
      <w:r>
        <w:rPr>
          <w:rFonts w:ascii="Arial" w:cs="Arial" w:eastAsia="Arial" w:hAnsi="Arial"/>
          <w:sz w:val="14"/>
          <w:szCs w:val="14"/>
          <w:color w:val="auto"/>
        </w:rPr>
        <w:t>In particular, our historical results of operations have been subject to substantial fluctuations, and we may experience substantial period-to-period fluctuations in future results of operations. Any future downturn in the markets in which we compete could significantly reduce the demand for our products and therefore may result in a significant reduction in revenue or increase the volatility of the price of our common stock. Our revenue and results of operations may be adversely affected in the future due to changes in demand from customers or cyclical changes in the markets utilizing our products.</w:t>
      </w:r>
    </w:p>
    <w:p>
      <w:pPr>
        <w:spacing w:after="0" w:line="61" w:lineRule="exact"/>
        <w:rPr>
          <w:sz w:val="20"/>
          <w:szCs w:val="20"/>
          <w:color w:val="auto"/>
        </w:rPr>
      </w:pPr>
    </w:p>
    <w:p>
      <w:pPr>
        <w:jc w:val="both"/>
        <w:ind w:right="100" w:firstLine="340"/>
        <w:spacing w:after="0" w:line="288" w:lineRule="auto"/>
        <w:rPr>
          <w:sz w:val="20"/>
          <w:szCs w:val="20"/>
          <w:color w:val="auto"/>
        </w:rPr>
      </w:pPr>
      <w:r>
        <w:rPr>
          <w:rFonts w:ascii="Arial" w:cs="Arial" w:eastAsia="Arial" w:hAnsi="Arial"/>
          <w:sz w:val="13"/>
          <w:szCs w:val="13"/>
          <w:color w:val="auto"/>
        </w:rPr>
        <w:t>In addition, the telecommunications industry has, from time to time, experienced, and may again experience, a pronounced downturn. To respond to a downturn, many service providers may slow their capital expenditures, cancel or delay new developments, reduce their workforces and inventories and take a cautious approach to acquiring new equipment and technologies from original equipment manufacturers, which would have a negative impact on our business. Weakness in the global economy or a future downturn in the telecommunications industry may cause our results of operations to fluctuate from quarter-to-quarter and year-to-year, harm our business, and may increase the volatility of the price of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Customer acceptance of our products is dependent on our ability to meet changing requirements, and any decrease in acceptance could adversely affect our revenue.</w:t>
      </w:r>
    </w:p>
    <w:p>
      <w:pPr>
        <w:spacing w:after="0" w:line="94" w:lineRule="exact"/>
        <w:rPr>
          <w:sz w:val="20"/>
          <w:szCs w:val="20"/>
          <w:color w:val="auto"/>
        </w:rPr>
      </w:pPr>
    </w:p>
    <w:p>
      <w:pPr>
        <w:ind w:right="180" w:firstLine="340"/>
        <w:spacing w:after="0" w:line="321" w:lineRule="auto"/>
        <w:rPr>
          <w:sz w:val="20"/>
          <w:szCs w:val="20"/>
          <w:color w:val="auto"/>
        </w:rPr>
      </w:pPr>
      <w:r>
        <w:rPr>
          <w:rFonts w:ascii="Arial" w:cs="Arial" w:eastAsia="Arial" w:hAnsi="Arial"/>
          <w:sz w:val="13"/>
          <w:szCs w:val="13"/>
          <w:color w:val="auto"/>
        </w:rPr>
        <w:t>Customer acceptance of our products is significantly dependent on our ability to offer products that meet the changing requirements of our customers, including telecommunication, military, medical and industrial corporations, as well as government agencies. Any decrease in the level of customer acceptance of our products could harm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products must meet exacting specifications, and defects and failures may occur, which may cause customers to return or stop buying our products.</w:t>
      </w:r>
    </w:p>
    <w:p>
      <w:pPr>
        <w:spacing w:after="0" w:line="94" w:lineRule="exact"/>
        <w:rPr>
          <w:sz w:val="20"/>
          <w:szCs w:val="20"/>
          <w:color w:val="auto"/>
        </w:rPr>
      </w:pPr>
    </w:p>
    <w:p>
      <w:pPr>
        <w:ind w:firstLine="340"/>
        <w:spacing w:after="0" w:line="282" w:lineRule="auto"/>
        <w:rPr>
          <w:sz w:val="20"/>
          <w:szCs w:val="20"/>
          <w:color w:val="auto"/>
        </w:rPr>
      </w:pPr>
      <w:r>
        <w:rPr>
          <w:rFonts w:ascii="Arial" w:cs="Arial" w:eastAsia="Arial" w:hAnsi="Arial"/>
          <w:sz w:val="13"/>
          <w:szCs w:val="13"/>
          <w:color w:val="auto"/>
        </w:rPr>
        <w:t>Our customers generally establish demanding specifications for quality, performance and reliability that our products must meet. However, our products are highly complex and may contain defects and failures when they are first introduced or as new versions are released. Our products are also subject to harsh environments as they are integrated into our customer products for use by the end customers. If defects and failures occur in our products, we could experience lost revenue, increased costs, including warranty expense and costs associated with customer support, delays in or cancellations or rescheduling of orders or shipments, product returns or discounts, diversion of management resources or damage to our reputation and brand equity, and in some cases consequential damages, any of which would harm our operating results. In addition, delays in our ability to fill product orders as a result of quality control issues may negatively impact our relationship with our customers. We cannot assure you that we will have sufficient resources, including any available insurance, to satisfy any asserted claims.</w:t>
      </w: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markets for many of our products are characterized by changing technology which could cause obsolescence of our products, and we may incur substantial costs in delivering new products.</w:t>
      </w:r>
    </w:p>
    <w:p>
      <w:pPr>
        <w:spacing w:after="0" w:line="117" w:lineRule="exact"/>
        <w:rPr>
          <w:sz w:val="20"/>
          <w:szCs w:val="20"/>
          <w:color w:val="auto"/>
        </w:rPr>
      </w:pPr>
    </w:p>
    <w:p>
      <w:pPr>
        <w:ind w:right="120" w:firstLine="340"/>
        <w:spacing w:after="0" w:line="278" w:lineRule="auto"/>
        <w:rPr>
          <w:sz w:val="20"/>
          <w:szCs w:val="20"/>
          <w:color w:val="auto"/>
        </w:rPr>
      </w:pPr>
      <w:r>
        <w:rPr>
          <w:rFonts w:ascii="Arial" w:cs="Arial" w:eastAsia="Arial" w:hAnsi="Arial"/>
          <w:sz w:val="13"/>
          <w:szCs w:val="13"/>
          <w:color w:val="auto"/>
        </w:rPr>
        <w:t>The markets for many of our products are characterized by changing technology, new product introductions and product enhancements, and evolving industry standards. The introduction or enhancement of products embodying new technology or the emergence of new industry standards could render existing products obsolete and result in a write down to the value of our inventory, or result in shortened product life cycles. Accordingly, our ability to compete is in part dependent on our ability to continually offer enhanced and improved products.</w:t>
      </w:r>
    </w:p>
    <w:p>
      <w:pPr>
        <w:ind w:left="320"/>
        <w:spacing w:after="0"/>
        <w:rPr>
          <w:sz w:val="20"/>
          <w:szCs w:val="20"/>
          <w:color w:val="auto"/>
        </w:rPr>
      </w:pPr>
      <w:r>
        <w:rPr>
          <w:rFonts w:ascii="Arial" w:cs="Arial" w:eastAsia="Arial" w:hAnsi="Arial"/>
          <w:sz w:val="14"/>
          <w:szCs w:val="14"/>
          <w:color w:val="auto"/>
        </w:rPr>
        <w:t>The success of our new product offerings will depend upon several factors, including our ability to:</w:t>
      </w:r>
    </w:p>
    <w:p>
      <w:pPr>
        <w:spacing w:after="0" w:line="168" w:lineRule="exact"/>
        <w:rPr>
          <w:sz w:val="20"/>
          <w:szCs w:val="20"/>
          <w:color w:val="auto"/>
        </w:rPr>
      </w:pPr>
    </w:p>
    <w:p>
      <w:pPr>
        <w:ind w:left="380" w:hanging="248"/>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accurately anticipate customer needs;</w:t>
      </w:r>
    </w:p>
    <w:p>
      <w:pPr>
        <w:spacing w:after="0" w:line="19" w:lineRule="exact"/>
        <w:rPr>
          <w:rFonts w:ascii="Arial" w:cs="Arial" w:eastAsia="Arial" w:hAnsi="Arial"/>
          <w:sz w:val="14"/>
          <w:szCs w:val="14"/>
          <w:color w:val="auto"/>
        </w:rPr>
      </w:pPr>
    </w:p>
    <w:p>
      <w:pPr>
        <w:ind w:left="380" w:hanging="248"/>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innovate and develop new technologies and applications;</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successfully commercialize new technologies in a timely manner;</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price products competitively and manufacture and deliver products in sufficient volumes and on time; and</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differentiate our product offerings from those of our competitors.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00" w:top="125" w:right="3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inability to find new customers or retain existing customers could harm our business.</w:t>
      </w:r>
    </w:p>
    <w:p>
      <w:pPr>
        <w:spacing w:after="0" w:line="94" w:lineRule="exact"/>
        <w:rPr>
          <w:sz w:val="20"/>
          <w:szCs w:val="20"/>
          <w:color w:val="auto"/>
        </w:rPr>
      </w:pPr>
    </w:p>
    <w:p>
      <w:pPr>
        <w:ind w:right="60" w:firstLine="340"/>
        <w:spacing w:after="0" w:line="267" w:lineRule="auto"/>
        <w:rPr>
          <w:sz w:val="20"/>
          <w:szCs w:val="20"/>
          <w:color w:val="auto"/>
        </w:rPr>
      </w:pPr>
      <w:r>
        <w:rPr>
          <w:rFonts w:ascii="Arial" w:cs="Arial" w:eastAsia="Arial" w:hAnsi="Arial"/>
          <w:sz w:val="14"/>
          <w:szCs w:val="14"/>
          <w:color w:val="auto"/>
        </w:rPr>
        <w:t>Our business is reliant on our ability to find new customers and retain existing customers. In particular, customers normally purchase certain of our products and incorporate them into products that they, in turn, sell in their own markets on an ongoing basis. As a result, the historical sales of these products have been dependent upon the success of our customers’ products and our future performance is dependent upon our success in finding new customers and receiving new orders from existing customers.</w:t>
      </w:r>
    </w:p>
    <w:p>
      <w:pPr>
        <w:spacing w:after="0" w:line="57" w:lineRule="exact"/>
        <w:rPr>
          <w:sz w:val="20"/>
          <w:szCs w:val="20"/>
          <w:color w:val="auto"/>
        </w:rPr>
      </w:pPr>
    </w:p>
    <w:p>
      <w:pPr>
        <w:ind w:right="40" w:firstLine="340"/>
        <w:spacing w:after="0" w:line="321" w:lineRule="auto"/>
        <w:rPr>
          <w:sz w:val="20"/>
          <w:szCs w:val="20"/>
          <w:color w:val="auto"/>
        </w:rPr>
      </w:pPr>
      <w:r>
        <w:rPr>
          <w:rFonts w:ascii="Arial" w:cs="Arial" w:eastAsia="Arial" w:hAnsi="Arial"/>
          <w:sz w:val="13"/>
          <w:szCs w:val="13"/>
          <w:color w:val="auto"/>
        </w:rPr>
        <w:t>In several markets, the quality and reliability of our products are a major concern for our customers, not only upon the initial manufacture of the product, but for the life of the product. Many of our products are used in remote locations for higher value assembly, making servicing of our products unfeasible. Any failure of the quality or reliability of our products could harm our business.</w:t>
      </w:r>
    </w:p>
    <w:p>
      <w:pPr>
        <w:spacing w:after="0" w:line="194"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b w:val="1"/>
          <w:bCs w:val="1"/>
          <w:i w:val="1"/>
          <w:iCs w:val="1"/>
          <w:color w:val="auto"/>
        </w:rPr>
        <w:t>Customer demand for our products is difficult to accurately forecast and, as a result, we may be unable to optimally match production with customer demand, which could adversely affect our business and financial results.</w:t>
      </w:r>
    </w:p>
    <w:p>
      <w:pPr>
        <w:spacing w:after="0" w:line="47" w:lineRule="exact"/>
        <w:rPr>
          <w:sz w:val="20"/>
          <w:szCs w:val="20"/>
          <w:color w:val="auto"/>
        </w:rPr>
      </w:pPr>
    </w:p>
    <w:p>
      <w:pPr>
        <w:ind w:firstLine="340"/>
        <w:spacing w:after="0" w:line="256" w:lineRule="auto"/>
        <w:rPr>
          <w:sz w:val="20"/>
          <w:szCs w:val="20"/>
          <w:color w:val="auto"/>
        </w:rPr>
      </w:pPr>
      <w:r>
        <w:rPr>
          <w:rFonts w:ascii="Arial" w:cs="Arial" w:eastAsia="Arial" w:hAnsi="Arial"/>
          <w:sz w:val="14"/>
          <w:szCs w:val="14"/>
          <w:color w:val="auto"/>
        </w:rPr>
        <w:t>We make planning and spending decisions, including determining the levels of business that we will seek and accept, production schedules, inventory levels, component procurement commitments, personnel needs and other resource requirements, based on our estimates of customer requirements. The short-term nature of commitments by many of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higher or more restrictive procurement commitments, increase our manufacturing yield loss and scrapping of excess materials, and reduce our gross margin. We may not have sufficient capacity at any given time to meet the volume demands of our customers, or one or more of our suppliers may not have sufficient capacity at any given time to meet our volume demands. Conversely, a downturn in the markets in which our customers compete can cause, and in the past have caused, our customers to significantly reduce or delay the amount of products ordered or to cancel existing orders, leading to lower utilization of our facilities. Because many of our costs and operating expenses are relatively fixed, reduction in customer demand due to market downturns or other reasons would have a negative effect on our gross margin, operating income and cash flow.</w:t>
      </w:r>
    </w:p>
    <w:p>
      <w:pPr>
        <w:spacing w:after="0" w:line="322"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Rapidly changing standards and regulations could make our products obsolete, which would cause our revenue and results of operations to suffer.</w:t>
      </w:r>
    </w:p>
    <w:p>
      <w:pPr>
        <w:spacing w:after="0" w:line="94" w:lineRule="exact"/>
        <w:rPr>
          <w:sz w:val="20"/>
          <w:szCs w:val="20"/>
          <w:color w:val="auto"/>
        </w:rPr>
      </w:pPr>
    </w:p>
    <w:p>
      <w:pPr>
        <w:ind w:firstLine="340"/>
        <w:spacing w:after="0" w:line="319" w:lineRule="auto"/>
        <w:rPr>
          <w:sz w:val="20"/>
          <w:szCs w:val="20"/>
          <w:color w:val="auto"/>
        </w:rPr>
      </w:pPr>
      <w:r>
        <w:rPr>
          <w:rFonts w:ascii="Arial" w:cs="Arial" w:eastAsia="Arial" w:hAnsi="Arial"/>
          <w:sz w:val="12"/>
          <w:szCs w:val="12"/>
          <w:color w:val="auto"/>
        </w:rPr>
        <w:t>We design products to conform to our customers’ requirements and our customers’ systems may be subject to regulations established by governments or industry standards bodies worldwide. Because some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results of our operations could be adversely affected by economic and political conditions and the effects of these conditions on our customers’ businesses and levels of business activity.</w:t>
      </w:r>
    </w:p>
    <w:p>
      <w:pPr>
        <w:spacing w:after="0" w:line="117" w:lineRule="exact"/>
        <w:rPr>
          <w:sz w:val="20"/>
          <w:szCs w:val="20"/>
          <w:color w:val="auto"/>
        </w:rPr>
      </w:pPr>
    </w:p>
    <w:p>
      <w:pPr>
        <w:ind w:right="120" w:firstLine="340"/>
        <w:spacing w:after="0" w:line="284" w:lineRule="auto"/>
        <w:rPr>
          <w:sz w:val="20"/>
          <w:szCs w:val="20"/>
          <w:color w:val="auto"/>
        </w:rPr>
      </w:pPr>
      <w:r>
        <w:rPr>
          <w:rFonts w:ascii="Arial" w:cs="Arial" w:eastAsia="Arial" w:hAnsi="Arial"/>
          <w:sz w:val="13"/>
          <w:szCs w:val="13"/>
          <w:color w:val="auto"/>
        </w:rPr>
        <w:t>Global economic and political conditions affect our customers’ businesses and the markets they serve. A severe or prolonged economic downturn or a negative or uncertain political climate could adversely affect our customers’ financial conditions and the timing or levels of business activity of our customers and the industries we serve. This may reduce the demand for our products or depress pricing for our products and have a material adverse effect on our results of operations. Changes in global economic conditions could also shift demand to products or services for which we do not have competitive advantages, and this could negatively affect the amount of business we are able to obtain. In addition, if we are unable to successfully anticipate changing economic and political conditions, we may be unable to effectively plan for and respond to those changes, and our business could be negatively affected as a result.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We have experienced net losses in the past, and because our strategy for expansion may be costly to implement, we may experience losses and may not maintain profitability or positive cash flow.</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60"/>
          </w:cols>
          <w:pgMar w:left="300" w:top="125"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7" w:lineRule="exact"/>
        <w:rPr>
          <w:sz w:val="20"/>
          <w:szCs w:val="20"/>
          <w:color w:val="auto"/>
        </w:rPr>
      </w:pPr>
    </w:p>
    <w:p>
      <w:pPr>
        <w:ind w:right="100" w:firstLine="340"/>
        <w:spacing w:after="0" w:line="288" w:lineRule="auto"/>
        <w:rPr>
          <w:sz w:val="20"/>
          <w:szCs w:val="20"/>
          <w:color w:val="auto"/>
        </w:rPr>
      </w:pPr>
      <w:r>
        <w:rPr>
          <w:rFonts w:ascii="Arial" w:cs="Arial" w:eastAsia="Arial" w:hAnsi="Arial"/>
          <w:sz w:val="13"/>
          <w:szCs w:val="13"/>
          <w:color w:val="auto"/>
        </w:rPr>
        <w:t>We have experienced net losses in the past. We expect to continue to incur significant expenses as we pursue our strategic initiatives, including increased expenses for research and development, sales and marketing and manufacturing. We may also grow our business in part through acquisitions of additional companies and complementary technologies which could cause us to incur greater than anticipated transaction expenses, amortization or write-offs of intangible assets and other acquisition-related expenses. As a result, we may incur net losses in the future, and these losses could be substantial. At a certain level, continued net losses could impair our ability to comply with Nasdaq continued listing standards, as described further below.</w:t>
      </w:r>
    </w:p>
    <w:p>
      <w:pPr>
        <w:spacing w:after="0" w:line="46" w:lineRule="exact"/>
        <w:rPr>
          <w:sz w:val="20"/>
          <w:szCs w:val="20"/>
          <w:color w:val="auto"/>
        </w:rPr>
      </w:pPr>
    </w:p>
    <w:p>
      <w:pPr>
        <w:ind w:right="240" w:firstLine="340"/>
        <w:spacing w:after="0" w:line="267" w:lineRule="auto"/>
        <w:rPr>
          <w:sz w:val="20"/>
          <w:szCs w:val="20"/>
          <w:color w:val="auto"/>
        </w:rPr>
      </w:pPr>
      <w:r>
        <w:rPr>
          <w:rFonts w:ascii="Arial" w:cs="Arial" w:eastAsia="Arial" w:hAnsi="Arial"/>
          <w:sz w:val="14"/>
          <w:szCs w:val="14"/>
          <w:color w:val="auto"/>
        </w:rPr>
        <w:t>Our ability to generate additional revenues and remain profitable will depend on our ability to execute our key growth initiative regarding the development, marketing and sale of sensing products, develop and commercialize innovative technologies, expand our contract research capabilities and sell the products that result from those development initiatives. We may not be able to sustain or increase our profitability on a quarterly or annual basis.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require additional capital to support and expand our business.</w:t>
      </w:r>
    </w:p>
    <w:p>
      <w:pPr>
        <w:spacing w:after="0" w:line="94" w:lineRule="exact"/>
        <w:rPr>
          <w:sz w:val="20"/>
          <w:szCs w:val="20"/>
          <w:color w:val="auto"/>
        </w:rPr>
      </w:pPr>
    </w:p>
    <w:p>
      <w:pPr>
        <w:jc w:val="both"/>
        <w:ind w:right="320" w:firstLine="340"/>
        <w:spacing w:after="0" w:line="297" w:lineRule="auto"/>
        <w:rPr>
          <w:sz w:val="20"/>
          <w:szCs w:val="20"/>
          <w:color w:val="auto"/>
        </w:rPr>
      </w:pPr>
      <w:r>
        <w:rPr>
          <w:rFonts w:ascii="Arial" w:cs="Arial" w:eastAsia="Arial" w:hAnsi="Arial"/>
          <w:sz w:val="13"/>
          <w:szCs w:val="13"/>
          <w:color w:val="auto"/>
        </w:rPr>
        <w:t>We intend to continue to make investments to support our business growth, including developing new products, enhancing our existing products, obtaining important regulatory approvals, enhancing our operating infrastructure, completing our development activities and building our commercial scale manufacturing facilities. To the extent that we are unable to become or remain profitable and to finance our activities from continuing operations, we may require additional funds to support these initiatives and to grow our business.</w:t>
      </w:r>
    </w:p>
    <w:p>
      <w:pPr>
        <w:spacing w:after="0" w:line="39" w:lineRule="exact"/>
        <w:rPr>
          <w:sz w:val="20"/>
          <w:szCs w:val="20"/>
          <w:color w:val="auto"/>
        </w:rPr>
      </w:pPr>
    </w:p>
    <w:p>
      <w:pPr>
        <w:ind w:right="40" w:firstLine="340"/>
        <w:spacing w:after="0" w:line="260" w:lineRule="auto"/>
        <w:rPr>
          <w:sz w:val="20"/>
          <w:szCs w:val="20"/>
          <w:color w:val="auto"/>
        </w:rPr>
      </w:pPr>
      <w:r>
        <w:rPr>
          <w:rFonts w:ascii="Arial" w:cs="Arial" w:eastAsia="Arial" w:hAnsi="Arial"/>
          <w:sz w:val="14"/>
          <w:szCs w:val="14"/>
          <w:color w:val="auto"/>
        </w:rPr>
        <w:t>If we are successful in raising additional funds through issuances of equity or convertible debt securities, our existing stockholders could suffer significant dilution, including as the result of the issuance of warrants in connection with the financing, and any new equity securities we issue could have rights, preferences and privileges superior to those of our existing common stock. Furthermore, such financings may jeopardize our ability to apply for SBIR grants or qualify for SBIR contracts or grants, and our dependence on SBIR grants may restrict our ability to raise additional outside capital. If we raise additional funds through debt financings, these financings may involve significant cash payment obligations and covenants that restrict our ability to operate our business and make distributions to our stockholders.</w:t>
      </w:r>
    </w:p>
    <w:p>
      <w:pPr>
        <w:spacing w:after="0" w:line="62" w:lineRule="exact"/>
        <w:rPr>
          <w:sz w:val="20"/>
          <w:szCs w:val="20"/>
          <w:color w:val="auto"/>
        </w:rPr>
      </w:pPr>
    </w:p>
    <w:p>
      <w:pPr>
        <w:ind w:right="580" w:firstLine="340"/>
        <w:spacing w:after="0" w:line="281" w:lineRule="auto"/>
        <w:rPr>
          <w:sz w:val="20"/>
          <w:szCs w:val="20"/>
          <w:color w:val="auto"/>
        </w:rPr>
      </w:pPr>
      <w:r>
        <w:rPr>
          <w:rFonts w:ascii="Arial" w:cs="Arial" w:eastAsia="Arial" w:hAnsi="Arial"/>
          <w:sz w:val="14"/>
          <w:szCs w:val="14"/>
          <w:color w:val="auto"/>
        </w:rPr>
        <w:t>If we are unable to obtain adequate financing or financing terms satisfactory to us when we require it, our ability to continue to support our business growth and to respond to business challenges could be significantly limited.</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and will face substantial competition in several different markets that may adversely affect our results of operations.</w:t>
      </w:r>
    </w:p>
    <w:p>
      <w:pPr>
        <w:spacing w:after="0" w:line="94" w:lineRule="exact"/>
        <w:rPr>
          <w:sz w:val="20"/>
          <w:szCs w:val="20"/>
          <w:color w:val="auto"/>
        </w:rPr>
      </w:pPr>
    </w:p>
    <w:p>
      <w:pPr>
        <w:ind w:right="140" w:firstLine="340"/>
        <w:spacing w:after="0" w:line="281" w:lineRule="auto"/>
        <w:rPr>
          <w:sz w:val="20"/>
          <w:szCs w:val="20"/>
          <w:color w:val="auto"/>
        </w:rPr>
      </w:pPr>
      <w:r>
        <w:rPr>
          <w:rFonts w:ascii="Arial" w:cs="Arial" w:eastAsia="Arial" w:hAnsi="Arial"/>
          <w:sz w:val="14"/>
          <w:szCs w:val="14"/>
          <w:color w:val="auto"/>
        </w:rPr>
        <w:t>We face and will face substantial competition from a variety of companies in several different markets. As we focus on developing marketing and selling fiber optic sensing products, we may also face substantial and entrenched competition in that market.</w:t>
      </w:r>
    </w:p>
    <w:p>
      <w:pPr>
        <w:spacing w:after="0" w:line="47" w:lineRule="exact"/>
        <w:rPr>
          <w:sz w:val="20"/>
          <w:szCs w:val="20"/>
          <w:color w:val="auto"/>
        </w:rPr>
      </w:pPr>
    </w:p>
    <w:p>
      <w:pPr>
        <w:ind w:right="160" w:firstLine="340"/>
        <w:spacing w:after="0" w:line="260" w:lineRule="auto"/>
        <w:rPr>
          <w:sz w:val="20"/>
          <w:szCs w:val="20"/>
          <w:color w:val="auto"/>
        </w:rPr>
      </w:pPr>
      <w:r>
        <w:rPr>
          <w:rFonts w:ascii="Arial" w:cs="Arial" w:eastAsia="Arial" w:hAnsi="Arial"/>
          <w:sz w:val="14"/>
          <w:szCs w:val="14"/>
          <w:color w:val="auto"/>
        </w:rPr>
        <w:t>Many of our competitors have longer operating histories, greater name recognition, larger customer bases and significantly greater financial, sales and marketing, manufacturing, distribution, technical and other resources than we do. These competitors may be able to adapt more quickly to new or emerging technologies and changes in customer requirements. In addition, current and potential competitors have established or may establish financial or strategic relationships among themselves or with existing or potential customers or other third parties. Accordingly, new competitors or alliances among competitors could emerge and rapidly acquire significant market share. We cannot assure you that we will be able to compete successfully against current or new competitors, in which case our revenues may fail to increase or may decline.</w:t>
      </w:r>
    </w:p>
    <w:p>
      <w:pPr>
        <w:spacing w:after="0" w:line="62" w:lineRule="exact"/>
        <w:rPr>
          <w:sz w:val="20"/>
          <w:szCs w:val="20"/>
          <w:color w:val="auto"/>
        </w:rPr>
      </w:pPr>
    </w:p>
    <w:p>
      <w:pPr>
        <w:jc w:val="both"/>
        <w:ind w:right="240" w:firstLine="340"/>
        <w:spacing w:after="0" w:line="267" w:lineRule="auto"/>
        <w:rPr>
          <w:sz w:val="20"/>
          <w:szCs w:val="20"/>
          <w:color w:val="auto"/>
        </w:rPr>
      </w:pPr>
      <w:r>
        <w:rPr>
          <w:rFonts w:ascii="Arial" w:cs="Arial" w:eastAsia="Arial" w:hAnsi="Arial"/>
          <w:sz w:val="14"/>
          <w:szCs w:val="14"/>
          <w:color w:val="auto"/>
        </w:rPr>
        <w:t>Intense competition in our markets could result in aggressive business tactics by our competitors, including aggressively pricing their products or selling older inventory at a discount. If our current or future competitors utilize aggressive business tactics, including those described above, demand for our products could decline, we could experience delays or cancellations of customer orders, or we could be required to reduce our sales prices.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Shifts in product mix may result in declines in gross profit.</w:t>
      </w:r>
    </w:p>
    <w:p>
      <w:pPr>
        <w:spacing w:after="0" w:line="94" w:lineRule="exact"/>
        <w:rPr>
          <w:sz w:val="20"/>
          <w:szCs w:val="20"/>
          <w:color w:val="auto"/>
        </w:rPr>
      </w:pPr>
    </w:p>
    <w:p>
      <w:pPr>
        <w:ind w:firstLine="340"/>
        <w:spacing w:after="0" w:line="267" w:lineRule="auto"/>
        <w:rPr>
          <w:sz w:val="20"/>
          <w:szCs w:val="20"/>
          <w:color w:val="auto"/>
        </w:rPr>
      </w:pPr>
      <w:r>
        <w:rPr>
          <w:rFonts w:ascii="Arial" w:cs="Arial" w:eastAsia="Arial" w:hAnsi="Arial"/>
          <w:sz w:val="14"/>
          <w:szCs w:val="14"/>
          <w:color w:val="auto"/>
        </w:rPr>
        <w:t>Our gross profit margins vary among our product platforms, and are generally highest on our test and measurement instruments. Our overall gross profit may fluctuate from period to period as a result of a variety of factors including shifts in product mix, the introduction of new products, and decreases in average selling prices for older products. If our customers decide to buy more of our products with low gross profit margins or fewer of our products with high gross profit margins, our total gross profits could be harmed.</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Risks Relating to our Operations and Business Strategy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60"/>
          </w:cols>
          <w:pgMar w:left="300" w:top="125"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successfully integrate acquired businesses, it could have an adverse effect on our future results and the market price of our common stock.</w:t>
      </w:r>
    </w:p>
    <w:p>
      <w:pPr>
        <w:spacing w:after="0" w:line="94" w:lineRule="exact"/>
        <w:rPr>
          <w:sz w:val="20"/>
          <w:szCs w:val="20"/>
          <w:color w:val="auto"/>
        </w:rPr>
      </w:pPr>
    </w:p>
    <w:p>
      <w:pPr>
        <w:ind w:right="60" w:firstLine="340"/>
        <w:spacing w:after="0" w:line="284" w:lineRule="auto"/>
        <w:rPr>
          <w:sz w:val="20"/>
          <w:szCs w:val="20"/>
          <w:color w:val="auto"/>
        </w:rPr>
      </w:pPr>
      <w:r>
        <w:rPr>
          <w:rFonts w:ascii="Arial" w:cs="Arial" w:eastAsia="Arial" w:hAnsi="Arial"/>
          <w:sz w:val="13"/>
          <w:szCs w:val="13"/>
          <w:color w:val="auto"/>
        </w:rPr>
        <w:t>In the past, we have acquired businesses to support our growth strategy, including the acquisition of General Photonics Corporation in March 2019 and Micron Optics, Inc. in October 2018. In the future, we may continue to seek acquisition targets supporting our growth strategy. The success of an acquisition will depend, in large part, on sales of the acquired company's products and the realization of operating synergies. To realize these anticipated benefits, we must successfully integrate the acquired company's business into our existing business. Such integrations may be complex and time-consuming. The failure to successfully integrate and manage the challenges presented by the integration process may result in our failure to achieve some or all of the anticipated benefits of the acquisition. Potential difficulties that may be encountered in the integration process include the following:</w:t>
      </w:r>
    </w:p>
    <w:p>
      <w:pPr>
        <w:spacing w:after="0" w:line="7" w:lineRule="exact"/>
        <w:rPr>
          <w:sz w:val="20"/>
          <w:szCs w:val="20"/>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lost sales and customers as a result of customers deciding not to do business with us;</w:t>
      </w:r>
    </w:p>
    <w:p>
      <w:pPr>
        <w:spacing w:after="0" w:line="8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complexities associated with managing the larger combined company with distant business locations;</w:t>
      </w:r>
    </w:p>
    <w:p>
      <w:pPr>
        <w:spacing w:after="0" w:line="8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integrating personnel while maintaining focus on providing consistent, high quality products;</w:t>
      </w:r>
    </w:p>
    <w:p>
      <w:pPr>
        <w:spacing w:after="0" w:line="8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loss of key employees;</w:t>
      </w:r>
    </w:p>
    <w:p>
      <w:pPr>
        <w:spacing w:after="0" w:line="8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potential unknown liabilities associated with the acquisition; and</w:t>
      </w:r>
    </w:p>
    <w:p>
      <w:pPr>
        <w:spacing w:after="0" w:line="8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performance shortfalls as a result of the division of management's attention caused by completing the acquisition and integrating operations.</w:t>
      </w:r>
    </w:p>
    <w:p>
      <w:pPr>
        <w:spacing w:after="0" w:line="125" w:lineRule="exact"/>
        <w:rPr>
          <w:sz w:val="20"/>
          <w:szCs w:val="20"/>
          <w:color w:val="auto"/>
        </w:rPr>
      </w:pPr>
    </w:p>
    <w:p>
      <w:pPr>
        <w:ind w:firstLine="340"/>
        <w:spacing w:after="0" w:line="321" w:lineRule="auto"/>
        <w:rPr>
          <w:sz w:val="20"/>
          <w:szCs w:val="20"/>
          <w:color w:val="auto"/>
        </w:rPr>
      </w:pPr>
      <w:r>
        <w:rPr>
          <w:rFonts w:ascii="Arial" w:cs="Arial" w:eastAsia="Arial" w:hAnsi="Arial"/>
          <w:sz w:val="13"/>
          <w:szCs w:val="13"/>
          <w:color w:val="auto"/>
        </w:rPr>
        <w:t>If any of these events were to occur, our ability to maintain relationships with the customers, suppliers and employees or our ability to achieve the anticipated benefits of the acquisition could be adversely affected, or could reduce our future earnings or otherwise adversely affect our business and financial results and, as a result, adversely affect the market price of our common stock.</w:t>
      </w:r>
    </w:p>
    <w:p>
      <w:pPr>
        <w:spacing w:after="0" w:line="194"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b w:val="1"/>
          <w:bCs w:val="1"/>
          <w:i w:val="1"/>
          <w:iCs w:val="1"/>
          <w:color w:val="auto"/>
        </w:rPr>
        <w:t>If we cannot successfully transition our revenue mix from contract research revenues to product sales and license revenues, we may not be able to fully execute our business model or grow our business.</w:t>
      </w:r>
    </w:p>
    <w:p>
      <w:pPr>
        <w:spacing w:after="0" w:line="47" w:lineRule="exact"/>
        <w:rPr>
          <w:sz w:val="20"/>
          <w:szCs w:val="20"/>
          <w:color w:val="auto"/>
        </w:rPr>
      </w:pPr>
    </w:p>
    <w:p>
      <w:pPr>
        <w:ind w:firstLine="340"/>
        <w:spacing w:after="0" w:line="260" w:lineRule="auto"/>
        <w:rPr>
          <w:sz w:val="20"/>
          <w:szCs w:val="20"/>
          <w:color w:val="auto"/>
        </w:rPr>
      </w:pPr>
      <w:r>
        <w:rPr>
          <w:rFonts w:ascii="Arial" w:cs="Arial" w:eastAsia="Arial" w:hAnsi="Arial"/>
          <w:sz w:val="14"/>
          <w:szCs w:val="14"/>
          <w:color w:val="auto"/>
        </w:rPr>
        <w:t>Our business model and future growth depend on our ability to transition to a revenue mix that contains significantly larger product sales and revenues from the provision of services or from licensing. Product sales and these revenues potentially offer greater scalability than contract research revenues. Our current plan is to increase our sales of commercial products, our licensing revenues and our provision of non-research services to customers so as to represent a larger percentage of our total revenues. If we are unable to develop and grow our product sales and revenues from the provision of services or from licensing to augment our contract research revenues, however, our ability to execute our business model or grow our business could suffer. There can be no assurance that we will be able to achieve increased revenues in this manner.</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develop, introduce and sell new products or failure to develop and implement new technologies, could adversely impact our financial results.</w:t>
      </w:r>
    </w:p>
    <w:p>
      <w:pPr>
        <w:spacing w:after="0" w:line="94" w:lineRule="exact"/>
        <w:rPr>
          <w:sz w:val="20"/>
          <w:szCs w:val="20"/>
          <w:color w:val="auto"/>
        </w:rPr>
      </w:pPr>
    </w:p>
    <w:p>
      <w:pPr>
        <w:ind w:right="400" w:firstLine="340"/>
        <w:spacing w:after="0" w:line="297" w:lineRule="auto"/>
        <w:rPr>
          <w:sz w:val="20"/>
          <w:szCs w:val="20"/>
          <w:color w:val="auto"/>
        </w:rPr>
      </w:pPr>
      <w:r>
        <w:rPr>
          <w:rFonts w:ascii="Arial" w:cs="Arial" w:eastAsia="Arial" w:hAnsi="Arial"/>
          <w:sz w:val="13"/>
          <w:szCs w:val="13"/>
          <w:color w:val="auto"/>
        </w:rPr>
        <w:t>Our success will depend on our ability to develop and introduce new products that customers choose to buy. The new products the market requires tend to be increasingly complex, incorporating more functions and operating at faster speeds than old products. If we fail to introduce new product designs or technologies in a timely manner or if customers do not successfully introduce new systems or products incorporating our products, our business, financial condition and results of operations could be materially harmed.</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manage growth effectively, our revenues and net loss could be adversely affected.</w:t>
      </w:r>
    </w:p>
    <w:p>
      <w:pPr>
        <w:spacing w:after="0" w:line="94" w:lineRule="exact"/>
        <w:rPr>
          <w:sz w:val="20"/>
          <w:szCs w:val="20"/>
          <w:color w:val="auto"/>
        </w:rPr>
      </w:pPr>
    </w:p>
    <w:p>
      <w:pPr>
        <w:ind w:right="40" w:firstLine="340"/>
        <w:spacing w:after="0" w:line="262" w:lineRule="auto"/>
        <w:rPr>
          <w:sz w:val="20"/>
          <w:szCs w:val="20"/>
          <w:color w:val="auto"/>
        </w:rPr>
      </w:pPr>
      <w:r>
        <w:rPr>
          <w:rFonts w:ascii="Arial" w:cs="Arial" w:eastAsia="Arial" w:hAnsi="Arial"/>
          <w:sz w:val="14"/>
          <w:szCs w:val="14"/>
          <w:color w:val="auto"/>
        </w:rPr>
        <w:t>We may need to expand our personnel resources to grow our business effectively. We believe that sustained growth at a higher rate will place a strain on our management as well as on our other human resources. To manage this growth, we must continue to attract and retain qualified management, professional, scientific and technical and operating personnel. If we are unable to recruit a sufficient number of qualified personnel, we may be unable to staff and manage projects adequately, which in turn may slow the rate of growth of our contract research revenues or our product development efforts.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successful in identifying market needs for new technologies or in developing new products.</w:t>
      </w:r>
    </w:p>
    <w:p>
      <w:pPr>
        <w:spacing w:after="0" w:line="94" w:lineRule="exact"/>
        <w:rPr>
          <w:sz w:val="20"/>
          <w:szCs w:val="20"/>
          <w:color w:val="auto"/>
        </w:rPr>
      </w:pPr>
    </w:p>
    <w:p>
      <w:pPr>
        <w:ind w:firstLine="340"/>
        <w:spacing w:after="0" w:line="281" w:lineRule="auto"/>
        <w:rPr>
          <w:sz w:val="20"/>
          <w:szCs w:val="20"/>
          <w:color w:val="auto"/>
        </w:rPr>
      </w:pPr>
      <w:r>
        <w:rPr>
          <w:rFonts w:ascii="Arial" w:cs="Arial" w:eastAsia="Arial" w:hAnsi="Arial"/>
          <w:sz w:val="14"/>
          <w:szCs w:val="14"/>
          <w:color w:val="auto"/>
        </w:rPr>
        <w:t>Part of our business model depends on our ability to correctly identify market needs for new technologies. We intend to identify new market needs, but we may not always have success in doing so in part because our contract research largely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80"/>
          </w:cols>
          <w:pgMar w:left="300" w:top="125" w:right="31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7"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centers on identification and development of unproven technologies, often for new or emerging markets. Furthermore, we must identify the most promising technologies from a sizable pool of projects. If our commercialization strategy process fails to identify projects with commercial potential or if management does not ensure that such projects advance to the commercialization stage, we may not successfully commercialize new products and grow our revenues.</w:t>
      </w:r>
    </w:p>
    <w:p>
      <w:pPr>
        <w:spacing w:after="0" w:line="57" w:lineRule="exact"/>
        <w:rPr>
          <w:sz w:val="20"/>
          <w:szCs w:val="20"/>
          <w:color w:val="auto"/>
        </w:rPr>
      </w:pPr>
    </w:p>
    <w:p>
      <w:pPr>
        <w:ind w:right="20" w:firstLine="340"/>
        <w:spacing w:after="0" w:line="256" w:lineRule="auto"/>
        <w:rPr>
          <w:sz w:val="20"/>
          <w:szCs w:val="20"/>
          <w:color w:val="auto"/>
        </w:rPr>
      </w:pPr>
      <w:r>
        <w:rPr>
          <w:rFonts w:ascii="Arial" w:cs="Arial" w:eastAsia="Arial" w:hAnsi="Arial"/>
          <w:sz w:val="14"/>
          <w:szCs w:val="14"/>
          <w:color w:val="auto"/>
        </w:rPr>
        <w:t>Our growth strategy requires that we also develop successful commercial products to address market needs. We face several challenges in developing successful new products. Many of our existing products and those currently under development are technologically innovative and require significant and lengthy product development efforts. These efforts include planning, designing, developing and testing at the technological, product and manufacturing-process levels. These activities require us to make significant investments. Although there are many potential applications for our technologies, our resource constraints require us to focus on specific products and to forgo other opportunities. We expect that one or more of the potential products we choose to develop will not be technologically feasible or will not achieve commercial acceptance, and we cannot predict which, if any, of our products we will successfully develop or commercialize. The technologies we research and develop are new and steadily changing and advancing. The products that are derived from these technologies may not be applicable or compatible with the state of technology or demands in existing markets. Our existing products and technologies may become uncompetitive or obsolete if our competitors adapt more quickly than we do to new technologies and changes in customers’ requirements. Furthermore, we may not be able to identify if and when new markets will open for our products given that future applications of any given product may not be readily determinable, and we cannot reasonably estimate the size of any markets that may develop. If we are not able to successfully develop new products, we may be unable to increase our product revenues.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risks associated with our international business.</w:t>
      </w:r>
    </w:p>
    <w:p>
      <w:pPr>
        <w:spacing w:after="0" w:line="179" w:lineRule="exact"/>
        <w:rPr>
          <w:sz w:val="20"/>
          <w:szCs w:val="20"/>
          <w:color w:val="auto"/>
        </w:rPr>
      </w:pPr>
    </w:p>
    <w:p>
      <w:pPr>
        <w:ind w:right="100" w:firstLine="340"/>
        <w:spacing w:after="0" w:line="281" w:lineRule="auto"/>
        <w:rPr>
          <w:sz w:val="20"/>
          <w:szCs w:val="20"/>
          <w:color w:val="auto"/>
        </w:rPr>
      </w:pPr>
      <w:r>
        <w:rPr>
          <w:rFonts w:ascii="Arial" w:cs="Arial" w:eastAsia="Arial" w:hAnsi="Arial"/>
          <w:sz w:val="14"/>
          <w:szCs w:val="14"/>
          <w:color w:val="auto"/>
        </w:rPr>
        <w:t>We currently conduct business internationally and we might considerably expand our international activities in the future. Our international business operations are subject to a variety of risks associated with conducting business internationally, including:</w:t>
      </w:r>
    </w:p>
    <w:p>
      <w:pPr>
        <w:spacing w:after="0" w:line="132" w:lineRule="exact"/>
        <w:rPr>
          <w:sz w:val="20"/>
          <w:szCs w:val="20"/>
          <w:color w:val="auto"/>
        </w:rPr>
      </w:pPr>
    </w:p>
    <w:p>
      <w:pPr>
        <w:ind w:left="380" w:hanging="248"/>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having to comply with U.S. export control regulations and policies that restrict our ability to communicate with non-U.S. employees and supply foreign affiliates and customers;</w:t>
      </w:r>
    </w:p>
    <w:p>
      <w:pPr>
        <w:spacing w:after="0" w:line="19" w:lineRule="exact"/>
        <w:rPr>
          <w:rFonts w:ascii="Arial" w:cs="Arial" w:eastAsia="Arial" w:hAnsi="Arial"/>
          <w:sz w:val="14"/>
          <w:szCs w:val="14"/>
          <w:color w:val="auto"/>
        </w:rPr>
      </w:pPr>
    </w:p>
    <w:p>
      <w:pPr>
        <w:ind w:left="380" w:hanging="248"/>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changes in or interpretations of foreign regulations that may adversely affect our ability to sell our products, perform services or repatriate profits to the United States;</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imposition of tariffs;</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hyperinflation or economic or political instability in foreign countries;</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imposition of limitations on, or increase of withholding and other taxes on remittances and other payments by foreign subsidiaries or joint ventures;</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conducting business in places where business practices and customs are unfamiliar and unknown;</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imposition of restrictive trade policies;</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imposition of inconsistent laws or regulations;</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imposition or increase of investment and other restrictions or requirements by foreign governments;</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uncertainties relating to foreign laws and legal proceedings;</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having to comply with a variety of U.S. laws, including the Foreign Corrupt Practices Act ("FCPA"); and</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having to comply with licensing requirements.</w:t>
      </w:r>
    </w:p>
    <w:p>
      <w:pPr>
        <w:spacing w:after="0" w:line="83" w:lineRule="exact"/>
        <w:rPr>
          <w:sz w:val="20"/>
          <w:szCs w:val="20"/>
          <w:color w:val="auto"/>
        </w:rPr>
      </w:pPr>
    </w:p>
    <w:p>
      <w:pPr>
        <w:ind w:firstLine="340"/>
        <w:spacing w:after="0" w:line="319" w:lineRule="auto"/>
        <w:rPr>
          <w:sz w:val="20"/>
          <w:szCs w:val="20"/>
          <w:color w:val="auto"/>
        </w:rPr>
      </w:pPr>
      <w:r>
        <w:rPr>
          <w:rFonts w:ascii="Arial" w:cs="Arial" w:eastAsia="Arial" w:hAnsi="Arial"/>
          <w:sz w:val="12"/>
          <w:szCs w:val="12"/>
          <w:color w:val="auto"/>
        </w:rPr>
        <w:t>We do not know the impact that these regulatory, geopolitical and other factors may have on our international business in the future. Further, the developing situation regarding the public health epidemic originating in China, has prompted precautionary government-imposed closures of certain travel and business. It is unknown whether and how global supply chains, may be affected if such an epidemic persists for an extended period of time. We may incur expenses or delays relating to such events outside of our control, or experience potential disruption of our ability to travel to customer sites and industry conferences important to the marketing and support of our products, any of which could have an adverse impact on our business, operating results and financial condition.</w:t>
      </w:r>
    </w:p>
    <w:p>
      <w:pPr>
        <w:spacing w:after="0" w:line="200" w:lineRule="exact"/>
        <w:rPr>
          <w:sz w:val="20"/>
          <w:szCs w:val="20"/>
          <w:color w:val="auto"/>
        </w:rPr>
      </w:pPr>
    </w:p>
    <w:p>
      <w:pPr>
        <w:ind w:right="500"/>
        <w:spacing w:after="0" w:line="321" w:lineRule="auto"/>
        <w:rPr>
          <w:sz w:val="20"/>
          <w:szCs w:val="20"/>
          <w:color w:val="auto"/>
        </w:rPr>
      </w:pPr>
      <w:r>
        <w:rPr>
          <w:rFonts w:ascii="Arial" w:cs="Arial" w:eastAsia="Arial" w:hAnsi="Arial"/>
          <w:sz w:val="13"/>
          <w:szCs w:val="13"/>
          <w:b w:val="1"/>
          <w:bCs w:val="1"/>
          <w:i w:val="1"/>
          <w:iCs w:val="1"/>
          <w:color w:val="auto"/>
        </w:rPr>
        <w:t>Legal, political and economic uncertainty surrounding the exit of the U.K., from the European Union may be a source of instability in international markets, create significant currency fluctuations, adversely affect our operations in the U.K. and pose additional risks to our business, revenue, financial condition and results of operations.</w:t>
      </w:r>
    </w:p>
    <w:p>
      <w:pPr>
        <w:spacing w:after="0" w:line="194" w:lineRule="exact"/>
        <w:rPr>
          <w:sz w:val="20"/>
          <w:szCs w:val="20"/>
          <w:color w:val="auto"/>
        </w:rPr>
      </w:pPr>
    </w:p>
    <w:p>
      <w:pPr>
        <w:ind w:right="20" w:firstLine="509"/>
        <w:spacing w:after="0" w:line="281" w:lineRule="auto"/>
        <w:rPr>
          <w:sz w:val="20"/>
          <w:szCs w:val="20"/>
          <w:color w:val="auto"/>
        </w:rPr>
      </w:pPr>
      <w:r>
        <w:rPr>
          <w:rFonts w:ascii="Arial" w:cs="Arial" w:eastAsia="Arial" w:hAnsi="Arial"/>
          <w:sz w:val="14"/>
          <w:szCs w:val="14"/>
          <w:color w:val="auto"/>
        </w:rPr>
        <w:t>Following the result of a referendum in 2016, the U.K. left the EU on January 31, 2020, commonly referred to as Brexit. Pursuant to the formal withdrawal arrangements agreed between the U.K. and the EU, the U.K. will be subject to a transition period until December 31, 2020 (the "Transition Period"), during which the EU rules will continue to apply.</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00" w:top="125" w:right="3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Negotiations between the U.K. and the EU are expected to continue in relation to the customs and trading relationship between the U.K. and the EU following the expiry of the Transition Period.</w:t>
      </w:r>
    </w:p>
    <w:p>
      <w:pPr>
        <w:spacing w:after="0" w:line="105" w:lineRule="exact"/>
        <w:rPr>
          <w:sz w:val="20"/>
          <w:szCs w:val="20"/>
          <w:color w:val="auto"/>
        </w:rPr>
      </w:pPr>
    </w:p>
    <w:p>
      <w:pPr>
        <w:ind w:right="260" w:firstLine="509"/>
        <w:spacing w:after="0" w:line="368" w:lineRule="auto"/>
        <w:rPr>
          <w:sz w:val="20"/>
          <w:szCs w:val="20"/>
          <w:color w:val="auto"/>
        </w:rPr>
      </w:pPr>
      <w:r>
        <w:rPr>
          <w:rFonts w:ascii="Arial" w:cs="Arial" w:eastAsia="Arial" w:hAnsi="Arial"/>
          <w:sz w:val="12"/>
          <w:szCs w:val="12"/>
          <w:color w:val="auto"/>
        </w:rPr>
        <w:t>The uncertainty concerning the U.K.'s legal, political and economic relationship with the EU after the Transition Period may be a source of instability in the international markets, create significant currency fluctuations, and/or otherwise adversely affect trading agreements or similar cross-border cooperation arrangements (whether economic, tax, legal, regulatory or otherwise).</w:t>
      </w:r>
    </w:p>
    <w:p>
      <w:pPr>
        <w:spacing w:after="0" w:line="1"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These developments, or the perception that any of them could occur, have had and may continue to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61" w:lineRule="exact"/>
        <w:rPr>
          <w:sz w:val="20"/>
          <w:szCs w:val="20"/>
          <w:color w:val="auto"/>
        </w:rPr>
      </w:pPr>
    </w:p>
    <w:p>
      <w:pPr>
        <w:ind w:right="100" w:firstLine="509"/>
        <w:spacing w:after="0" w:line="267" w:lineRule="auto"/>
        <w:rPr>
          <w:sz w:val="20"/>
          <w:szCs w:val="20"/>
          <w:color w:val="auto"/>
        </w:rPr>
      </w:pPr>
      <w:r>
        <w:rPr>
          <w:rFonts w:ascii="Arial" w:cs="Arial" w:eastAsia="Arial" w:hAnsi="Arial"/>
          <w:sz w:val="14"/>
          <w:szCs w:val="14"/>
          <w:color w:val="auto"/>
        </w:rPr>
        <w:t>If the U.K. and the EU are unable to negotiate acceptable trading and customs terms or if other EU Member States pursue withdrawal, barrier-free access between the U.K. and other EU Member States or among the European Economic Area overall could be diminished or eliminated. The long-term effects of Brexit will depend on any agreements (or lack thereof) between the U.K. and the EU and, in particular, any arrangements for the U.K. to retain access to EU markets after the Transition Period.</w:t>
      </w:r>
    </w:p>
    <w:p>
      <w:pPr>
        <w:spacing w:after="0" w:line="5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Such a withdrawal from the EU is unprecedented, and it is unclear how the U.K.'s access to the European single market for goods, capital, services and labor within the EU, or single market, and the wider commercial, legal and regulatory environment will impact our operations and customers. There may continue to be economic uncertainty surrounding the consequences of Brexit which could adversely impact customer confidence resulting in customers reducing their spending budgets, which could adversely affect our business, revenue, financial condition, and results of operations and could adversely affect the market price of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dispose of or discontinue existing product lines and technology developments, which may adversely impact our future results.</w:t>
      </w:r>
    </w:p>
    <w:p>
      <w:pPr>
        <w:spacing w:after="0" w:line="94" w:lineRule="exact"/>
        <w:rPr>
          <w:sz w:val="20"/>
          <w:szCs w:val="20"/>
          <w:color w:val="auto"/>
        </w:rPr>
      </w:pPr>
    </w:p>
    <w:p>
      <w:pPr>
        <w:ind w:right="60" w:firstLine="340"/>
        <w:spacing w:after="0" w:line="368" w:lineRule="auto"/>
        <w:rPr>
          <w:sz w:val="20"/>
          <w:szCs w:val="20"/>
          <w:color w:val="auto"/>
        </w:rPr>
      </w:pPr>
      <w:r>
        <w:rPr>
          <w:rFonts w:ascii="Arial" w:cs="Arial" w:eastAsia="Arial" w:hAnsi="Arial"/>
          <w:sz w:val="12"/>
          <w:szCs w:val="12"/>
          <w:color w:val="auto"/>
        </w:rPr>
        <w:t>On an ongoing basis, we evaluate our various product offerings and technology developments in order to determine whether any should be discontinued or, to the extent possible, divested. In addition, if we are unable to generate the amount of cash needed to fund the future operations of our business, we may be forced to sell one or more of our product lines or technology developments.</w:t>
      </w:r>
    </w:p>
    <w:p>
      <w:pPr>
        <w:spacing w:after="0" w:line="1" w:lineRule="exact"/>
        <w:rPr>
          <w:sz w:val="20"/>
          <w:szCs w:val="20"/>
          <w:color w:val="auto"/>
        </w:rPr>
      </w:pPr>
    </w:p>
    <w:p>
      <w:pPr>
        <w:ind w:right="20" w:firstLine="340"/>
        <w:spacing w:after="0" w:line="257" w:lineRule="auto"/>
        <w:rPr>
          <w:sz w:val="20"/>
          <w:szCs w:val="20"/>
          <w:color w:val="auto"/>
        </w:rPr>
      </w:pPr>
      <w:r>
        <w:rPr>
          <w:rFonts w:ascii="Arial" w:cs="Arial" w:eastAsia="Arial" w:hAnsi="Arial"/>
          <w:sz w:val="14"/>
          <w:szCs w:val="14"/>
          <w:color w:val="auto"/>
        </w:rPr>
        <w:t>We cannot guarantee that we have correctly forecasted, or that we will correctly forecast in the future, the right product lines and technology developments to dispose or discontinue or that our decision to dispose of or discontinue various investments, product lines and technology developments is prudent if market conditions change. In addition, there are no assurances that the discontinuance of various product lines will reduce operating expenses or will not cause us to incur material charges associated with such decision. Furthermore, the discontinuance of existing product lines entails various risks, including the risk that we will not be able to find a purchaser for a product line or the purchase price obtained will not be equal to at least the book value of the net assets for the product line. Other risks include managing the expectations of, and maintaining good relations with, our historical customers who previously purchased products from a disposed or discontinued product line, which could prevent us from selling other products to them in the future. We may also incur other significant liabilities and costs associated with disposal or discontinuance of product lines, including employee severance costs and excess facilities costs.</w:t>
      </w: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could be negatively affected by a security breach or other compromise, either through cyber-attack, cyber-intrusion or other significant disruption of our IT networks and related systems.</w:t>
      </w:r>
    </w:p>
    <w:p>
      <w:pPr>
        <w:spacing w:after="0" w:line="117" w:lineRule="exact"/>
        <w:rPr>
          <w:sz w:val="20"/>
          <w:szCs w:val="20"/>
          <w:color w:val="auto"/>
        </w:rPr>
      </w:pPr>
    </w:p>
    <w:p>
      <w:pPr>
        <w:ind w:right="20" w:firstLine="340"/>
        <w:spacing w:after="0" w:line="282" w:lineRule="auto"/>
        <w:rPr>
          <w:sz w:val="20"/>
          <w:szCs w:val="20"/>
          <w:color w:val="auto"/>
        </w:rPr>
      </w:pPr>
      <w:r>
        <w:rPr>
          <w:rFonts w:ascii="Arial" w:cs="Arial" w:eastAsia="Arial" w:hAnsi="Arial"/>
          <w:sz w:val="13"/>
          <w:szCs w:val="13"/>
          <w:color w:val="auto"/>
        </w:rPr>
        <w:t>We face the risk, as does any company, of a security breach or other compromise, whether through cyber-attack or cyber-intrusion over the internet, malware, computer viruses, attachments to e-mails, persons inside our organization or persons with access to systems inside our organization, or other significant disruption of our IT networks and related systems. The risk of a security breach or disruption, particularly through cyber-attack or cyber-intrusion, including by computer hackers, foreign governments and cyber terrorists, has increased as the number, intensity and sophistication of attempted attacks and intrusions from around the world have increased. We may also experience security breaches or compromises from unintentional or accidental actions by our employees, contractors, consultants, business partners, and/or other third parties. To the extent that any security breach or disruption were to result in a loss, destruction, unavailability, alteration or dissemination of, or damage to, our data or applications, or for it to be believed or reported that any of these occurred, we could incur liability and reputational damage.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00" w:top="125" w:right="3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7" w:lineRule="exact"/>
        <w:rPr>
          <w:sz w:val="20"/>
          <w:szCs w:val="20"/>
          <w:color w:val="auto"/>
        </w:rPr>
      </w:pPr>
    </w:p>
    <w:p>
      <w:pPr>
        <w:ind w:right="20" w:firstLine="340"/>
        <w:spacing w:after="0" w:line="276" w:lineRule="auto"/>
        <w:rPr>
          <w:sz w:val="20"/>
          <w:szCs w:val="20"/>
          <w:color w:val="auto"/>
        </w:rPr>
      </w:pPr>
      <w:r>
        <w:rPr>
          <w:rFonts w:ascii="Arial" w:cs="Arial" w:eastAsia="Arial" w:hAnsi="Arial"/>
          <w:sz w:val="13"/>
          <w:szCs w:val="13"/>
          <w:color w:val="auto"/>
        </w:rPr>
        <w:t>As a technology company, and particularly as a government contractor, we may face a heightened risk of a security breach, compromise or disruption from attempts to gain unauthorized access to our proprietary, confidential or classified information on our IT networks and related systems via cyber-attacks or cyber-intrusions. These types of information and IT networks and related systems are critical to the operation of our business and essential to our ability to perform day-to-day operations, and, in some cases, are critical to our operations or those of our customers. Such critical information includes our proprietary software code, which we protect as a trade secret and is critical to the competitive advantage of many of our products, which could be adversely affected if this code were stolen in a cyber-intrusion or otherwise compromised. In addition, as certain of our technological capabilities become widely known, it is possible that we may be subjected to cyber-attack or cyber-intrusion as third parties seek to gain improper access to information regarding these capabilities and cyber-attacks or cyber-intrusion could compromise our confidential information or our IT networks and systems generally, as it is not practical as a business matter to isolate all of our confidential information and trade secrets from email and internet access. A security breach, compromise or other significant disruption involving these types of information and IT networks and related systems could disrupt the proper functioning of these networks and systems and therefore our operations, compromise our confidential information and trade secrets, or damage our reputation among our customers and the public generally. We have not identified any significant security breaches or experienced other significant disruptions of these types to date. To date, we have not experienced a significant cyber-intrusion, cyber-attack or other similar disruption. There can be no assurance that our security efforts and measures will be effective or that attempted security breaches or disruptions would not be successful or damaging. Any of these developments in the future could have a negative impact on our results of operations, financial condition and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risks related to health epidemics and other outbreaks, which could significantly disrupt our operations.</w:t>
      </w:r>
    </w:p>
    <w:p>
      <w:pPr>
        <w:spacing w:after="0" w:line="94" w:lineRule="exact"/>
        <w:rPr>
          <w:sz w:val="20"/>
          <w:szCs w:val="20"/>
          <w:color w:val="auto"/>
        </w:rPr>
      </w:pPr>
    </w:p>
    <w:p>
      <w:pPr>
        <w:ind w:firstLine="340"/>
        <w:spacing w:after="0" w:line="319" w:lineRule="auto"/>
        <w:rPr>
          <w:sz w:val="20"/>
          <w:szCs w:val="20"/>
          <w:color w:val="auto"/>
        </w:rPr>
      </w:pPr>
      <w:r>
        <w:rPr>
          <w:rFonts w:ascii="Arial" w:cs="Arial" w:eastAsia="Arial" w:hAnsi="Arial"/>
          <w:sz w:val="12"/>
          <w:szCs w:val="12"/>
          <w:color w:val="auto"/>
        </w:rPr>
        <w:t>Our business could be adversely impacted by the effects of COVID-19 or other epidemics. Several of our customers and suppliers are located throughout Asia, and particularly in China and, consequently, we are susceptible to factors adversely affecting one or more of these locations. As a result, COVID-19, or any other epidemic, could impact our customers or suppliers in these regions, which could subject our business to disruptions, such as temporary closure of our offices or those of our customers or suppliers, or suspension of our services. Additionally, we are subject to risks that COVID-19 or other epidemic harms the Chinese economy in general. Any of such developments could materially and adversely affect our business, financial condition and results of operations.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Risks Relating to our Regulatory Environment</w:t>
      </w:r>
    </w:p>
    <w:p>
      <w:pPr>
        <w:spacing w:after="0" w:line="267" w:lineRule="exact"/>
        <w:rPr>
          <w:sz w:val="20"/>
          <w:szCs w:val="20"/>
          <w:color w:val="auto"/>
        </w:rPr>
      </w:pPr>
    </w:p>
    <w:p>
      <w:pPr>
        <w:ind w:right="480"/>
        <w:spacing w:after="0" w:line="281" w:lineRule="auto"/>
        <w:rPr>
          <w:sz w:val="20"/>
          <w:szCs w:val="20"/>
          <w:color w:val="auto"/>
        </w:rPr>
      </w:pPr>
      <w:r>
        <w:rPr>
          <w:rFonts w:ascii="Arial" w:cs="Arial" w:eastAsia="Arial" w:hAnsi="Arial"/>
          <w:sz w:val="14"/>
          <w:szCs w:val="14"/>
          <w:b w:val="1"/>
          <w:bCs w:val="1"/>
          <w:i w:val="1"/>
          <w:iCs w:val="1"/>
          <w:color w:val="auto"/>
        </w:rPr>
        <w:t>Our operations are subject to domestic and foreign laws, regulations and restrictions, and noncompliance with these laws, regulations and restrictions could expose us to fines, penalties, suspension or debarment, which could have a material adverse effect on our profitability and overall financial position.</w:t>
      </w:r>
    </w:p>
    <w:p>
      <w:pPr>
        <w:spacing w:after="0" w:line="47" w:lineRule="exact"/>
        <w:rPr>
          <w:sz w:val="20"/>
          <w:szCs w:val="20"/>
          <w:color w:val="auto"/>
        </w:rPr>
      </w:pPr>
    </w:p>
    <w:p>
      <w:pPr>
        <w:ind w:right="60" w:firstLine="340"/>
        <w:spacing w:after="0" w:line="258" w:lineRule="auto"/>
        <w:rPr>
          <w:sz w:val="20"/>
          <w:szCs w:val="20"/>
          <w:color w:val="auto"/>
        </w:rPr>
      </w:pPr>
      <w:r>
        <w:rPr>
          <w:rFonts w:ascii="Arial" w:cs="Arial" w:eastAsia="Arial" w:hAnsi="Arial"/>
          <w:sz w:val="14"/>
          <w:szCs w:val="14"/>
          <w:color w:val="auto"/>
        </w:rPr>
        <w:t>Our operations, particularly our international sales, subject us to numerous U.S. and foreign laws and regulations, including, without limitation, regulations relating to imports, exports (including the Export Administration Regulations and the International Traffic in Arms Regulations), technology transfer restrictions, anti-boycott provisions, economic sanctions and the FCPA. The number of our various emerging technologies, the development of many of which has been funded by the Department of Defense, presents us with many regulatory challenges. Failure by us or our sales representatives or consultants to comply with these laws and regulations could result in administrative, civil, or criminal liabilities and could result in suspension of our export privileges, which could have a material adverse effect on our business. Changes in regulation or political environment may affect our ability to conduct business in foreign markets including investment, procurement and repatriation of earnings.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Environmental regulations could increase operating costs and additional capital expenditures and delay or interrupt operations.</w:t>
      </w:r>
    </w:p>
    <w:p>
      <w:pPr>
        <w:spacing w:after="0" w:line="94" w:lineRule="exact"/>
        <w:rPr>
          <w:sz w:val="20"/>
          <w:szCs w:val="20"/>
          <w:color w:val="auto"/>
        </w:rPr>
      </w:pPr>
    </w:p>
    <w:p>
      <w:pPr>
        <w:ind w:right="100" w:firstLine="340"/>
        <w:spacing w:after="0" w:line="262" w:lineRule="auto"/>
        <w:rPr>
          <w:sz w:val="20"/>
          <w:szCs w:val="20"/>
          <w:color w:val="auto"/>
        </w:rPr>
      </w:pPr>
      <w:r>
        <w:rPr>
          <w:rFonts w:ascii="Arial" w:cs="Arial" w:eastAsia="Arial" w:hAnsi="Arial"/>
          <w:sz w:val="14"/>
          <w:szCs w:val="14"/>
          <w:color w:val="auto"/>
        </w:rPr>
        <w:t>The photonics industry, as well as the semiconductor industry, are subject to governmental regulations for the protection of the environment, including those relating to air and water quality, solid and hazardous waste handling, and the promotion of occupational safety. Various federal, state and local laws and regulations require that we maintain certain environmental permits. While we believe that we have obtained all necessary environmental permits required to conduct our manufacturing processes, if we are found to be in violation of these laws, we could be subject to governmental fines and liability for damages resulting from such violations.</w:t>
      </w:r>
    </w:p>
    <w:p>
      <w:pPr>
        <w:spacing w:after="0" w:line="61" w:lineRule="exact"/>
        <w:rPr>
          <w:sz w:val="20"/>
          <w:szCs w:val="20"/>
          <w:color w:val="auto"/>
        </w:rPr>
      </w:pPr>
    </w:p>
    <w:p>
      <w:pPr>
        <w:ind w:right="300" w:firstLine="340"/>
        <w:spacing w:after="0" w:line="281" w:lineRule="auto"/>
        <w:rPr>
          <w:sz w:val="20"/>
          <w:szCs w:val="20"/>
          <w:color w:val="auto"/>
        </w:rPr>
      </w:pPr>
      <w:r>
        <w:rPr>
          <w:rFonts w:ascii="Arial" w:cs="Arial" w:eastAsia="Arial" w:hAnsi="Arial"/>
          <w:sz w:val="14"/>
          <w:szCs w:val="14"/>
          <w:color w:val="auto"/>
        </w:rPr>
        <w:t>Changes in the aforementioned laws and regulations or the enactment of new laws, regulations or policies could require increases in operating costs and additional capital expenditures and could possibly entail delays or interruptions of our operations.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60"/>
          </w:cols>
          <w:pgMar w:left="300" w:top="125"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40"/>
        <w:spacing w:after="0" w:line="281" w:lineRule="auto"/>
        <w:rPr>
          <w:sz w:val="20"/>
          <w:szCs w:val="20"/>
          <w:color w:val="auto"/>
        </w:rPr>
      </w:pPr>
      <w:r>
        <w:rPr>
          <w:rFonts w:ascii="Arial" w:cs="Arial" w:eastAsia="Arial" w:hAnsi="Arial"/>
          <w:sz w:val="14"/>
          <w:szCs w:val="14"/>
          <w:b w:val="1"/>
          <w:bCs w:val="1"/>
          <w:i w:val="1"/>
          <w:iCs w:val="1"/>
          <w:color w:val="auto"/>
        </w:rPr>
        <w:t>If our manufacturing facilities do not meet Federal, state or foreign country manufacturing standards, we may be required to temporarily cease all or part of our manufacturing operations, which would result in product delivery delays and negatively impact revenues.</w:t>
      </w:r>
    </w:p>
    <w:p>
      <w:pPr>
        <w:spacing w:after="0" w:line="47" w:lineRule="exact"/>
        <w:rPr>
          <w:sz w:val="20"/>
          <w:szCs w:val="20"/>
          <w:color w:val="auto"/>
        </w:rPr>
      </w:pPr>
    </w:p>
    <w:p>
      <w:pPr>
        <w:ind w:right="60" w:firstLine="340"/>
        <w:spacing w:after="0" w:line="309" w:lineRule="auto"/>
        <w:rPr>
          <w:sz w:val="20"/>
          <w:szCs w:val="20"/>
          <w:color w:val="auto"/>
        </w:rPr>
      </w:pPr>
      <w:r>
        <w:rPr>
          <w:rFonts w:ascii="Arial" w:cs="Arial" w:eastAsia="Arial" w:hAnsi="Arial"/>
          <w:sz w:val="12"/>
          <w:szCs w:val="12"/>
          <w:color w:val="auto"/>
        </w:rPr>
        <w:t>Our manufacturing facilities are subject to periodic inspection by regulatory authorities and our operations will continue to be regulated by the FDA for compliance with Good Manufacturing Practice requirements contained in the quality systems regulations. We are also required to comply with International Organization for Standardization ("ISO"), quality system standards in order to produce certain of our products for sale in Europe. If we fail to continue to comply with Good Manufacturing Practice requirements or ISO standards, we may be required to cease all or part of our operations until we comply with these regulations. Obtaining and maintaining such compliance is difficult and costly. We cannot be certain that our facilities will be found to comply with Good Manufacturing Practice requirements or ISO standards in future inspections and audits by regulatory authorities. In addition, if we cannot maintain or establish manufacturing facilities or operations that comply with such standards or do not meet the expectations of our customers, we may not be able to realize certain economic opportunities in our current or future supply arrangements.</w:t>
      </w:r>
    </w:p>
    <w:p>
      <w:pPr>
        <w:spacing w:after="0" w:line="207"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b w:val="1"/>
          <w:bCs w:val="1"/>
          <w:i w:val="1"/>
          <w:iCs w:val="1"/>
          <w:color w:val="auto"/>
        </w:rPr>
        <w:t>We are subject to additional significant foreign and domestic government regulations, including environmental and health and safety regulations, and failure to comply with these regulations could harm our business.</w:t>
      </w:r>
    </w:p>
    <w:p>
      <w:pPr>
        <w:spacing w:after="0" w:line="47" w:lineRule="exact"/>
        <w:rPr>
          <w:sz w:val="20"/>
          <w:szCs w:val="20"/>
          <w:color w:val="auto"/>
        </w:rPr>
      </w:pPr>
    </w:p>
    <w:p>
      <w:pPr>
        <w:ind w:right="20" w:firstLine="340"/>
        <w:spacing w:after="0" w:line="278" w:lineRule="auto"/>
        <w:rPr>
          <w:sz w:val="20"/>
          <w:szCs w:val="20"/>
          <w:color w:val="auto"/>
        </w:rPr>
      </w:pPr>
      <w:r>
        <w:rPr>
          <w:rFonts w:ascii="Arial" w:cs="Arial" w:eastAsia="Arial" w:hAnsi="Arial"/>
          <w:sz w:val="13"/>
          <w:szCs w:val="13"/>
          <w:color w:val="auto"/>
        </w:rPr>
        <w:t>Our facilities and current and proposed activities involve the use of a broad range of materials that are considered hazardous under applicable laws and regulations. Accordingly, we are subject to a number of foreign, federal, state and local laws and regulations relating to health and safety, protection of the environment and the storage, use, disposal of, and exposure to, hazardous materials and wastes. We could incur costs, fines and civil and criminal penalties, personal injury and third-party property damage claims or could be required to incur substantial investigation or remediation costs, if we were to violate or become liable under environmental, health and safety laws. Moreover, a failure to comply with environmental laws could result in fines and the revocation of environmental permits, which could prevent us from conducting our business. Liability under environmental laws can be joint and several and without regard to fault. There can be no assurance that violations of environmental and health and safety laws will not occur in the future as a result of the inability to obtain permits, human error, equipment failure or other causes. Environmental laws could become more stringent over time, imposing greater compliance costs and increasing risks and penalties associated with violations, which could harm our business. Accordingly, violations of present and future environmental laws could restrict our ability to expand facilities, pursue certain technologies, and could require us to acquire costly equipment or incur potentially significant costs to comply with environmental regulations.</w:t>
      </w:r>
    </w:p>
    <w:p>
      <w:pPr>
        <w:spacing w:after="0" w:line="54" w:lineRule="exact"/>
        <w:rPr>
          <w:sz w:val="20"/>
          <w:szCs w:val="20"/>
          <w:color w:val="auto"/>
        </w:rPr>
      </w:pPr>
    </w:p>
    <w:p>
      <w:pPr>
        <w:ind w:right="140" w:firstLine="340"/>
        <w:spacing w:after="0" w:line="262" w:lineRule="auto"/>
        <w:rPr>
          <w:sz w:val="20"/>
          <w:szCs w:val="20"/>
          <w:color w:val="auto"/>
        </w:rPr>
      </w:pPr>
      <w:r>
        <w:rPr>
          <w:rFonts w:ascii="Arial" w:cs="Arial" w:eastAsia="Arial" w:hAnsi="Arial"/>
          <w:sz w:val="14"/>
          <w:szCs w:val="14"/>
          <w:color w:val="auto"/>
        </w:rPr>
        <w:t>Compliance with foreign, federal, state and local environmental laws and regulations represents a small part of our present budget. If we fail to comply with any such laws or regulations, however, a government entity may levy a fine on us or require us to take costly measures to ensure compliance. Any such fine or expenditure may adversely affect our development. We cannot predict the extent to which future legislation and regulation could cause us to incur additional operating expenses, capital expenditures or restrictions and delays in the development of our products and properties.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or may become subject to a variety of privacy and data security laws, and our failure to comply with them could harm our business.</w:t>
      </w:r>
    </w:p>
    <w:p>
      <w:pPr>
        <w:spacing w:after="0" w:line="179" w:lineRule="exact"/>
        <w:rPr>
          <w:sz w:val="20"/>
          <w:szCs w:val="20"/>
          <w:color w:val="auto"/>
        </w:rPr>
      </w:pPr>
    </w:p>
    <w:p>
      <w:pPr>
        <w:jc w:val="both"/>
        <w:ind w:right="40" w:firstLine="509"/>
        <w:spacing w:after="0" w:line="267" w:lineRule="auto"/>
        <w:rPr>
          <w:sz w:val="20"/>
          <w:szCs w:val="20"/>
          <w:color w:val="auto"/>
        </w:rPr>
      </w:pPr>
      <w:r>
        <w:rPr>
          <w:rFonts w:ascii="Arial" w:cs="Arial" w:eastAsia="Arial" w:hAnsi="Arial"/>
          <w:sz w:val="14"/>
          <w:szCs w:val="14"/>
          <w:color w:val="auto"/>
        </w:rPr>
        <w:t>We maintain sensitive information, including confidential business and personal information in connection with our business customers and our employees, and may be subject to laws and regulations governing the privacy and security of such information. In the United States, there are numerous federal and state privacy and data security laws and regulations governing the collection, use, disclosure and protection of personal information. Each of these constantly evolving laws can be subject to varying interpretations.</w:t>
      </w:r>
    </w:p>
    <w:p>
      <w:pPr>
        <w:spacing w:after="0" w:line="142" w:lineRule="exact"/>
        <w:rPr>
          <w:sz w:val="20"/>
          <w:szCs w:val="20"/>
          <w:color w:val="auto"/>
        </w:rPr>
      </w:pPr>
    </w:p>
    <w:p>
      <w:pPr>
        <w:ind w:firstLine="509"/>
        <w:spacing w:after="0" w:line="280" w:lineRule="auto"/>
        <w:rPr>
          <w:sz w:val="20"/>
          <w:szCs w:val="20"/>
          <w:color w:val="auto"/>
        </w:rPr>
      </w:pPr>
      <w:r>
        <w:rPr>
          <w:rFonts w:ascii="Arial" w:cs="Arial" w:eastAsia="Arial" w:hAnsi="Arial"/>
          <w:sz w:val="13"/>
          <w:szCs w:val="13"/>
          <w:color w:val="auto"/>
        </w:rPr>
        <w:t>In addition, states are constantly adopting new laws or amending existing laws, requiring attention to frequently changing regulatory requirements. For example, California enacted the California Consumer Privacy Act, or the CCPA, on June 28,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can include any of our current or future employees who may be California residents) and provide such residents new ways to opt-out of certain sales of personal information.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Other states are beginning to pass similar laws.</w:t>
      </w:r>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20"/>
          </w:cols>
          <w:pgMar w:left="300" w:top="125" w:right="37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3" w:lineRule="exact"/>
        <w:rPr>
          <w:sz w:val="20"/>
          <w:szCs w:val="20"/>
          <w:color w:val="auto"/>
        </w:rPr>
      </w:pPr>
    </w:p>
    <w:p>
      <w:pPr>
        <w:ind w:firstLine="509"/>
        <w:spacing w:after="0" w:line="256" w:lineRule="auto"/>
        <w:rPr>
          <w:sz w:val="20"/>
          <w:szCs w:val="20"/>
          <w:color w:val="auto"/>
        </w:rPr>
      </w:pPr>
      <w:r>
        <w:rPr>
          <w:rFonts w:ascii="Arial" w:cs="Arial" w:eastAsia="Arial" w:hAnsi="Arial"/>
          <w:sz w:val="14"/>
          <w:szCs w:val="14"/>
          <w:color w:val="auto"/>
        </w:rPr>
        <w:t>A similar situation exists in the EU. In May 2018, a new privacy regime, the General Data Protection Regulation, the GDPR, took effect in the European Economic Area, the EEA. The GDPR governs the collection, use, disclosure, transfer or other processing of personal data of European data subjects. Among other things, the GDPR imposes requirements regarding the security of personal data and notification of data processing obligations to the competent national data processing authorities, changes the lawful bases on which personal data can be processed, and expands the definition of personal data. In addition, the GDPR increases the scrutiny of transfers of personal data from the EEA to the United States and other jurisdictions that the European Commission does not recognize as having “adequate” data protection laws, and imposes substantial fines for breaches and violations (up to the greater of €20 million or 4% of our consolidated annual worldwide gross revenue). The GDPR also confers a private right of action on data subjects and consumer associations to lodge complaints with supervisory authorities, seek judicial remedies and obtain compensation for damages resulting from violations of the GDPR. 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 Furthermore, the laws are not consistent, and compliance in the event of a widespread data breach could be costly.</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Risks Relating to our Intellectual Property</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proprietary rights may not adequately protect our technologies.</w:t>
      </w:r>
    </w:p>
    <w:p>
      <w:pPr>
        <w:spacing w:after="0" w:line="94" w:lineRule="exact"/>
        <w:rPr>
          <w:sz w:val="20"/>
          <w:szCs w:val="20"/>
          <w:color w:val="auto"/>
        </w:rPr>
      </w:pPr>
    </w:p>
    <w:p>
      <w:pPr>
        <w:ind w:right="20" w:firstLine="340"/>
        <w:spacing w:after="0" w:line="257" w:lineRule="auto"/>
        <w:rPr>
          <w:sz w:val="20"/>
          <w:szCs w:val="20"/>
          <w:color w:val="auto"/>
        </w:rPr>
      </w:pPr>
      <w:r>
        <w:rPr>
          <w:rFonts w:ascii="Arial" w:cs="Arial" w:eastAsia="Arial" w:hAnsi="Arial"/>
          <w:sz w:val="14"/>
          <w:szCs w:val="14"/>
          <w:color w:val="auto"/>
        </w:rPr>
        <w:t>Our commercial success will depend in part on our obtaining and maintaining patent, trade secret, copyright and trademark protection of our technologies in the United States and other jurisdictions as well as successfully enforcing this intellectual property and defending it against third-party challenges. We will only be able to protect our technologies from unauthorized use by third parties to the extent that valid and enforceable intellectual property protections, such as patents or trade secrets, cover them. In particular, we place considerable emphasis on obtaining patent and trade secret protection for significant new technologies, products and processes. The degree of future protection of our proprietary rights is uncertain because legal means afford only limited protection and may not adequately protect our rights or permit us to gain or keep our competitive advantage. The degree of future protection of our proprietary rights is also uncertain for products that are currently in the early stages of development because we cannot predict which of these products will ultimately reach the commercial market or whether the commercial versions of these products will incorporate proprietary technologies.</w:t>
      </w:r>
    </w:p>
    <w:p>
      <w:pPr>
        <w:spacing w:after="0" w:line="66" w:lineRule="exact"/>
        <w:rPr>
          <w:sz w:val="20"/>
          <w:szCs w:val="20"/>
          <w:color w:val="auto"/>
        </w:rPr>
      </w:pPr>
    </w:p>
    <w:p>
      <w:pPr>
        <w:ind w:right="60" w:firstLine="340"/>
        <w:spacing w:after="0" w:line="281" w:lineRule="auto"/>
        <w:rPr>
          <w:sz w:val="20"/>
          <w:szCs w:val="20"/>
          <w:color w:val="auto"/>
        </w:rPr>
      </w:pPr>
      <w:r>
        <w:rPr>
          <w:rFonts w:ascii="Arial" w:cs="Arial" w:eastAsia="Arial" w:hAnsi="Arial"/>
          <w:sz w:val="14"/>
          <w:szCs w:val="14"/>
          <w:color w:val="auto"/>
        </w:rPr>
        <w:t>Our patent position is highly uncertain and involves complex legal and factual questions. Accordingly, we cannot predict the breadth of claims that may be allowed or enforced in our patents or in third-party patents. For example:</w:t>
      </w:r>
    </w:p>
    <w:p>
      <w:pPr>
        <w:spacing w:after="0" w:line="217" w:lineRule="exact"/>
        <w:rPr>
          <w:sz w:val="20"/>
          <w:szCs w:val="20"/>
          <w:color w:val="auto"/>
        </w:rPr>
      </w:pPr>
    </w:p>
    <w:p>
      <w:pPr>
        <w:ind w:left="380" w:hanging="248"/>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or our licensors might not have been the first to make the inventions covered by each of our pending patent applications and issued patents;</w:t>
      </w:r>
    </w:p>
    <w:p>
      <w:pPr>
        <w:spacing w:after="0" w:line="19" w:lineRule="exact"/>
        <w:rPr>
          <w:rFonts w:ascii="Arial" w:cs="Arial" w:eastAsia="Arial" w:hAnsi="Arial"/>
          <w:sz w:val="14"/>
          <w:szCs w:val="14"/>
          <w:color w:val="auto"/>
        </w:rPr>
      </w:pPr>
    </w:p>
    <w:p>
      <w:pPr>
        <w:ind w:left="380" w:hanging="248"/>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or our licensors might not have been the first to file patent applications for these inventions;</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others may independently develop similar or alternative technologies or duplicate any of our technologies;</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it is possible that none of our pending patent applications or the pending patent applications of our licensors will result in issued patents;</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patents may issue to third parties that cover how we might practice our technology;</w:t>
      </w:r>
    </w:p>
    <w:p>
      <w:pPr>
        <w:spacing w:after="0" w:line="8" w:lineRule="exact"/>
        <w:rPr>
          <w:rFonts w:ascii="Arial" w:cs="Arial" w:eastAsia="Arial" w:hAnsi="Arial"/>
          <w:sz w:val="14"/>
          <w:szCs w:val="14"/>
          <w:color w:val="auto"/>
        </w:rPr>
      </w:pPr>
    </w:p>
    <w:p>
      <w:pPr>
        <w:ind w:left="380" w:right="40" w:hanging="248"/>
        <w:spacing w:after="0" w:line="253"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issued patents and issued patents of our licensors may not provide a basis for commercially viable technologies, may not provide us with any competitive advantages, or may be challenged and invalidated by third parties; and</w:t>
      </w:r>
    </w:p>
    <w:p>
      <w:pPr>
        <w:ind w:left="380" w:hanging="248"/>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may not develop additional proprietary technologies that are patentable.</w:t>
      </w:r>
    </w:p>
    <w:p>
      <w:pPr>
        <w:spacing w:after="0" w:line="83" w:lineRule="exact"/>
        <w:rPr>
          <w:sz w:val="20"/>
          <w:szCs w:val="20"/>
          <w:color w:val="auto"/>
        </w:rPr>
      </w:pPr>
    </w:p>
    <w:p>
      <w:pPr>
        <w:ind w:right="40" w:firstLine="340"/>
        <w:spacing w:after="0" w:line="257" w:lineRule="auto"/>
        <w:rPr>
          <w:sz w:val="20"/>
          <w:szCs w:val="20"/>
          <w:color w:val="auto"/>
        </w:rPr>
      </w:pPr>
      <w:r>
        <w:rPr>
          <w:rFonts w:ascii="Arial" w:cs="Arial" w:eastAsia="Arial" w:hAnsi="Arial"/>
          <w:sz w:val="14"/>
          <w:szCs w:val="14"/>
          <w:color w:val="auto"/>
        </w:rPr>
        <w:t>Patents may not be issued for any pending or future pending patent applications owned by or licensed to us, and claims allowed under any issued patent or future issued patent owned or licensed by us may not be valid or sufficiently broad to protect our technologies. Moreover, protection of certain of our intellectual property may be unavailable or limited in the United States or in foreign countries, and we have not sought to obtain foreign patent protection for certain of our products or technologies due to cost, concerns about enforceability or other reasons. Any issued patents owned by or licensed to us now or in the future may be challenged, invalidated, or circumvented, and the rights under such patents may not provide us with competitive advantages. In addition, competitors may design around our technology or develop competing technologies. Intellectual property rights may also be unavailable or limited in some foreign countries, and in the case of certain products no foreign patents were filed or can be filed. This could make it easier for competitors to capture or increase their market share with respect to related technologies. We could incur substantial costs to bring suits in which we may assert our patent rights against others or defend ourselves in suits brought against us. An unfavorable outcome of any litigation could have a material adverse effect on our business and results of operations.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80"/>
          </w:cols>
          <w:pgMar w:left="300" w:top="125" w:right="31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7" w:lineRule="exact"/>
        <w:rPr>
          <w:sz w:val="20"/>
          <w:szCs w:val="20"/>
          <w:color w:val="auto"/>
        </w:rPr>
      </w:pPr>
    </w:p>
    <w:p>
      <w:pPr>
        <w:ind w:right="20" w:firstLine="340"/>
        <w:spacing w:after="0" w:line="257" w:lineRule="auto"/>
        <w:rPr>
          <w:sz w:val="20"/>
          <w:szCs w:val="20"/>
          <w:color w:val="auto"/>
        </w:rPr>
      </w:pPr>
      <w:r>
        <w:rPr>
          <w:rFonts w:ascii="Arial" w:cs="Arial" w:eastAsia="Arial" w:hAnsi="Arial"/>
          <w:sz w:val="14"/>
          <w:szCs w:val="14"/>
          <w:color w:val="auto"/>
        </w:rPr>
        <w:t>We also rely on trade secrets to protect our technology, especially where we believe patent protection is not appropriate or obtainable. However, trade secrets are difficult to protect. We regularly attempt to obtain confidentiality agreements and contractual provisions with our collaborators, employees and consultants to protect our trade secrets and proprietary know-how. These agreements may be breached or may not have adequate remedies for such breach. While we use reasonable efforts to protect our trade secrets, our employees, consultants, contractors or scientific and other advisors, or those of our strategic partners, may unintentionally or willfully disclose our information to competitors. If we were to enforce a claim that a third party had illegally obtained and was using our trade secrets, our enforcement efforts would be expensive and time consuming, and the outcome would be unpredictable. In addition, courts outside the United States are sometimes unwilling to protect trade secrets. Moreover, if our competitors independently develop equivalent knowledge, methods and know-how, it will be more difficult for us to enforce our rights and our business could be harmed.</w:t>
      </w:r>
    </w:p>
    <w:p>
      <w:pPr>
        <w:spacing w:after="0" w:line="66" w:lineRule="exact"/>
        <w:rPr>
          <w:sz w:val="20"/>
          <w:szCs w:val="20"/>
          <w:color w:val="auto"/>
        </w:rPr>
      </w:pPr>
    </w:p>
    <w:p>
      <w:pPr>
        <w:ind w:right="620" w:firstLine="340"/>
        <w:spacing w:after="0" w:line="321" w:lineRule="auto"/>
        <w:rPr>
          <w:sz w:val="20"/>
          <w:szCs w:val="20"/>
          <w:color w:val="auto"/>
        </w:rPr>
      </w:pPr>
      <w:r>
        <w:rPr>
          <w:rFonts w:ascii="Arial" w:cs="Arial" w:eastAsia="Arial" w:hAnsi="Arial"/>
          <w:sz w:val="13"/>
          <w:szCs w:val="13"/>
          <w:color w:val="auto"/>
        </w:rPr>
        <w:t>If we are not able to defend the patent or trade secret protection position of our technologies, then we will not be able to exclude competitors from developing or marketing competing technologies and we may not generate enough revenues from product sales to justify the cost of developing our technologies and to achieve or maintain profitability.</w:t>
      </w:r>
    </w:p>
    <w:p>
      <w:pPr>
        <w:spacing w:after="0" w:line="24" w:lineRule="exact"/>
        <w:rPr>
          <w:sz w:val="20"/>
          <w:szCs w:val="20"/>
          <w:color w:val="auto"/>
        </w:rPr>
      </w:pPr>
    </w:p>
    <w:p>
      <w:pPr>
        <w:ind w:firstLine="340"/>
        <w:spacing w:after="0" w:line="262" w:lineRule="auto"/>
        <w:rPr>
          <w:sz w:val="20"/>
          <w:szCs w:val="20"/>
          <w:color w:val="auto"/>
        </w:rPr>
      </w:pPr>
      <w:r>
        <w:rPr>
          <w:rFonts w:ascii="Arial" w:cs="Arial" w:eastAsia="Arial" w:hAnsi="Arial"/>
          <w:sz w:val="14"/>
          <w:szCs w:val="14"/>
          <w:color w:val="auto"/>
        </w:rPr>
        <w:t>We also rely on trademarks to establish a market identity for our company and our products. To maintain the value of our trademarks, we might have to file lawsuits against third parties to prevent them from using trademarks confusingly similar to or dilutive of our registered or unregistered trademarks. Also, we might not obtain registrations for our pending trademark applications, and we might have to defend our registered trademark and pending trademark applications from challenge by third parties. Enforcing or defending our registered and unregistered trademarks might result in significant litigation costs and damages, including the inability to continue using certain trademarks.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Third parties may claim that we infringe their intellectual property, and we could suffer significant litigation or licensing expense as a result.</w:t>
      </w:r>
    </w:p>
    <w:p>
      <w:pPr>
        <w:spacing w:after="0" w:line="94" w:lineRule="exact"/>
        <w:rPr>
          <w:sz w:val="20"/>
          <w:szCs w:val="20"/>
          <w:color w:val="auto"/>
        </w:rPr>
      </w:pPr>
    </w:p>
    <w:p>
      <w:pPr>
        <w:ind w:right="20" w:firstLine="340"/>
        <w:spacing w:after="0" w:line="277" w:lineRule="auto"/>
        <w:rPr>
          <w:sz w:val="20"/>
          <w:szCs w:val="20"/>
          <w:color w:val="auto"/>
        </w:rPr>
      </w:pPr>
      <w:r>
        <w:rPr>
          <w:rFonts w:ascii="Arial" w:cs="Arial" w:eastAsia="Arial" w:hAnsi="Arial"/>
          <w:sz w:val="13"/>
          <w:szCs w:val="13"/>
          <w:color w:val="auto"/>
        </w:rPr>
        <w:t>Various U.S. and foreign issued patents and pending patent applications, which are owned by third parties, exist in our technology areas. Such third parties may claim that we infringe their patents. Because patent applications can take several years to result in a patent issuance, there may be currently pending applications, unknown to us, which may later result in issued patents that our technologies may infringe. For example, we are aware of competitors with patents in technology areas applicable to our optical test equipment products. Such competitors may allege that we infringe these patents. There could also be existing patents of which we are not aware that our technologies may inadvertently infringe. We have from time to time been, and may in the future be, contacted by third parties, including patent assertion entities or intellectual property advisors, about licensing opportunities that also contain claims that we are infringing on third party patent rights. If third parties assert these claims against us, we could incur extremely substantial costs and diversion of management resources in defending these claims, and the defense of these claims could have a material adverse effect on our business, financial condition and results of operations. Even if we believe we have not infringed on a third party’s patent rights, we may have to settle a claim on unfavorable terms because we cannot afford to litigate the claim. In addition, if third parties assert claims against us and we are unsuccessful in defending against these claims, these third parties may be awarded substantial damages as well as injunctive or other equitable relief against us, which could effectively block our ability to make, use, sell, distribute or market our products and services in the United States or abroad.</w:t>
      </w:r>
    </w:p>
    <w:p>
      <w:pPr>
        <w:spacing w:after="0" w:line="57" w:lineRule="exact"/>
        <w:rPr>
          <w:sz w:val="20"/>
          <w:szCs w:val="20"/>
          <w:color w:val="auto"/>
        </w:rPr>
      </w:pPr>
    </w:p>
    <w:p>
      <w:pPr>
        <w:ind w:right="80" w:firstLine="340"/>
        <w:spacing w:after="0" w:line="305" w:lineRule="auto"/>
        <w:rPr>
          <w:sz w:val="20"/>
          <w:szCs w:val="20"/>
          <w:color w:val="auto"/>
        </w:rPr>
      </w:pPr>
      <w:r>
        <w:rPr>
          <w:rFonts w:ascii="Arial" w:cs="Arial" w:eastAsia="Arial" w:hAnsi="Arial"/>
          <w:sz w:val="12"/>
          <w:szCs w:val="12"/>
          <w:color w:val="auto"/>
        </w:rPr>
        <w:t>Commercial application of nanotechnologies in particular, or technologies involving nanomaterials, is new and the scope and breadth of patent protection is uncertain. Consequently, the patent positions of companies involved in nanotechnologies have not been tested, and there are complex legal and factual questions for which important legal principles will be developed or may remain unresolved. In addition, it is not clear whether such patents will be subject to interpretations or legal doctrines that differ from conventional patent law principles. Changes in either the patent laws or in interpretations of patent laws in the United States and other countries may diminish the value of our nanotechnology-related intellectual property. Accordingly, we cannot predict the breadth of claims that may be allowed or enforced in our nanotechnology-related patents or in third party patents. In the event that a claim relating to intellectual property is asserted against us, or third parties not affiliated with us hold pending or issued patents that relate to our products or technology, we may seek licenses to such intellectual property or challenge those patents. However, we may be unable to obtain these licenses on commercially reasonable terms, if at all, and our challenge of the patents may be unsuccessful. Our failure to obtain the necessary licenses or other rights could prevent the sale, manufacture or distribution of our products and, therefore, could have a material adverse effect on our business, financial condition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substantial portion of our technology is subject to retained rights of our licensors, and we may not be able to prevent the loss of those rights or the grant of similar rights to third parties.</w:t>
      </w:r>
    </w:p>
    <w:p>
      <w:pPr>
        <w:spacing w:after="0" w:line="117" w:lineRule="exact"/>
        <w:rPr>
          <w:sz w:val="20"/>
          <w:szCs w:val="20"/>
          <w:color w:val="auto"/>
        </w:rPr>
      </w:pPr>
    </w:p>
    <w:p>
      <w:pPr>
        <w:ind w:right="60" w:firstLine="340"/>
        <w:spacing w:after="0" w:line="281" w:lineRule="auto"/>
        <w:rPr>
          <w:sz w:val="20"/>
          <w:szCs w:val="20"/>
          <w:color w:val="auto"/>
        </w:rPr>
      </w:pPr>
      <w:r>
        <w:rPr>
          <w:rFonts w:ascii="Arial" w:cs="Arial" w:eastAsia="Arial" w:hAnsi="Arial"/>
          <w:sz w:val="14"/>
          <w:szCs w:val="14"/>
          <w:color w:val="auto"/>
        </w:rPr>
        <w:t>A substantial portion of our technology is licensed from academic institutions, corporations and government agencies. Under these licensing arrangements, a licensor may obtain rights over the technology, including the right to require us to grant a</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80"/>
          </w:cols>
          <w:pgMar w:left="300" w:top="125" w:right="31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7"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license to one or more third parties selected by the licensor or that we provide licensed technology or material to third parties for non-commercial research. The grant of a license for any of our core technologies to a third party could have a material and adverse effect on our business. In addition, some of our licensors retain certain rights under the licenses, including the right to grant additional licenses to a substantial portion of our core technology to third parties for non-commercial academic and research use. It is difficult to monitor and enforce such non-commercial academic and research uses, and we cannot predict whether the third-party licensees would comply with the use restrictions of such licenses. We have incurred and could incur substantial expenses to enforce our rights against them. We also may not fully control the ability to assert or defend those patents or other intellectual property which we have licensed from other entities, or which we have licensed to other entities.</w:t>
      </w:r>
    </w:p>
    <w:p>
      <w:pPr>
        <w:spacing w:after="0" w:line="65" w:lineRule="exact"/>
        <w:rPr>
          <w:sz w:val="20"/>
          <w:szCs w:val="20"/>
          <w:color w:val="auto"/>
        </w:rPr>
      </w:pPr>
    </w:p>
    <w:p>
      <w:pPr>
        <w:ind w:firstLine="340"/>
        <w:spacing w:after="0" w:line="309" w:lineRule="auto"/>
        <w:rPr>
          <w:sz w:val="20"/>
          <w:szCs w:val="20"/>
          <w:color w:val="auto"/>
        </w:rPr>
      </w:pPr>
      <w:r>
        <w:rPr>
          <w:rFonts w:ascii="Arial" w:cs="Arial" w:eastAsia="Arial" w:hAnsi="Arial"/>
          <w:sz w:val="12"/>
          <w:szCs w:val="12"/>
          <w:color w:val="auto"/>
        </w:rPr>
        <w:t>In addition, some of our licenses with academic institutions give us the right to use certain technology previously developed by researchers at these institutions. In certain cases, we also have the right to practice improvements on the licensed technology to the extent they are encompassed by the licensed patents and are within our field of use. Our licensors may currently own and may in the future obtain additional patents and patent applications that are necessary for the development, manufacture and commercial sale of our anticipated products. We may be unable to agree with one or more academic institutions from which we have obtained licenses whether certain intellectual property developed by researchers at these academic institutions is covered by our existing licenses. In the event that the new intellectual property is not covered by our existing licenses, we would be required to negotiate a new license agreement. We may not be able to reach agreement with current or future licensors on commercially reasonable terms, if at all, or the terms may not permit us to sell our products at a profit after payment of royalties, which could harm our business.</w:t>
      </w:r>
    </w:p>
    <w:p>
      <w:pPr>
        <w:spacing w:after="0" w:line="37" w:lineRule="exact"/>
        <w:rPr>
          <w:sz w:val="20"/>
          <w:szCs w:val="20"/>
          <w:color w:val="auto"/>
        </w:rPr>
      </w:pPr>
    </w:p>
    <w:p>
      <w:pPr>
        <w:ind w:right="180" w:firstLine="340"/>
        <w:spacing w:after="0" w:line="260" w:lineRule="auto"/>
        <w:rPr>
          <w:sz w:val="20"/>
          <w:szCs w:val="20"/>
          <w:color w:val="auto"/>
        </w:rPr>
      </w:pPr>
      <w:r>
        <w:rPr>
          <w:rFonts w:ascii="Arial" w:cs="Arial" w:eastAsia="Arial" w:hAnsi="Arial"/>
          <w:sz w:val="14"/>
          <w:szCs w:val="14"/>
          <w:color w:val="auto"/>
        </w:rPr>
        <w:t>Some of our patents may cover inventions that were conceived or first reduced to practice under, or in connection with, U.S. government contracts or other federal funding agreements. With respect to inventions conceived or first reduced to practice under a federal funding agreement, the U.S. government may retain a non-exclusive, non-transferable, irrevocable, paid-up license to practice or have practiced for or on behalf of the United States the invention throughout the world. We may not succeed in our efforts to retain title in patents, maintain ownership of intellectual property or in limiting the U.S. government’s rights in our proprietary technologies and intellectual property when an issue exists as to whether such intellectual property was developed in the performance of a federal funding agreement or developed at private expense.</w:t>
      </w:r>
    </w:p>
    <w:p>
      <w:pPr>
        <w:spacing w:after="0" w:line="231"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b w:val="1"/>
          <w:bCs w:val="1"/>
          <w:i w:val="1"/>
          <w:iCs w:val="1"/>
          <w:color w:val="auto"/>
        </w:rPr>
        <w:t>If we fail to obtain the right to use the intellectual property rights of others which are necessary to operate our business, and to protect their intellectual property, our business and results of operations will be adversely affected.</w:t>
      </w:r>
    </w:p>
    <w:p>
      <w:pPr>
        <w:spacing w:after="0" w:line="47" w:lineRule="exact"/>
        <w:rPr>
          <w:sz w:val="20"/>
          <w:szCs w:val="20"/>
          <w:color w:val="auto"/>
        </w:rPr>
      </w:pPr>
    </w:p>
    <w:p>
      <w:pPr>
        <w:ind w:right="40" w:firstLine="340"/>
        <w:spacing w:after="0" w:line="313" w:lineRule="auto"/>
        <w:rPr>
          <w:sz w:val="20"/>
          <w:szCs w:val="20"/>
          <w:color w:val="auto"/>
        </w:rPr>
      </w:pPr>
      <w:r>
        <w:rPr>
          <w:rFonts w:ascii="Arial" w:cs="Arial" w:eastAsia="Arial" w:hAnsi="Arial"/>
          <w:sz w:val="12"/>
          <w:szCs w:val="12"/>
          <w:color w:val="auto"/>
        </w:rPr>
        <w:t>In the past, we have licensed certain technologies for use in our products. In the future, we may choose, or be required, to license technology or intellectual property from third parties in connection with the development of our products. We cannot assure you that third-party licenses will be available on commercially reasonable terms, if at all. Our competitors may be able to obtain licenses, or cross-license their technology, on better terms than we can, which could put us at a competitive disadvantage. Also, we often enter into confidentiality agreements with such third parties in which we agree to protect and maintain their proprietary and confidential information, including at times requiring our employees to enter into agreements protecting such information. There can be no assurance that the confidentiality agreements will not be breached by any of our employees or that such third parties will not make claims that their proprietary information has been disclosed.</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COMMON STOCK</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there are substantial sales of our common stock, or the perception that such sales may occur, our stock price could decline.</w:t>
      </w:r>
    </w:p>
    <w:p>
      <w:pPr>
        <w:spacing w:after="0" w:line="94" w:lineRule="exact"/>
        <w:rPr>
          <w:sz w:val="20"/>
          <w:szCs w:val="20"/>
          <w:color w:val="auto"/>
        </w:rPr>
      </w:pPr>
    </w:p>
    <w:p>
      <w:pPr>
        <w:ind w:right="40" w:firstLine="340"/>
        <w:spacing w:after="0" w:line="267" w:lineRule="auto"/>
        <w:rPr>
          <w:sz w:val="20"/>
          <w:szCs w:val="20"/>
          <w:color w:val="auto"/>
        </w:rPr>
      </w:pPr>
      <w:r>
        <w:rPr>
          <w:rFonts w:ascii="Arial" w:cs="Arial" w:eastAsia="Arial" w:hAnsi="Arial"/>
          <w:sz w:val="14"/>
          <w:szCs w:val="14"/>
          <w:color w:val="auto"/>
        </w:rPr>
        <w:t>If any of our stockholders were to sell substantial amounts of our common stock, the market price of our common stock may decline, which might make it more difficult for us to sell equity or equity-related securities in the future at a time and price that we deem appropriate. Substantial sales of our common stock, or the perception that such sales may occur, may have a material adverse effect on the prevailing market price of our common stock.</w:t>
      </w:r>
    </w:p>
    <w:p>
      <w:pPr>
        <w:spacing w:after="0" w:line="227"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b w:val="1"/>
          <w:bCs w:val="1"/>
          <w:i w:val="1"/>
          <w:iCs w:val="1"/>
          <w:color w:val="auto"/>
        </w:rPr>
        <w:t>We may become involved in securities class action litigation that could divert management’s attention and harm our business and our insurance coverage may not be sufficient to cover all costs and damages.</w:t>
      </w:r>
    </w:p>
    <w:p>
      <w:pPr>
        <w:spacing w:after="0" w:line="47" w:lineRule="exact"/>
        <w:rPr>
          <w:sz w:val="20"/>
          <w:szCs w:val="20"/>
          <w:color w:val="auto"/>
        </w:rPr>
      </w:pPr>
    </w:p>
    <w:p>
      <w:pPr>
        <w:ind w:right="20" w:firstLine="340"/>
        <w:spacing w:after="0" w:line="262" w:lineRule="auto"/>
        <w:rPr>
          <w:sz w:val="20"/>
          <w:szCs w:val="20"/>
          <w:color w:val="auto"/>
        </w:rPr>
      </w:pPr>
      <w:r>
        <w:rPr>
          <w:rFonts w:ascii="Arial" w:cs="Arial" w:eastAsia="Arial" w:hAnsi="Arial"/>
          <w:sz w:val="14"/>
          <w:szCs w:val="14"/>
          <w:color w:val="auto"/>
        </w:rPr>
        <w:t>The stock market has from time to time experienced significant price and volume fluctuations that have affected the market prices for the common stock of technology companies. These broad market fluctuations may cause the market price of our common stock to decline. In the past, following periods of volatility in the market price of a particular company’s securities, securities class action litigation has often been brought against that company. Securities class litigation also often follows certain significant business transactions, such as the sale of a business division or a change in control transaction. We</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20"/>
          </w:cols>
          <w:pgMar w:left="300" w:top="125" w:right="37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may become involved in this type of litigation in the future. Litigation often is expensive and diverts management’s attention and resources, which could adversely affect our business.</w:t>
      </w:r>
    </w:p>
    <w:p>
      <w:pPr>
        <w:spacing w:after="0" w:line="263"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b w:val="1"/>
          <w:bCs w:val="1"/>
          <w:i w:val="1"/>
          <w:iCs w:val="1"/>
          <w:color w:val="auto"/>
        </w:rPr>
        <w:t>Our common stock price has been volatile and we expect that the price of our common stock will fluctuate substantially in the future, which could cause you to lose all or a substantial part of your investment.</w:t>
      </w:r>
    </w:p>
    <w:p>
      <w:pPr>
        <w:spacing w:after="0" w:line="132" w:lineRule="exact"/>
        <w:rPr>
          <w:sz w:val="20"/>
          <w:szCs w:val="20"/>
          <w:color w:val="auto"/>
        </w:rPr>
      </w:pPr>
    </w:p>
    <w:p>
      <w:pPr>
        <w:ind w:right="140" w:firstLine="340"/>
        <w:spacing w:after="0" w:line="281" w:lineRule="auto"/>
        <w:rPr>
          <w:sz w:val="20"/>
          <w:szCs w:val="20"/>
          <w:color w:val="auto"/>
        </w:rPr>
      </w:pPr>
      <w:r>
        <w:rPr>
          <w:rFonts w:ascii="Arial" w:cs="Arial" w:eastAsia="Arial" w:hAnsi="Arial"/>
          <w:sz w:val="14"/>
          <w:szCs w:val="14"/>
          <w:color w:val="auto"/>
        </w:rPr>
        <w:t>The public trading price for our common stock is volatile and may fluctuate significantly. Since January 1, 2009, our common stock has traded between a high of $9.32 per share and a low of $0.26 per share. Among the factors, many of which we cannot control, that could cause material fluctuations in the market price for our common stock are:</w:t>
      </w:r>
    </w:p>
    <w:p>
      <w:pPr>
        <w:spacing w:after="0" w:line="132" w:lineRule="exact"/>
        <w:rPr>
          <w:sz w:val="20"/>
          <w:szCs w:val="20"/>
          <w:color w:val="auto"/>
        </w:rPr>
      </w:pPr>
    </w:p>
    <w:p>
      <w:pPr>
        <w:ind w:left="380" w:hanging="248"/>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sales of our common stock by our significant stockholders, or the perception that such sales may occur;</w:t>
      </w:r>
    </w:p>
    <w:p>
      <w:pPr>
        <w:spacing w:after="0" w:line="19" w:lineRule="exact"/>
        <w:rPr>
          <w:rFonts w:ascii="Arial" w:cs="Arial" w:eastAsia="Arial" w:hAnsi="Arial"/>
          <w:sz w:val="14"/>
          <w:szCs w:val="14"/>
          <w:color w:val="auto"/>
        </w:rPr>
      </w:pPr>
    </w:p>
    <w:p>
      <w:pPr>
        <w:ind w:left="380" w:hanging="248"/>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changes in earnings estimates, investors’ perceptions, recommendations by securities analysts or our failure to achieve analysts’ earnings estimates;</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changes in our status as an entity eligible to receive SBIR contracts and grants;</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quarterly variations in our or our competitors’ results of operations;</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challenges integrating our recent or future acquisitions, including the inability to realize any expected synergies;</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general market conditions and other factors unrelated to our operating performance or the operating performance of our competitors;</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announcements by us, or by our competitors, of acquisitions, new products, significant contracts, commercial relationships or capital commitments;</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pending or threatened litigation;</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any major change in our board of directors or management or any competing proxy solicitations for director nominees;</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changes in governmental regulations or in the status of our regulatory approvals;</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announcements related to patents issued to us or our competitors;</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 lack of, limited or negative industry or securities analyst coverage;</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discussions of our company or our stock price by the financial and scientific press and online investor communities; and</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general developments in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-208915</wp:posOffset>
            </wp:positionV>
            <wp:extent cx="20320" cy="100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0" cy="100965"/>
                    </a:xfrm>
                    <a:prstGeom prst="rect">
                      <a:avLst/>
                    </a:prstGeom>
                    <a:noFill/>
                  </pic:spPr>
                </pic:pic>
              </a:graphicData>
            </a:graphic>
          </wp:anchor>
        </w:drawing>
      </w:r>
    </w:p>
    <w:p>
      <w:pPr>
        <w:spacing w:after="0" w:line="223" w:lineRule="exact"/>
        <w:rPr>
          <w:sz w:val="20"/>
          <w:szCs w:val="20"/>
          <w:color w:val="auto"/>
        </w:rPr>
      </w:pPr>
    </w:p>
    <w:p>
      <w:pPr>
        <w:ind w:right="120" w:firstLine="340"/>
        <w:spacing w:after="0" w:line="281" w:lineRule="auto"/>
        <w:rPr>
          <w:sz w:val="20"/>
          <w:szCs w:val="20"/>
          <w:color w:val="auto"/>
        </w:rPr>
      </w:pPr>
      <w:r>
        <w:rPr>
          <w:rFonts w:ascii="Arial" w:cs="Arial" w:eastAsia="Arial" w:hAnsi="Arial"/>
          <w:sz w:val="14"/>
          <w:szCs w:val="14"/>
          <w:color w:val="auto"/>
        </w:rPr>
        <w:t>In addition, the stock prices of many technology companies have experienced wide fluctuations that have often been unrelated to the operating performance of those companies. These factors may materially and adversely affect the market price of our common stock.</w:t>
      </w:r>
    </w:p>
    <w:p>
      <w:pPr>
        <w:spacing w:after="0" w:line="217"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47" w:lineRule="exact"/>
        <w:rPr>
          <w:sz w:val="20"/>
          <w:szCs w:val="20"/>
          <w:color w:val="auto"/>
        </w:rPr>
      </w:pPr>
    </w:p>
    <w:p>
      <w:pPr>
        <w:ind w:right="200" w:firstLine="340"/>
        <w:spacing w:after="0" w:line="321" w:lineRule="auto"/>
        <w:rPr>
          <w:sz w:val="20"/>
          <w:szCs w:val="20"/>
          <w:color w:val="auto"/>
        </w:rPr>
      </w:pPr>
      <w:r>
        <w:rPr>
          <w:rFonts w:ascii="Arial" w:cs="Arial" w:eastAsia="Arial" w:hAnsi="Arial"/>
          <w:sz w:val="13"/>
          <w:szCs w:val="13"/>
          <w:color w:val="auto"/>
        </w:rPr>
        <w:t>We are required, pursuant to Section 404 of the Sarbanes-Oxley Act, or Section 404,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w:t>
      </w:r>
    </w:p>
    <w:p>
      <w:pPr>
        <w:spacing w:after="0" w:line="24"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While we have established certain procedures and controls over our financial reporting processes, we cannot assure you that these efforts will prevent restatements of our financial statements in the future. Our independent registered public accounting firm is also required, pursuant to Section 404, to attest to, and report on, management's assessment of our internal control over financial reporting, which report is included elsewhere in this Annual Report on Form 10-K. This assessment is required to include disclosure of any material weaknesses identified by our management in our internal control over financial reporting. For future reporting periods, our independent registered public accounting firm may issue a report that is adverse in the event it is not satisfied with the level at which our controls are documented, designed or operating. We may not be able to remediate any future material weaknesses, or to complete our evaluation, testing and any required remediation in a timely fashion.</w:t>
      </w:r>
    </w:p>
    <w:p>
      <w:pPr>
        <w:spacing w:after="0" w:line="66" w:lineRule="exact"/>
        <w:rPr>
          <w:sz w:val="20"/>
          <w:szCs w:val="20"/>
          <w:color w:val="auto"/>
        </w:rPr>
      </w:pPr>
    </w:p>
    <w:p>
      <w:pPr>
        <w:ind w:right="40" w:firstLine="509"/>
        <w:spacing w:after="0" w:line="288" w:lineRule="auto"/>
        <w:rPr>
          <w:sz w:val="20"/>
          <w:szCs w:val="20"/>
          <w:color w:val="auto"/>
        </w:rPr>
      </w:pPr>
      <w:r>
        <w:rPr>
          <w:rFonts w:ascii="Arial" w:cs="Arial" w:eastAsia="Arial" w:hAnsi="Arial"/>
          <w:sz w:val="13"/>
          <w:szCs w:val="13"/>
          <w:color w:val="auto"/>
        </w:rPr>
        <w:t>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Stock Market, the SEC or other regulatory authorities. Failure to remedy any material weakness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40"/>
          </w:cols>
          <w:pgMar w:left="300" w:top="125" w:right="3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in our internal control over financial reporting, or to implement or maintain other effective control systems required of public companies, could also restrict our future access to the capital markets.</w:t>
      </w:r>
    </w:p>
    <w:p>
      <w:pPr>
        <w:spacing w:after="0" w:line="275" w:lineRule="exact"/>
        <w:rPr>
          <w:sz w:val="20"/>
          <w:szCs w:val="20"/>
          <w:color w:val="auto"/>
        </w:rPr>
      </w:pPr>
    </w:p>
    <w:p>
      <w:pPr>
        <w:ind w:right="240"/>
        <w:spacing w:after="0" w:line="281" w:lineRule="auto"/>
        <w:rPr>
          <w:sz w:val="20"/>
          <w:szCs w:val="20"/>
          <w:color w:val="auto"/>
        </w:rPr>
      </w:pPr>
      <w:r>
        <w:rPr>
          <w:rFonts w:ascii="Arial" w:cs="Arial" w:eastAsia="Arial" w:hAnsi="Arial"/>
          <w:sz w:val="14"/>
          <w:szCs w:val="14"/>
          <w:b w:val="1"/>
          <w:bCs w:val="1"/>
          <w:i w:val="1"/>
          <w:iCs w:val="1"/>
          <w:color w:val="auto"/>
        </w:rPr>
        <w:t>If our estimates relating to our critical accounting policies are based on assumptions or judgments that change or prove to be incorrect, our operating results could fall below expectations of financial analysts and investors, resulting in a decline in our stock price.</w:t>
      </w:r>
    </w:p>
    <w:p>
      <w:pPr>
        <w:spacing w:after="0" w:line="47" w:lineRule="exact"/>
        <w:rPr>
          <w:sz w:val="20"/>
          <w:szCs w:val="20"/>
          <w:color w:val="auto"/>
        </w:rPr>
      </w:pPr>
    </w:p>
    <w:p>
      <w:pPr>
        <w:ind w:firstLine="340"/>
        <w:spacing w:after="0" w:line="257" w:lineRule="auto"/>
        <w:rPr>
          <w:sz w:val="20"/>
          <w:szCs w:val="20"/>
          <w:color w:val="auto"/>
        </w:rPr>
      </w:pPr>
      <w:r>
        <w:rPr>
          <w:rFonts w:ascii="Arial" w:cs="Arial" w:eastAsia="Arial" w:hAnsi="Arial"/>
          <w:sz w:val="14"/>
          <w:szCs w:val="14"/>
          <w:color w:val="auto"/>
        </w:rPr>
        <w:t>The preparation of financial statements in conformity with U.S. GAAP requires our management to make estimates, assumptions and judgments that affect the amounts reported in the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Our operating results may be adversely affected if our assumptions change or if actual circumstances differ from those in our assumptions, which could cause our operating results to fall below the expectations of financial analysts and investors, resulting in a decline in our stock price. Significant assumptions and estimates used in preparing our consolidated financial statements include those related to revenue recognition, stock-based compensation and income taxes. Moreover, the revenue recognition guidance, ASC Topic 606, Revenue from Contracts with Customers, requires more judgment than did the prior guidance.</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financial results may be adversely affected by changes in accounting principles applicable to us.</w:t>
      </w:r>
    </w:p>
    <w:p>
      <w:pPr>
        <w:spacing w:after="0" w:line="94" w:lineRule="exact"/>
        <w:rPr>
          <w:sz w:val="20"/>
          <w:szCs w:val="20"/>
          <w:color w:val="auto"/>
        </w:rPr>
      </w:pPr>
    </w:p>
    <w:p>
      <w:pPr>
        <w:ind w:right="80" w:firstLine="340"/>
        <w:spacing w:after="0" w:line="260" w:lineRule="auto"/>
        <w:rPr>
          <w:sz w:val="20"/>
          <w:szCs w:val="20"/>
          <w:color w:val="auto"/>
        </w:rPr>
      </w:pPr>
      <w:r>
        <w:rPr>
          <w:rFonts w:ascii="Arial" w:cs="Arial" w:eastAsia="Arial" w:hAnsi="Arial"/>
          <w:sz w:val="14"/>
          <w:szCs w:val="14"/>
          <w:color w:val="auto"/>
        </w:rPr>
        <w:t>U.S. GAAP are subject to interpretation by the FASB, the SEC, and other bodies formed to promulgate and interpret appropriate accounting principles. For example, in May 2014, the FASB issued ASC Topic 606, Revenue from Contracts with Customers, which supersedes nearly all existing revenue recognition guidance under U.S. GAAP. We adopted this guidance as of January 1, 2018. The most significant impact relates to changing the revenue recognition for custom optoelectronics to an over time method. Before the adoption of this standard, we deferred the recognition of revenue until products were shipped to the customer. Any difficulties in implementing these pronouncements or adequately accounting after adoption could cause us to fail to meet our financial reporting obligations, which could result in regulatory discipline and harm investors’ confidence in us.</w:t>
      </w:r>
    </w:p>
    <w:p>
      <w:pPr>
        <w:spacing w:after="0" w:line="231" w:lineRule="exact"/>
        <w:rPr>
          <w:sz w:val="20"/>
          <w:szCs w:val="20"/>
          <w:color w:val="auto"/>
        </w:rPr>
      </w:pPr>
    </w:p>
    <w:p>
      <w:pPr>
        <w:ind w:right="40"/>
        <w:spacing w:after="0" w:line="368" w:lineRule="auto"/>
        <w:rPr>
          <w:sz w:val="20"/>
          <w:szCs w:val="20"/>
          <w:color w:val="auto"/>
        </w:rPr>
      </w:pPr>
      <w:r>
        <w:rPr>
          <w:rFonts w:ascii="Arial" w:cs="Arial" w:eastAsia="Arial" w:hAnsi="Arial"/>
          <w:sz w:val="12"/>
          <w:szCs w:val="12"/>
          <w:b w:val="1"/>
          <w:bCs w:val="1"/>
          <w:i w:val="1"/>
          <w:iCs w:val="1"/>
          <w:color w:val="auto"/>
        </w:rPr>
        <w:t>Anti-takeover provisions in our amended and restated certificate of incorporation and bylaws and Delaware law could discourage or prevent a change in control, even if an acquisition would be beneficial to our stockholders, which could affect our stock price adversely and prevent attempts by our stockholders to replace or remove our current management.</w:t>
      </w:r>
    </w:p>
    <w:p>
      <w:pPr>
        <w:spacing w:after="0" w:line="86" w:lineRule="exact"/>
        <w:rPr>
          <w:sz w:val="20"/>
          <w:szCs w:val="20"/>
          <w:color w:val="auto"/>
        </w:rPr>
      </w:pPr>
    </w:p>
    <w:p>
      <w:pPr>
        <w:ind w:right="160" w:firstLine="340"/>
        <w:spacing w:after="0" w:line="321" w:lineRule="auto"/>
        <w:rPr>
          <w:sz w:val="20"/>
          <w:szCs w:val="20"/>
          <w:color w:val="auto"/>
        </w:rPr>
      </w:pPr>
      <w:r>
        <w:rPr>
          <w:rFonts w:ascii="Arial" w:cs="Arial" w:eastAsia="Arial" w:hAnsi="Arial"/>
          <w:sz w:val="13"/>
          <w:szCs w:val="13"/>
          <w:color w:val="auto"/>
        </w:rPr>
        <w:t>Our amended and restated certificate of incorporation and bylaws and Delaware law contain provisions that might delay or prevent a change in control, discourage bids at a premium over the market price of our common stock and adversely affect the market price of our common stock and the voting and other rights of the holders of our common stock. These provisions include:</w:t>
      </w:r>
    </w:p>
    <w:p>
      <w:pPr>
        <w:spacing w:after="0" w:line="109" w:lineRule="exact"/>
        <w:rPr>
          <w:sz w:val="20"/>
          <w:szCs w:val="20"/>
          <w:color w:val="auto"/>
        </w:rPr>
      </w:pPr>
    </w:p>
    <w:p>
      <w:pPr>
        <w:ind w:left="380" w:hanging="248"/>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 classified board of directors serving staggered terms;</w:t>
      </w:r>
    </w:p>
    <w:p>
      <w:pPr>
        <w:spacing w:after="0" w:line="19" w:lineRule="exact"/>
        <w:rPr>
          <w:rFonts w:ascii="Arial" w:cs="Arial" w:eastAsia="Arial" w:hAnsi="Arial"/>
          <w:sz w:val="14"/>
          <w:szCs w:val="14"/>
          <w:color w:val="auto"/>
        </w:rPr>
      </w:pPr>
    </w:p>
    <w:p>
      <w:pPr>
        <w:ind w:left="380" w:hanging="248"/>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advance notice requirements to stockholders for matters to be brought at stockholder meetings;</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 supermajority stockholder vote requirement for amending certain provisions of our amended and restated certificate of incorporation and bylaws; and</w:t>
      </w:r>
    </w:p>
    <w:p>
      <w:pPr>
        <w:spacing w:after="0" w:line="8" w:lineRule="exact"/>
        <w:rPr>
          <w:rFonts w:ascii="Arial" w:cs="Arial" w:eastAsia="Arial" w:hAnsi="Arial"/>
          <w:sz w:val="14"/>
          <w:szCs w:val="14"/>
          <w:color w:val="auto"/>
        </w:rPr>
      </w:pPr>
    </w:p>
    <w:p>
      <w:pPr>
        <w:ind w:left="380" w:hanging="248"/>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right to issue preferred stock without stockholder approval, which could be used to dilute the stock ownership of a potential hostile acquirer.</w:t>
      </w:r>
    </w:p>
    <w:p>
      <w:pPr>
        <w:spacing w:after="0" w:line="168" w:lineRule="exact"/>
        <w:rPr>
          <w:sz w:val="20"/>
          <w:szCs w:val="20"/>
          <w:color w:val="auto"/>
        </w:rPr>
      </w:pPr>
    </w:p>
    <w:p>
      <w:pPr>
        <w:ind w:right="40" w:firstLine="340"/>
        <w:spacing w:after="0" w:line="281" w:lineRule="auto"/>
        <w:rPr>
          <w:sz w:val="20"/>
          <w:szCs w:val="20"/>
          <w:color w:val="auto"/>
        </w:rPr>
      </w:pPr>
      <w:r>
        <w:rPr>
          <w:rFonts w:ascii="Arial" w:cs="Arial" w:eastAsia="Arial" w:hAnsi="Arial"/>
          <w:sz w:val="14"/>
          <w:szCs w:val="14"/>
          <w:color w:val="auto"/>
        </w:rPr>
        <w:t>We are also subject to provisions of the Delaware General Corporation law that, in general, prohibit any business combination with a beneficial owner of 15% or more of our common stock for three years unless the holder’s acquisition of our stock was approved in advance by our board of directors or certain other conditions are satisfied.</w:t>
      </w:r>
    </w:p>
    <w:p>
      <w:pPr>
        <w:spacing w:after="0" w:line="47" w:lineRule="exact"/>
        <w:rPr>
          <w:sz w:val="20"/>
          <w:szCs w:val="20"/>
          <w:color w:val="auto"/>
        </w:rPr>
      </w:pPr>
    </w:p>
    <w:p>
      <w:pPr>
        <w:ind w:right="220" w:firstLine="340"/>
        <w:spacing w:after="0" w:line="281" w:lineRule="auto"/>
        <w:rPr>
          <w:sz w:val="20"/>
          <w:szCs w:val="20"/>
          <w:color w:val="auto"/>
        </w:rPr>
      </w:pPr>
      <w:r>
        <w:rPr>
          <w:rFonts w:ascii="Arial" w:cs="Arial" w:eastAsia="Arial" w:hAnsi="Arial"/>
          <w:sz w:val="14"/>
          <w:szCs w:val="14"/>
          <w:color w:val="auto"/>
        </w:rPr>
        <w:t>The existence of these provisions could adversely affect the voting power of holders of common stock and limit the price that investors might be willing to pay in the future for shares of our common stock.</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1B.</w:t>
        <w:tab/>
        <w:t>UNRESOLVED STAFF COMMENTS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Not applicable.</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3"/>
          <w:szCs w:val="13"/>
          <w:b w:val="1"/>
          <w:bCs w:val="1"/>
          <w:color w:val="auto"/>
        </w:rPr>
        <w:t>PROPERTIES</w:t>
      </w:r>
    </w:p>
    <w:p>
      <w:pPr>
        <w:spacing w:after="0" w:line="140" w:lineRule="exact"/>
        <w:rPr>
          <w:sz w:val="20"/>
          <w:szCs w:val="20"/>
          <w:color w:val="auto"/>
        </w:rPr>
      </w:pPr>
    </w:p>
    <w:p>
      <w:pPr>
        <w:ind w:right="360" w:firstLine="340"/>
        <w:spacing w:after="0" w:line="281" w:lineRule="auto"/>
        <w:rPr>
          <w:sz w:val="20"/>
          <w:szCs w:val="20"/>
          <w:color w:val="auto"/>
        </w:rPr>
      </w:pPr>
      <w:r>
        <w:rPr>
          <w:rFonts w:ascii="Arial" w:cs="Arial" w:eastAsia="Arial" w:hAnsi="Arial"/>
          <w:sz w:val="14"/>
          <w:szCs w:val="14"/>
          <w:color w:val="auto"/>
        </w:rPr>
        <w:t>We lease approximately 4,400 square feet of office space in Roanoke, Virginia, which serves as our corporate headquarters and is used for general and administrative functions. This lease expires March 31, 2021.</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60"/>
          </w:cols>
          <w:pgMar w:left="300" w:top="125"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right="180" w:firstLine="340"/>
        <w:spacing w:after="0" w:line="281" w:lineRule="auto"/>
        <w:rPr>
          <w:sz w:val="20"/>
          <w:szCs w:val="20"/>
          <w:color w:val="auto"/>
        </w:rPr>
      </w:pPr>
      <w:r>
        <w:rPr>
          <w:rFonts w:ascii="Arial" w:cs="Arial" w:eastAsia="Arial" w:hAnsi="Arial"/>
          <w:sz w:val="14"/>
          <w:szCs w:val="14"/>
          <w:color w:val="auto"/>
        </w:rPr>
        <w:t>We lease approximately 42,000 square feet of space in Blacksburg, Virginia, near Virginia Tech, which is used by both our Technology Development segment and our Products and Licensing segment. This lease expires December 31, 2024.</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2"/>
          <w:szCs w:val="12"/>
          <w:color w:val="auto"/>
        </w:rPr>
        <w:t>We lease approximately 11,000 square feet of space in Ann Arbor, Michigan, for research, development and manufacturing of our THz product platform. This lease expires November 30, 2021.</w:t>
      </w:r>
    </w:p>
    <w:p>
      <w:pPr>
        <w:spacing w:after="0" w:line="159" w:lineRule="exact"/>
        <w:rPr>
          <w:sz w:val="20"/>
          <w:szCs w:val="20"/>
          <w:color w:val="auto"/>
        </w:rPr>
      </w:pPr>
    </w:p>
    <w:p>
      <w:pPr>
        <w:ind w:right="160" w:firstLine="340"/>
        <w:spacing w:after="0" w:line="281" w:lineRule="auto"/>
        <w:rPr>
          <w:sz w:val="20"/>
          <w:szCs w:val="20"/>
          <w:color w:val="auto"/>
        </w:rPr>
      </w:pPr>
      <w:r>
        <w:rPr>
          <w:rFonts w:ascii="Arial" w:cs="Arial" w:eastAsia="Arial" w:hAnsi="Arial"/>
          <w:sz w:val="14"/>
          <w:szCs w:val="14"/>
          <w:color w:val="auto"/>
        </w:rPr>
        <w:t>We lease approximately 19,600 square feet of space in Charlottesville, Virginia, near the University of Virginia, for use by certain groups in our Technology Development segment. This lease expires December 31, 2020.</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We lease approximately 21,000 square feet of space in Atlanta, Georgia, for use by our Products and Licensing segment. This lease expires October 31, 2020.</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We lease approximately 28,000 square feet of space in Chino, California, for use by our Products and Licensing segment. This lease expires October 31, 2020.</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We own a 24,000 square foot facility in Danville, Virginia for use by certain groups in our Technology Development segment.</w:t>
      </w: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We believe that our existing facilities are adequate for our current needs and suitable additional or substitute space will be available as needed to accommodate expansion of our operations.</w:t>
      </w:r>
    </w:p>
    <w:p>
      <w:pPr>
        <w:spacing w:after="0" w:line="313"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3.</w:t>
        <w:tab/>
        <w:t>LEGAL PROCEEDINGS</w:t>
      </w:r>
    </w:p>
    <w:p>
      <w:pPr>
        <w:spacing w:after="0" w:line="246" w:lineRule="exact"/>
        <w:rPr>
          <w:sz w:val="20"/>
          <w:szCs w:val="20"/>
          <w:color w:val="auto"/>
        </w:rPr>
      </w:pPr>
    </w:p>
    <w:p>
      <w:pPr>
        <w:ind w:firstLine="340"/>
        <w:spacing w:after="0" w:line="284" w:lineRule="auto"/>
        <w:rPr>
          <w:sz w:val="20"/>
          <w:szCs w:val="20"/>
          <w:color w:val="auto"/>
        </w:rPr>
      </w:pPr>
      <w:r>
        <w:rPr>
          <w:rFonts w:ascii="Arial" w:cs="Arial" w:eastAsia="Arial" w:hAnsi="Arial"/>
          <w:sz w:val="13"/>
          <w:szCs w:val="13"/>
          <w:color w:val="auto"/>
        </w:rPr>
        <w:t>In December 2018, we received a notice of claim (the "Claim") from Macom Technology Solutions, Inc. ("Macom"), who acquired our HSOR business in August 2017 pursuant to an asset purchase agreement. Under the asset purchase agreement, we agreed to indemnify Macom for certain matters, including, among other things, the collection of accounts receivable from certain major customers, and placed $4.0 million of the purchase price into an escrow account for the potential settlement of any valid indemnity claims. The Claim received from Macom totaled $2.1 million under various indemnity provisions. We have disputed Macom's assertion of right to payment for the matters described in the Claim. It is uncertain what amount, if any, will be owed in settlement of the Claim. As of December 31, 2019, $1.5 million of the escrow balance had been received with the remaining $2.5 million in the escrow account pending resolution of the dispute.</w:t>
      </w:r>
    </w:p>
    <w:p>
      <w:pPr>
        <w:spacing w:after="0" w:line="28" w:lineRule="exact"/>
        <w:rPr>
          <w:sz w:val="20"/>
          <w:szCs w:val="20"/>
          <w:color w:val="auto"/>
        </w:rPr>
      </w:pPr>
    </w:p>
    <w:p>
      <w:pPr>
        <w:ind w:right="220" w:firstLine="340"/>
        <w:spacing w:after="0" w:line="281" w:lineRule="auto"/>
        <w:rPr>
          <w:sz w:val="20"/>
          <w:szCs w:val="20"/>
          <w:color w:val="auto"/>
        </w:rPr>
      </w:pPr>
      <w:r>
        <w:rPr>
          <w:rFonts w:ascii="Arial" w:cs="Arial" w:eastAsia="Arial" w:hAnsi="Arial"/>
          <w:sz w:val="14"/>
          <w:szCs w:val="14"/>
          <w:color w:val="auto"/>
        </w:rPr>
        <w:t>Additionally, from time to time, we may become involved in litigation or claims arising out of our operations in the normal course of business. Management currently believes the amount of ultimate liability, if any, with respect to these actions will not materially affect our financial position, results of operations, or liquidity.</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4.</w:t>
        <w:tab/>
        <w:t>MINE SAFETY DISCLOSURES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Not applicable.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80"/>
          </w:cols>
          <w:pgMar w:left="300" w:top="125" w:right="31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w:t>
      </w:r>
    </w:p>
    <w:p>
      <w:pPr>
        <w:spacing w:after="0" w:line="221" w:lineRule="exact"/>
        <w:rPr>
          <w:sz w:val="20"/>
          <w:szCs w:val="20"/>
          <w:color w:val="auto"/>
        </w:rPr>
      </w:pPr>
    </w:p>
    <w:p>
      <w:pPr>
        <w:ind w:right="1140"/>
        <w:spacing w:after="0" w:line="477" w:lineRule="auto"/>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 STOCKHOLDERS</w:t>
      </w:r>
    </w:p>
    <w:p>
      <w:pPr>
        <w:spacing w:after="0" w:line="1" w:lineRule="exact"/>
        <w:rPr>
          <w:sz w:val="20"/>
          <w:szCs w:val="20"/>
          <w:color w:val="auto"/>
        </w:rPr>
      </w:pPr>
    </w:p>
    <w:p>
      <w:pPr>
        <w:ind w:right="120" w:firstLine="340"/>
        <w:spacing w:after="0" w:line="267" w:lineRule="auto"/>
        <w:rPr>
          <w:sz w:val="20"/>
          <w:szCs w:val="20"/>
          <w:color w:val="auto"/>
        </w:rPr>
      </w:pPr>
      <w:r>
        <w:rPr>
          <w:rFonts w:ascii="Arial" w:cs="Arial" w:eastAsia="Arial" w:hAnsi="Arial"/>
          <w:sz w:val="14"/>
          <w:szCs w:val="14"/>
          <w:color w:val="auto"/>
        </w:rPr>
        <w:t>Our common stock is listed on the Nasdaq Capital Market under the symbol "LUNA." As of March 11, 2020, we had 30,391,879 shares of common stock outstanding held by 100 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PERFORMANCE GRAPH</w:t>
      </w:r>
    </w:p>
    <w:p>
      <w:pPr>
        <w:spacing w:after="0" w:line="76" w:lineRule="exact"/>
        <w:rPr>
          <w:sz w:val="20"/>
          <w:szCs w:val="20"/>
          <w:color w:val="auto"/>
        </w:rPr>
      </w:pPr>
    </w:p>
    <w:p>
      <w:pPr>
        <w:ind w:firstLine="340"/>
        <w:spacing w:after="0" w:line="262" w:lineRule="auto"/>
        <w:rPr>
          <w:sz w:val="20"/>
          <w:szCs w:val="20"/>
          <w:color w:val="auto"/>
        </w:rPr>
      </w:pPr>
      <w:r>
        <w:rPr>
          <w:rFonts w:ascii="Arial" w:cs="Arial" w:eastAsia="Arial" w:hAnsi="Arial"/>
          <w:sz w:val="14"/>
          <w:szCs w:val="14"/>
          <w:color w:val="auto"/>
        </w:rPr>
        <w:t>The graph set forth below compares the cumulative total stockholder return on our common stock for the previous five years, during which our common stock was traded on the Nasdaq Capital Market, as compared to the cumulative total return of the Nasdaq Composite Index and the Russell 2000 Index over the same period. This graph assumes the investment of $100,000 in our common stock at the closing price on January 1, 2015, and an equivalent amount in the Nasdaq Composite Index and the Russell 2000 Index on that date, and assumes the reinvestment of dividends, if any. We have never paid dividends on our common stock and have no present plans to do so.</w:t>
      </w:r>
    </w:p>
    <w:p>
      <w:pPr>
        <w:spacing w:after="0" w:line="103" w:lineRule="exact"/>
        <w:rPr>
          <w:sz w:val="20"/>
          <w:szCs w:val="20"/>
          <w:color w:val="auto"/>
        </w:rPr>
      </w:pPr>
    </w:p>
    <w:p>
      <w:pPr>
        <w:ind w:right="500" w:firstLine="340"/>
        <w:spacing w:after="0" w:line="267" w:lineRule="auto"/>
        <w:rPr>
          <w:sz w:val="20"/>
          <w:szCs w:val="20"/>
          <w:color w:val="auto"/>
        </w:rPr>
      </w:pPr>
      <w:r>
        <w:rPr>
          <w:rFonts w:ascii="Arial" w:cs="Arial" w:eastAsia="Arial" w:hAnsi="Arial"/>
          <w:sz w:val="14"/>
          <w:szCs w:val="14"/>
          <w:color w:val="auto"/>
        </w:rPr>
        <w:t>Since there is no published industry or line-of-business index for our business reflective of our performance, nor do we believe we can reasonably identify a peer group, we measure our performance against issuers with similar market capitalizations. We selected the Russell 2000 Index because it measures the performance of a broad range of companies with lower market capitalizations than those companies included in the S&amp;P 500 Index.</w:t>
      </w:r>
    </w:p>
    <w:p>
      <w:pPr>
        <w:spacing w:after="0" w:line="99" w:lineRule="exact"/>
        <w:rPr>
          <w:sz w:val="20"/>
          <w:szCs w:val="20"/>
          <w:color w:val="auto"/>
        </w:rPr>
      </w:pPr>
    </w:p>
    <w:p>
      <w:pPr>
        <w:ind w:right="440" w:firstLine="340"/>
        <w:spacing w:after="0" w:line="281" w:lineRule="auto"/>
        <w:rPr>
          <w:sz w:val="20"/>
          <w:szCs w:val="20"/>
          <w:color w:val="auto"/>
        </w:rPr>
      </w:pPr>
      <w:r>
        <w:rPr>
          <w:rFonts w:ascii="Arial" w:cs="Arial" w:eastAsia="Arial" w:hAnsi="Arial"/>
          <w:sz w:val="14"/>
          <w:szCs w:val="14"/>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80"/>
          </w:cols>
          <w:pgMar w:left="300" w:top="125" w:right="31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243840</wp:posOffset>
            </wp:positionV>
            <wp:extent cx="4594860" cy="32677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94860" cy="326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340"/>
        <w:spacing w:after="0" w:line="368" w:lineRule="auto"/>
        <w:rPr>
          <w:sz w:val="20"/>
          <w:szCs w:val="20"/>
          <w:color w:val="auto"/>
        </w:rPr>
      </w:pPr>
      <w:r>
        <w:rPr>
          <w:rFonts w:ascii="Arial" w:cs="Arial" w:eastAsia="Arial" w:hAnsi="Arial"/>
          <w:sz w:val="12"/>
          <w:szCs w:val="12"/>
          <w:color w:val="auto"/>
        </w:rPr>
        <w:t>The preceding Stock Performance Graph is not deemed filed with the Securities and Exchange Commission and shall not be incorporated by reference in any of our filings under the Securities Act of 1933, as amended, or the Securities Exchange Act of 1934, as amended, whether made before or after the date hereof and irrespective of any general incorporation language in any such filing.</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76" w:lineRule="exact"/>
        <w:rPr>
          <w:sz w:val="20"/>
          <w:szCs w:val="20"/>
          <w:color w:val="auto"/>
        </w:rPr>
      </w:pPr>
    </w:p>
    <w:p>
      <w:pPr>
        <w:ind w:right="140" w:firstLine="340"/>
        <w:spacing w:after="0" w:line="267" w:lineRule="auto"/>
        <w:rPr>
          <w:sz w:val="20"/>
          <w:szCs w:val="20"/>
          <w:color w:val="auto"/>
        </w:rPr>
      </w:pPr>
      <w:r>
        <w:rPr>
          <w:rFonts w:ascii="Arial" w:cs="Arial" w:eastAsia="Arial" w:hAnsi="Arial"/>
          <w:sz w:val="14"/>
          <w:szCs w:val="14"/>
          <w:color w:val="auto"/>
        </w:rPr>
        <w:t>Since our inception, we have never declared or paid any cash dividends on our common stock. We currently expect to retain any future earnings for use in the operation and expansion of our business, and therefore do not anticipate paying any cash dividends in the foreseeable future. In addition, our debt facility with Silicon Valley Bank restricts us from paying cash dividends on our capital stock without the bank’s prior written consent.</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Unregistered Sales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Purchases of Equity Securities by the Issuer and Affiliated Parties-</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6.</w:t>
        <w:tab/>
        <w:t>SELECTED FINANCIAL DATA</w:t>
      </w:r>
    </w:p>
    <w:p>
      <w:pPr>
        <w:spacing w:after="0" w:line="76" w:lineRule="exact"/>
        <w:rPr>
          <w:sz w:val="20"/>
          <w:szCs w:val="20"/>
          <w:color w:val="auto"/>
        </w:rPr>
      </w:pPr>
    </w:p>
    <w:p>
      <w:pPr>
        <w:jc w:val="both"/>
        <w:ind w:right="80" w:firstLine="340"/>
        <w:spacing w:after="0" w:line="267" w:lineRule="auto"/>
        <w:rPr>
          <w:sz w:val="20"/>
          <w:szCs w:val="20"/>
          <w:color w:val="auto"/>
        </w:rPr>
      </w:pPr>
      <w:r>
        <w:rPr>
          <w:rFonts w:ascii="Arial" w:cs="Arial" w:eastAsia="Arial" w:hAnsi="Arial"/>
          <w:sz w:val="14"/>
          <w:szCs w:val="14"/>
          <w:color w:val="auto"/>
        </w:rPr>
        <w:t>The consolidated statement of operations data for each of the years ended December 31, 2019 and 2018 and the consolidated balance sheet data as of December 31, 2019 and 2018 have been derived from our audited consolidated financial statements appearing elsewhere in this report. The consolidated statement of operations data for the years ended December 31, 2017, 2016 and 2015 and the consolidated balance sheet data as of December 31, 2017, 2016 and 2015 have been derived from</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00"/>
          </w:cols>
          <w:pgMar w:left="300" w:top="125" w:right="39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our audited consolidated financial statements that do not appear in this report. The following selected consolidated financial data should be read in conjunction with our consolidated financial statements and the accompanying notes and “Management’s Discussion and Analysis of Financial Condition and Results of Operations” included at Part II, Item 7 in this Annual Report on Form 10-K. The selected data in this section is not intended to replace the consolidated financial statements, and the historical results are not necessarily indicative of the results to be expected in any future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139700</wp:posOffset>
            </wp:positionV>
            <wp:extent cx="6569075" cy="134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9075" cy="134620"/>
                    </a:xfrm>
                    <a:prstGeom prst="rect">
                      <a:avLst/>
                    </a:prstGeom>
                    <a:noFill/>
                  </pic:spPr>
                </pic:pic>
              </a:graphicData>
            </a:graphic>
          </wp:anchor>
        </w:drawing>
      </w:r>
    </w:p>
    <w:p>
      <w:pPr>
        <w:spacing w:after="0" w:line="207"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3324860</wp:posOffset>
            </wp:positionH>
            <wp:positionV relativeFrom="paragraph">
              <wp:posOffset>28575</wp:posOffset>
            </wp:positionV>
            <wp:extent cx="354393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43935" cy="698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p>
      <w:pPr>
        <w:spacing w:after="0" w:line="112" w:lineRule="exact"/>
        <w:rPr>
          <w:sz w:val="20"/>
          <w:szCs w:val="20"/>
          <w:color w:val="auto"/>
        </w:rPr>
      </w:pPr>
    </w:p>
    <w:p>
      <w:pPr>
        <w:ind w:left="500"/>
        <w:spacing w:after="0"/>
        <w:rPr>
          <w:sz w:val="20"/>
          <w:szCs w:val="20"/>
          <w:color w:val="auto"/>
        </w:rPr>
      </w:pPr>
      <w:r>
        <w:rPr>
          <w:rFonts w:ascii="Arial" w:cs="Arial" w:eastAsia="Arial" w:hAnsi="Arial"/>
          <w:sz w:val="11"/>
          <w:szCs w:val="11"/>
          <w:b w:val="1"/>
          <w:bCs w:val="1"/>
          <w:color w:val="auto"/>
        </w:rPr>
        <w:t>In thousands, except share and per share data</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1"/>
          <w:szCs w:val="11"/>
          <w:b w:val="1"/>
          <w:bCs w:val="1"/>
          <w:color w:val="auto"/>
        </w:rPr>
        <w:t>Consolidated Statement of Operations Data:</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11"/>
          <w:szCs w:val="11"/>
          <w:color w:val="auto"/>
        </w:rPr>
        <w:t>Revenues:</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1"/>
          <w:szCs w:val="11"/>
          <w:color w:val="auto"/>
        </w:rPr>
        <w:t>Products and licensing</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1"/>
          <w:szCs w:val="11"/>
          <w:color w:val="auto"/>
        </w:rPr>
        <w:t>Technology development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1"/>
          <w:szCs w:val="11"/>
          <w:color w:val="auto"/>
        </w:rPr>
        <w:t>Total revenues (1)</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1"/>
          <w:szCs w:val="11"/>
          <w:color w:val="auto"/>
        </w:rPr>
        <w:t>Cost of revenues:</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1"/>
          <w:szCs w:val="11"/>
          <w:color w:val="auto"/>
        </w:rPr>
        <w:t>Products and licensing</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1"/>
          <w:szCs w:val="11"/>
          <w:color w:val="auto"/>
        </w:rPr>
        <w:t>Technology development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1"/>
          <w:szCs w:val="11"/>
          <w:color w:val="auto"/>
        </w:rPr>
        <w:t>Total cost of revenues</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1"/>
          <w:szCs w:val="11"/>
          <w:color w:val="auto"/>
        </w:rPr>
        <w:t>Gross profit</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1"/>
          <w:szCs w:val="11"/>
          <w:color w:val="auto"/>
        </w:rPr>
        <w:t>Operating expense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1"/>
          <w:szCs w:val="11"/>
          <w:color w:val="auto"/>
        </w:rPr>
        <w:t>Operating income/(loss)</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1"/>
          <w:szCs w:val="11"/>
          <w:color w:val="auto"/>
        </w:rPr>
        <w:t>Other (expense)/income, net</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1"/>
          <w:szCs w:val="11"/>
          <w:color w:val="auto"/>
        </w:rPr>
        <w:t>Interest income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1"/>
          <w:szCs w:val="11"/>
          <w:color w:val="auto"/>
        </w:rPr>
        <w:t>Interest expense, net</w:t>
      </w:r>
    </w:p>
    <w:p>
      <w:pPr>
        <w:spacing w:after="0" w:line="86" w:lineRule="exact"/>
        <w:rPr>
          <w:sz w:val="20"/>
          <w:szCs w:val="20"/>
          <w:color w:val="auto"/>
        </w:rPr>
      </w:pPr>
    </w:p>
    <w:p>
      <w:pPr>
        <w:ind w:left="500" w:right="1200"/>
        <w:spacing w:after="0" w:line="412" w:lineRule="auto"/>
        <w:rPr>
          <w:sz w:val="20"/>
          <w:szCs w:val="20"/>
          <w:color w:val="auto"/>
        </w:rPr>
      </w:pPr>
      <w:r>
        <w:rPr>
          <w:rFonts w:ascii="Arial" w:cs="Arial" w:eastAsia="Arial" w:hAnsi="Arial"/>
          <w:sz w:val="11"/>
          <w:szCs w:val="11"/>
          <w:color w:val="auto"/>
        </w:rPr>
        <w:t>Income/(loss) from continuing operations before income taxes Income tax benefit/(expense)</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1"/>
          <w:szCs w:val="11"/>
          <w:color w:val="auto"/>
        </w:rPr>
        <w:t>Net income/(loss) from continuing operations</w:t>
      </w:r>
    </w:p>
    <w:p>
      <w:pPr>
        <w:spacing w:after="0" w:line="96" w:lineRule="exact"/>
        <w:rPr>
          <w:sz w:val="20"/>
          <w:szCs w:val="20"/>
          <w:color w:val="auto"/>
        </w:rPr>
      </w:pPr>
    </w:p>
    <w:p>
      <w:pPr>
        <w:ind w:left="500" w:right="1400"/>
        <w:spacing w:after="0" w:line="412" w:lineRule="auto"/>
        <w:rPr>
          <w:sz w:val="20"/>
          <w:szCs w:val="20"/>
          <w:color w:val="auto"/>
        </w:rPr>
      </w:pPr>
      <w:r>
        <w:rPr>
          <w:rFonts w:ascii="Arial" w:cs="Arial" w:eastAsia="Arial" w:hAnsi="Arial"/>
          <w:sz w:val="11"/>
          <w:szCs w:val="11"/>
          <w:color w:val="auto"/>
        </w:rPr>
        <w:t>Income from discontinued operations, net of income taxes Net income/(loss)</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1"/>
          <w:szCs w:val="11"/>
          <w:color w:val="auto"/>
        </w:rPr>
        <w:t>Less: Preferred stock dividend</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1"/>
          <w:szCs w:val="11"/>
          <w:color w:val="auto"/>
        </w:rPr>
        <w:t>Net income/(loss) attributable to common stockholders</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11"/>
          <w:szCs w:val="11"/>
          <w:color w:val="auto"/>
        </w:rPr>
        <w:t>Net income/(loss) per share from continuing operations: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2019</w:t>
            </w: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2018</w:t>
            </w: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2017</w:t>
            </w: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2016</w:t>
            </w: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2015</w:t>
            </w:r>
          </w:p>
        </w:tc>
      </w:tr>
      <w:tr>
        <w:trPr>
          <w:trHeight w:val="623"/>
        </w:trPr>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44,491</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21,950</w:t>
            </w:r>
          </w:p>
        </w:tc>
        <w:tc>
          <w:tcPr>
            <w:tcW w:w="3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14,505</w:t>
            </w:r>
          </w:p>
        </w:tc>
        <w:tc>
          <w:tcPr>
            <w:tcW w:w="3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13,323</w:t>
            </w:r>
          </w:p>
        </w:tc>
        <w:tc>
          <w:tcPr>
            <w:tcW w:w="3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12,975</w:t>
            </w:r>
          </w:p>
        </w:tc>
      </w:tr>
      <w:tr>
        <w:trPr>
          <w:trHeight w:val="216"/>
        </w:trPr>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26,025</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20,968</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18,576</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16,281</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13,599</w:t>
            </w:r>
          </w:p>
        </w:tc>
      </w:tr>
      <w:tr>
        <w:trPr>
          <w:trHeight w:val="199"/>
        </w:trPr>
        <w:tc>
          <w:tcPr>
            <w:tcW w:w="240" w:type="dxa"/>
            <w:vAlign w:val="bottom"/>
          </w:tcPr>
          <w:p>
            <w:pPr>
              <w:spacing w:after="0"/>
              <w:rPr>
                <w:sz w:val="17"/>
                <w:szCs w:val="17"/>
                <w:color w:val="auto"/>
              </w:rPr>
            </w:pP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70,516</w:t>
            </w:r>
          </w:p>
        </w:tc>
        <w:tc>
          <w:tcPr>
            <w:tcW w:w="320" w:type="dxa"/>
            <w:vAlign w:val="bottom"/>
          </w:tcPr>
          <w:p>
            <w:pPr>
              <w:spacing w:after="0"/>
              <w:rPr>
                <w:sz w:val="17"/>
                <w:szCs w:val="17"/>
                <w:color w:val="auto"/>
              </w:rPr>
            </w:pP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42,917</w:t>
            </w:r>
          </w:p>
        </w:tc>
        <w:tc>
          <w:tcPr>
            <w:tcW w:w="320" w:type="dxa"/>
            <w:vAlign w:val="bottom"/>
          </w:tcPr>
          <w:p>
            <w:pPr>
              <w:spacing w:after="0"/>
              <w:rPr>
                <w:sz w:val="17"/>
                <w:szCs w:val="17"/>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33,082</w:t>
            </w:r>
          </w:p>
        </w:tc>
        <w:tc>
          <w:tcPr>
            <w:tcW w:w="300" w:type="dxa"/>
            <w:vAlign w:val="bottom"/>
          </w:tcPr>
          <w:p>
            <w:pPr>
              <w:spacing w:after="0"/>
              <w:rPr>
                <w:sz w:val="17"/>
                <w:szCs w:val="17"/>
                <w:color w:val="auto"/>
              </w:rPr>
            </w:pP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29,604</w:t>
            </w:r>
          </w:p>
        </w:tc>
        <w:tc>
          <w:tcPr>
            <w:tcW w:w="300" w:type="dxa"/>
            <w:vAlign w:val="bottom"/>
          </w:tcPr>
          <w:p>
            <w:pPr>
              <w:spacing w:after="0"/>
              <w:rPr>
                <w:sz w:val="17"/>
                <w:szCs w:val="17"/>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26,574</w:t>
            </w:r>
          </w:p>
        </w:tc>
      </w:tr>
      <w:tr>
        <w:trPr>
          <w:trHeight w:val="424"/>
        </w:trPr>
        <w:tc>
          <w:tcPr>
            <w:tcW w:w="240" w:type="dxa"/>
            <w:vAlign w:val="bottom"/>
          </w:tcPr>
          <w:p>
            <w:pPr>
              <w:spacing w:after="0"/>
              <w:rPr>
                <w:sz w:val="24"/>
                <w:szCs w:val="24"/>
                <w:color w:val="auto"/>
              </w:rPr>
            </w:pP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16,684</w:t>
            </w:r>
          </w:p>
        </w:tc>
        <w:tc>
          <w:tcPr>
            <w:tcW w:w="320" w:type="dxa"/>
            <w:vAlign w:val="bottom"/>
          </w:tcPr>
          <w:p>
            <w:pPr>
              <w:spacing w:after="0"/>
              <w:rPr>
                <w:sz w:val="24"/>
                <w:szCs w:val="24"/>
                <w:color w:val="auto"/>
              </w:rPr>
            </w:pP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8,079</w:t>
            </w:r>
          </w:p>
        </w:tc>
        <w:tc>
          <w:tcPr>
            <w:tcW w:w="320" w:type="dxa"/>
            <w:vAlign w:val="bottom"/>
          </w:tcPr>
          <w:p>
            <w:pPr>
              <w:spacing w:after="0"/>
              <w:rPr>
                <w:sz w:val="24"/>
                <w:szCs w:val="24"/>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5,724</w:t>
            </w:r>
          </w:p>
        </w:tc>
        <w:tc>
          <w:tcPr>
            <w:tcW w:w="300" w:type="dxa"/>
            <w:vAlign w:val="bottom"/>
          </w:tcPr>
          <w:p>
            <w:pPr>
              <w:spacing w:after="0"/>
              <w:rPr>
                <w:sz w:val="24"/>
                <w:szCs w:val="24"/>
                <w:color w:val="auto"/>
              </w:rPr>
            </w:pP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5,417</w:t>
            </w:r>
          </w:p>
        </w:tc>
        <w:tc>
          <w:tcPr>
            <w:tcW w:w="300" w:type="dxa"/>
            <w:vAlign w:val="bottom"/>
          </w:tcPr>
          <w:p>
            <w:pPr>
              <w:spacing w:after="0"/>
              <w:rPr>
                <w:sz w:val="24"/>
                <w:szCs w:val="24"/>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5,651</w:t>
            </w:r>
          </w:p>
        </w:tc>
      </w:tr>
      <w:tr>
        <w:trPr>
          <w:trHeight w:val="216"/>
        </w:trPr>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18,649</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15,400</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13,988</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12,473</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10,379</w:t>
            </w:r>
          </w:p>
        </w:tc>
      </w:tr>
      <w:tr>
        <w:trPr>
          <w:trHeight w:val="203"/>
        </w:trPr>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35,333</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23,479</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19,713</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17,890</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16,030</w:t>
            </w:r>
          </w:p>
        </w:tc>
      </w:tr>
      <w:tr>
        <w:trPr>
          <w:trHeight w:val="199"/>
        </w:trPr>
        <w:tc>
          <w:tcPr>
            <w:tcW w:w="240" w:type="dxa"/>
            <w:vAlign w:val="bottom"/>
          </w:tcPr>
          <w:p>
            <w:pPr>
              <w:spacing w:after="0"/>
              <w:rPr>
                <w:sz w:val="17"/>
                <w:szCs w:val="17"/>
                <w:color w:val="auto"/>
              </w:rPr>
            </w:pP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35,182</w:t>
            </w:r>
          </w:p>
        </w:tc>
        <w:tc>
          <w:tcPr>
            <w:tcW w:w="320" w:type="dxa"/>
            <w:vAlign w:val="bottom"/>
          </w:tcPr>
          <w:p>
            <w:pPr>
              <w:spacing w:after="0"/>
              <w:rPr>
                <w:sz w:val="17"/>
                <w:szCs w:val="17"/>
                <w:color w:val="auto"/>
              </w:rPr>
            </w:pP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19,438</w:t>
            </w:r>
          </w:p>
        </w:tc>
        <w:tc>
          <w:tcPr>
            <w:tcW w:w="320" w:type="dxa"/>
            <w:vAlign w:val="bottom"/>
          </w:tcPr>
          <w:p>
            <w:pPr>
              <w:spacing w:after="0"/>
              <w:rPr>
                <w:sz w:val="17"/>
                <w:szCs w:val="17"/>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13,369</w:t>
            </w:r>
          </w:p>
        </w:tc>
        <w:tc>
          <w:tcPr>
            <w:tcW w:w="300" w:type="dxa"/>
            <w:vAlign w:val="bottom"/>
          </w:tcPr>
          <w:p>
            <w:pPr>
              <w:spacing w:after="0"/>
              <w:rPr>
                <w:sz w:val="17"/>
                <w:szCs w:val="17"/>
                <w:color w:val="auto"/>
              </w:rPr>
            </w:pP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11,714</w:t>
            </w:r>
          </w:p>
        </w:tc>
        <w:tc>
          <w:tcPr>
            <w:tcW w:w="300" w:type="dxa"/>
            <w:vAlign w:val="bottom"/>
          </w:tcPr>
          <w:p>
            <w:pPr>
              <w:spacing w:after="0"/>
              <w:rPr>
                <w:sz w:val="17"/>
                <w:szCs w:val="17"/>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10,544</w:t>
            </w:r>
          </w:p>
        </w:tc>
      </w:tr>
      <w:tr>
        <w:trPr>
          <w:trHeight w:val="216"/>
        </w:trPr>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31,867</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18,560</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15,577</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15,840</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17,359</w:t>
            </w:r>
          </w:p>
        </w:tc>
      </w:tr>
      <w:tr>
        <w:trPr>
          <w:trHeight w:val="203"/>
        </w:trPr>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3,315</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878</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(2,208)</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(4,126)</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(6,815)</w:t>
            </w:r>
          </w:p>
        </w:tc>
      </w:tr>
      <w:tr>
        <w:trPr>
          <w:trHeight w:val="199"/>
        </w:trPr>
        <w:tc>
          <w:tcPr>
            <w:tcW w:w="240" w:type="dxa"/>
            <w:vAlign w:val="bottom"/>
          </w:tcPr>
          <w:p>
            <w:pPr>
              <w:spacing w:after="0"/>
              <w:rPr>
                <w:sz w:val="17"/>
                <w:szCs w:val="17"/>
                <w:color w:val="auto"/>
              </w:rPr>
            </w:pP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(5)</w:t>
            </w:r>
          </w:p>
        </w:tc>
        <w:tc>
          <w:tcPr>
            <w:tcW w:w="320" w:type="dxa"/>
            <w:vAlign w:val="bottom"/>
          </w:tcPr>
          <w:p>
            <w:pPr>
              <w:spacing w:after="0"/>
              <w:rPr>
                <w:sz w:val="17"/>
                <w:szCs w:val="17"/>
                <w:color w:val="auto"/>
              </w:rPr>
            </w:pP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(17)</w:t>
            </w:r>
          </w:p>
        </w:tc>
        <w:tc>
          <w:tcPr>
            <w:tcW w:w="320" w:type="dxa"/>
            <w:vAlign w:val="bottom"/>
          </w:tcPr>
          <w:p>
            <w:pPr>
              <w:spacing w:after="0"/>
              <w:rPr>
                <w:sz w:val="17"/>
                <w:szCs w:val="17"/>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26</w:t>
            </w:r>
          </w:p>
        </w:tc>
        <w:tc>
          <w:tcPr>
            <w:tcW w:w="300" w:type="dxa"/>
            <w:vAlign w:val="bottom"/>
          </w:tcPr>
          <w:p>
            <w:pPr>
              <w:spacing w:after="0"/>
              <w:rPr>
                <w:sz w:val="17"/>
                <w:szCs w:val="17"/>
                <w:color w:val="auto"/>
              </w:rPr>
            </w:pP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28</w:t>
            </w:r>
          </w:p>
        </w:tc>
        <w:tc>
          <w:tcPr>
            <w:tcW w:w="30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(53)</w:t>
            </w:r>
          </w:p>
        </w:tc>
      </w:tr>
      <w:tr>
        <w:trPr>
          <w:trHeight w:val="212"/>
        </w:trPr>
        <w:tc>
          <w:tcPr>
            <w:tcW w:w="240" w:type="dxa"/>
            <w:vAlign w:val="bottom"/>
          </w:tcPr>
          <w:p>
            <w:pPr>
              <w:spacing w:after="0"/>
              <w:rPr>
                <w:sz w:val="18"/>
                <w:szCs w:val="18"/>
                <w:color w:val="auto"/>
              </w:rPr>
            </w:pP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394</w:t>
            </w:r>
          </w:p>
        </w:tc>
        <w:tc>
          <w:tcPr>
            <w:tcW w:w="320" w:type="dxa"/>
            <w:vAlign w:val="bottom"/>
          </w:tcPr>
          <w:p>
            <w:pPr>
              <w:spacing w:after="0"/>
              <w:rPr>
                <w:sz w:val="18"/>
                <w:szCs w:val="18"/>
                <w:color w:val="auto"/>
              </w:rPr>
            </w:pP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550</w:t>
            </w:r>
          </w:p>
        </w:tc>
        <w:tc>
          <w:tcPr>
            <w:tcW w:w="320" w:type="dxa"/>
            <w:vAlign w:val="bottom"/>
          </w:tcPr>
          <w:p>
            <w:pPr>
              <w:spacing w:after="0"/>
              <w:rPr>
                <w:sz w:val="18"/>
                <w:szCs w:val="18"/>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8"/>
                <w:szCs w:val="18"/>
                <w:color w:val="auto"/>
              </w:rPr>
            </w:pP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216"/>
        </w:trPr>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(16)</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(124)</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(217)</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(317)</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(218)</w:t>
            </w:r>
          </w:p>
        </w:tc>
      </w:tr>
      <w:tr>
        <w:trPr>
          <w:trHeight w:val="199"/>
        </w:trPr>
        <w:tc>
          <w:tcPr>
            <w:tcW w:w="240" w:type="dxa"/>
            <w:vAlign w:val="bottom"/>
          </w:tcPr>
          <w:p>
            <w:pPr>
              <w:spacing w:after="0"/>
              <w:rPr>
                <w:sz w:val="17"/>
                <w:szCs w:val="17"/>
                <w:color w:val="auto"/>
              </w:rPr>
            </w:pP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3,688</w:t>
            </w:r>
          </w:p>
        </w:tc>
        <w:tc>
          <w:tcPr>
            <w:tcW w:w="320" w:type="dxa"/>
            <w:vAlign w:val="bottom"/>
          </w:tcPr>
          <w:p>
            <w:pPr>
              <w:spacing w:after="0"/>
              <w:rPr>
                <w:sz w:val="17"/>
                <w:szCs w:val="17"/>
                <w:color w:val="auto"/>
              </w:rPr>
            </w:pP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1,286</w:t>
            </w:r>
          </w:p>
        </w:tc>
        <w:tc>
          <w:tcPr>
            <w:tcW w:w="320" w:type="dxa"/>
            <w:vAlign w:val="bottom"/>
          </w:tcPr>
          <w:p>
            <w:pPr>
              <w:spacing w:after="0"/>
              <w:rPr>
                <w:sz w:val="17"/>
                <w:szCs w:val="17"/>
                <w:color w:val="auto"/>
              </w:rPr>
            </w:pPr>
          </w:p>
        </w:tc>
        <w:tc>
          <w:tcPr>
            <w:tcW w:w="820" w:type="dxa"/>
            <w:vAlign w:val="bottom"/>
          </w:tcPr>
          <w:p>
            <w:pPr>
              <w:jc w:val="right"/>
              <w:ind w:right="23"/>
              <w:spacing w:after="0"/>
              <w:rPr>
                <w:sz w:val="20"/>
                <w:szCs w:val="20"/>
                <w:color w:val="auto"/>
              </w:rPr>
            </w:pPr>
            <w:r>
              <w:rPr>
                <w:rFonts w:ascii="Arial" w:cs="Arial" w:eastAsia="Arial" w:hAnsi="Arial"/>
                <w:sz w:val="11"/>
                <w:szCs w:val="11"/>
                <w:color w:val="auto"/>
              </w:rPr>
              <w:t>(2,399)</w:t>
            </w:r>
          </w:p>
        </w:tc>
        <w:tc>
          <w:tcPr>
            <w:tcW w:w="300" w:type="dxa"/>
            <w:vAlign w:val="bottom"/>
          </w:tcPr>
          <w:p>
            <w:pPr>
              <w:spacing w:after="0"/>
              <w:rPr>
                <w:sz w:val="17"/>
                <w:szCs w:val="17"/>
                <w:color w:val="auto"/>
              </w:rPr>
            </w:pP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(4,415)</w:t>
            </w:r>
          </w:p>
        </w:tc>
        <w:tc>
          <w:tcPr>
            <w:tcW w:w="30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(7,086)</w:t>
            </w:r>
          </w:p>
        </w:tc>
      </w:tr>
      <w:tr>
        <w:trPr>
          <w:trHeight w:val="216"/>
        </w:trPr>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1,654</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(48)</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1,149</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136</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602</w:t>
            </w:r>
          </w:p>
        </w:tc>
      </w:tr>
      <w:tr>
        <w:trPr>
          <w:trHeight w:val="199"/>
        </w:trPr>
        <w:tc>
          <w:tcPr>
            <w:tcW w:w="240" w:type="dxa"/>
            <w:vAlign w:val="bottom"/>
          </w:tcPr>
          <w:p>
            <w:pPr>
              <w:spacing w:after="0"/>
              <w:rPr>
                <w:sz w:val="17"/>
                <w:szCs w:val="17"/>
                <w:color w:val="auto"/>
              </w:rPr>
            </w:pP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5,343</w:t>
            </w:r>
          </w:p>
        </w:tc>
        <w:tc>
          <w:tcPr>
            <w:tcW w:w="320" w:type="dxa"/>
            <w:vAlign w:val="bottom"/>
          </w:tcPr>
          <w:p>
            <w:pPr>
              <w:spacing w:after="0"/>
              <w:rPr>
                <w:sz w:val="17"/>
                <w:szCs w:val="17"/>
                <w:color w:val="auto"/>
              </w:rPr>
            </w:pP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1,238</w:t>
            </w:r>
          </w:p>
        </w:tc>
        <w:tc>
          <w:tcPr>
            <w:tcW w:w="320" w:type="dxa"/>
            <w:vAlign w:val="bottom"/>
          </w:tcPr>
          <w:p>
            <w:pPr>
              <w:spacing w:after="0"/>
              <w:rPr>
                <w:sz w:val="17"/>
                <w:szCs w:val="17"/>
                <w:color w:val="auto"/>
              </w:rPr>
            </w:pPr>
          </w:p>
        </w:tc>
        <w:tc>
          <w:tcPr>
            <w:tcW w:w="820" w:type="dxa"/>
            <w:vAlign w:val="bottom"/>
          </w:tcPr>
          <w:p>
            <w:pPr>
              <w:jc w:val="right"/>
              <w:ind w:right="23"/>
              <w:spacing w:after="0"/>
              <w:rPr>
                <w:sz w:val="20"/>
                <w:szCs w:val="20"/>
                <w:color w:val="auto"/>
              </w:rPr>
            </w:pPr>
            <w:r>
              <w:rPr>
                <w:rFonts w:ascii="Arial" w:cs="Arial" w:eastAsia="Arial" w:hAnsi="Arial"/>
                <w:sz w:val="11"/>
                <w:szCs w:val="11"/>
                <w:color w:val="auto"/>
              </w:rPr>
              <w:t>(1,251)</w:t>
            </w:r>
          </w:p>
        </w:tc>
        <w:tc>
          <w:tcPr>
            <w:tcW w:w="300" w:type="dxa"/>
            <w:vAlign w:val="bottom"/>
          </w:tcPr>
          <w:p>
            <w:pPr>
              <w:spacing w:after="0"/>
              <w:rPr>
                <w:sz w:val="17"/>
                <w:szCs w:val="17"/>
                <w:color w:val="auto"/>
              </w:rPr>
            </w:pP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(4,279)</w:t>
            </w:r>
          </w:p>
        </w:tc>
        <w:tc>
          <w:tcPr>
            <w:tcW w:w="30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(6,484)</w:t>
            </w:r>
          </w:p>
        </w:tc>
      </w:tr>
      <w:tr>
        <w:trPr>
          <w:trHeight w:val="216"/>
        </w:trPr>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9,766</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15,866</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1,909</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8,801</w:t>
            </w:r>
          </w:p>
        </w:tc>
      </w:tr>
      <w:tr>
        <w:trPr>
          <w:trHeight w:val="199"/>
        </w:trPr>
        <w:tc>
          <w:tcPr>
            <w:tcW w:w="240" w:type="dxa"/>
            <w:vAlign w:val="bottom"/>
          </w:tcPr>
          <w:p>
            <w:pPr>
              <w:spacing w:after="0"/>
              <w:rPr>
                <w:sz w:val="17"/>
                <w:szCs w:val="17"/>
                <w:color w:val="auto"/>
              </w:rPr>
            </w:pP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5,343</w:t>
            </w:r>
          </w:p>
        </w:tc>
        <w:tc>
          <w:tcPr>
            <w:tcW w:w="320" w:type="dxa"/>
            <w:vAlign w:val="bottom"/>
          </w:tcPr>
          <w:p>
            <w:pPr>
              <w:spacing w:after="0"/>
              <w:rPr>
                <w:sz w:val="17"/>
                <w:szCs w:val="17"/>
                <w:color w:val="auto"/>
              </w:rPr>
            </w:pP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11,004</w:t>
            </w:r>
          </w:p>
        </w:tc>
        <w:tc>
          <w:tcPr>
            <w:tcW w:w="320" w:type="dxa"/>
            <w:vAlign w:val="bottom"/>
          </w:tcPr>
          <w:p>
            <w:pPr>
              <w:spacing w:after="0"/>
              <w:rPr>
                <w:sz w:val="17"/>
                <w:szCs w:val="17"/>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14,615</w:t>
            </w:r>
          </w:p>
        </w:tc>
        <w:tc>
          <w:tcPr>
            <w:tcW w:w="300" w:type="dxa"/>
            <w:vAlign w:val="bottom"/>
          </w:tcPr>
          <w:p>
            <w:pPr>
              <w:spacing w:after="0"/>
              <w:rPr>
                <w:sz w:val="17"/>
                <w:szCs w:val="17"/>
                <w:color w:val="auto"/>
              </w:rPr>
            </w:pP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(2,370)</w:t>
            </w:r>
          </w:p>
        </w:tc>
        <w:tc>
          <w:tcPr>
            <w:tcW w:w="300" w:type="dxa"/>
            <w:vAlign w:val="bottom"/>
          </w:tcPr>
          <w:p>
            <w:pPr>
              <w:spacing w:after="0"/>
              <w:rPr>
                <w:sz w:val="17"/>
                <w:szCs w:val="17"/>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2,317</w:t>
            </w:r>
          </w:p>
        </w:tc>
      </w:tr>
      <w:tr>
        <w:trPr>
          <w:trHeight w:val="216"/>
        </w:trPr>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285</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257</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147</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105</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85</w:t>
            </w:r>
          </w:p>
        </w:tc>
      </w:tr>
      <w:tr>
        <w:trPr>
          <w:trHeight w:val="203"/>
        </w:trPr>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5,057</w:t>
            </w:r>
          </w:p>
        </w:tc>
        <w:tc>
          <w:tcPr>
            <w:tcW w:w="3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10,747</w:t>
            </w:r>
          </w:p>
        </w:tc>
        <w:tc>
          <w:tcPr>
            <w:tcW w:w="3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14,468</w:t>
            </w:r>
          </w:p>
        </w:tc>
        <w:tc>
          <w:tcPr>
            <w:tcW w:w="3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(2,475)</w:t>
            </w:r>
          </w:p>
        </w:tc>
        <w:tc>
          <w:tcPr>
            <w:tcW w:w="3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2,232</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-3027045</wp:posOffset>
            </wp:positionH>
            <wp:positionV relativeFrom="paragraph">
              <wp:posOffset>-3051175</wp:posOffset>
            </wp:positionV>
            <wp:extent cx="6569075" cy="141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69075" cy="141605"/>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-2774950</wp:posOffset>
            </wp:positionV>
            <wp:extent cx="6569075" cy="134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69075" cy="134620"/>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-2505710</wp:posOffset>
            </wp:positionV>
            <wp:extent cx="6569075" cy="141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69075" cy="141605"/>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-2229485</wp:posOffset>
            </wp:positionV>
            <wp:extent cx="6569075" cy="134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69075" cy="134620"/>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-1959610</wp:posOffset>
            </wp:positionV>
            <wp:extent cx="6569075" cy="141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69075" cy="141605"/>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-1677035</wp:posOffset>
            </wp:positionV>
            <wp:extent cx="6569075" cy="134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69075" cy="134620"/>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-1400810</wp:posOffset>
            </wp:positionV>
            <wp:extent cx="6569075" cy="141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69075" cy="141605"/>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-1124585</wp:posOffset>
            </wp:positionV>
            <wp:extent cx="6569075" cy="134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69075" cy="134620"/>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-848360</wp:posOffset>
            </wp:positionV>
            <wp:extent cx="6569075" cy="134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69075" cy="134620"/>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-572135</wp:posOffset>
            </wp:positionV>
            <wp:extent cx="6569075" cy="134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69075" cy="134620"/>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-295910</wp:posOffset>
            </wp:positionV>
            <wp:extent cx="6569075" cy="134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69075" cy="134620"/>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-12700</wp:posOffset>
            </wp:positionV>
            <wp:extent cx="6569075" cy="147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69075" cy="147955"/>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4520" w:space="720"/>
            <w:col w:w="5960"/>
          </w:cols>
          <w:pgMar w:left="300" w:top="125" w:right="399" w:bottom="1440" w:gutter="0" w:footer="0" w:header="0"/>
          <w:type w:val="continuous"/>
        </w:sectPr>
      </w:pPr>
    </w:p>
    <w:p>
      <w:pPr>
        <w:ind w:left="760"/>
        <w:spacing w:after="0"/>
        <w:rPr>
          <w:sz w:val="20"/>
          <w:szCs w:val="20"/>
          <w:color w:val="auto"/>
        </w:rPr>
      </w:pPr>
      <w:r>
        <w:rPr>
          <w:rFonts w:ascii="Arial" w:cs="Arial" w:eastAsia="Arial" w:hAnsi="Arial"/>
          <w:sz w:val="11"/>
          <w:szCs w:val="11"/>
          <w:color w:val="auto"/>
        </w:rPr>
        <w:t>Basic</w:t>
      </w:r>
    </w:p>
    <w:p>
      <w:pPr>
        <w:spacing w:after="0" w:line="86" w:lineRule="exact"/>
        <w:rPr>
          <w:sz w:val="20"/>
          <w:szCs w:val="20"/>
          <w:color w:val="auto"/>
        </w:rPr>
      </w:pPr>
    </w:p>
    <w:p>
      <w:pPr>
        <w:ind w:left="740"/>
        <w:spacing w:after="0"/>
        <w:rPr>
          <w:sz w:val="20"/>
          <w:szCs w:val="20"/>
          <w:color w:val="auto"/>
        </w:rPr>
      </w:pPr>
      <w:r>
        <w:rPr>
          <w:rFonts w:ascii="Arial" w:cs="Arial" w:eastAsia="Arial" w:hAnsi="Arial"/>
          <w:sz w:val="11"/>
          <w:szCs w:val="11"/>
          <w:color w:val="auto"/>
        </w:rPr>
        <w:t>Diluted</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1"/>
          <w:szCs w:val="11"/>
          <w:color w:val="auto"/>
        </w:rPr>
        <w:t>Net income per share from discontinued operations:</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1"/>
          <w:szCs w:val="11"/>
          <w:color w:val="auto"/>
        </w:rPr>
        <w:t>Basic</w:t>
      </w:r>
    </w:p>
    <w:p>
      <w:pPr>
        <w:spacing w:after="0" w:line="86" w:lineRule="exact"/>
        <w:rPr>
          <w:sz w:val="20"/>
          <w:szCs w:val="20"/>
          <w:color w:val="auto"/>
        </w:rPr>
      </w:pPr>
    </w:p>
    <w:p>
      <w:pPr>
        <w:ind w:left="740"/>
        <w:spacing w:after="0"/>
        <w:rPr>
          <w:sz w:val="20"/>
          <w:szCs w:val="20"/>
          <w:color w:val="auto"/>
        </w:rPr>
      </w:pPr>
      <w:r>
        <w:rPr>
          <w:rFonts w:ascii="Arial" w:cs="Arial" w:eastAsia="Arial" w:hAnsi="Arial"/>
          <w:sz w:val="11"/>
          <w:szCs w:val="11"/>
          <w:color w:val="auto"/>
        </w:rPr>
        <w:t>Diluted</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0"/>
          <w:szCs w:val="10"/>
          <w:color w:val="auto"/>
        </w:rPr>
        <w:t>Net income/(loss) per share attributable to common stockholders:</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11"/>
          <w:szCs w:val="11"/>
          <w:color w:val="auto"/>
        </w:rPr>
        <w:t>Basic</w:t>
      </w:r>
    </w:p>
    <w:p>
      <w:pPr>
        <w:spacing w:after="0" w:line="86" w:lineRule="exact"/>
        <w:rPr>
          <w:sz w:val="20"/>
          <w:szCs w:val="20"/>
          <w:color w:val="auto"/>
        </w:rPr>
      </w:pPr>
    </w:p>
    <w:p>
      <w:pPr>
        <w:ind w:left="740"/>
        <w:spacing w:after="0"/>
        <w:rPr>
          <w:sz w:val="20"/>
          <w:szCs w:val="20"/>
          <w:color w:val="auto"/>
        </w:rPr>
      </w:pPr>
      <w:r>
        <w:rPr>
          <w:rFonts w:ascii="Arial" w:cs="Arial" w:eastAsia="Arial" w:hAnsi="Arial"/>
          <w:sz w:val="11"/>
          <w:szCs w:val="11"/>
          <w:color w:val="auto"/>
        </w:rPr>
        <w:t>Diluted</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1"/>
          <w:szCs w:val="11"/>
          <w:color w:val="auto"/>
        </w:rPr>
        <w:t>Weighted-average shares:</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1"/>
          <w:szCs w:val="11"/>
          <w:color w:val="auto"/>
        </w:rPr>
        <w:t>Basic</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1"/>
          <w:szCs w:val="11"/>
          <w:color w:val="auto"/>
        </w:rPr>
        <w:t>Diluted</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0.19</w:t>
            </w:r>
          </w:p>
        </w:tc>
        <w:tc>
          <w:tcPr>
            <w:tcW w:w="34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0.04</w:t>
            </w:r>
          </w:p>
        </w:tc>
        <w:tc>
          <w:tcPr>
            <w:tcW w:w="34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23"/>
              <w:spacing w:after="0"/>
              <w:rPr>
                <w:sz w:val="20"/>
                <w:szCs w:val="20"/>
                <w:color w:val="auto"/>
              </w:rPr>
            </w:pPr>
            <w:r>
              <w:rPr>
                <w:rFonts w:ascii="Arial" w:cs="Arial" w:eastAsia="Arial" w:hAnsi="Arial"/>
                <w:sz w:val="11"/>
                <w:szCs w:val="11"/>
                <w:color w:val="auto"/>
              </w:rPr>
              <w:t>(0.05)</w:t>
            </w:r>
          </w:p>
        </w:tc>
        <w:tc>
          <w:tcPr>
            <w:tcW w:w="3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(0.16)</w:t>
            </w:r>
          </w:p>
        </w:tc>
        <w:tc>
          <w:tcPr>
            <w:tcW w:w="3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(0.28)</w:t>
            </w:r>
          </w:p>
        </w:tc>
      </w:tr>
      <w:tr>
        <w:trPr>
          <w:trHeight w:val="212"/>
        </w:trPr>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0.17</w:t>
            </w:r>
          </w:p>
        </w:tc>
        <w:tc>
          <w:tcPr>
            <w:tcW w:w="34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0.04</w:t>
            </w:r>
          </w:p>
        </w:tc>
        <w:tc>
          <w:tcPr>
            <w:tcW w:w="34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23"/>
              <w:spacing w:after="0"/>
              <w:rPr>
                <w:sz w:val="20"/>
                <w:szCs w:val="20"/>
                <w:color w:val="auto"/>
              </w:rPr>
            </w:pPr>
            <w:r>
              <w:rPr>
                <w:rFonts w:ascii="Arial" w:cs="Arial" w:eastAsia="Arial" w:hAnsi="Arial"/>
                <w:sz w:val="11"/>
                <w:szCs w:val="11"/>
                <w:color w:val="auto"/>
              </w:rPr>
              <w:t>(0.05)</w:t>
            </w:r>
          </w:p>
        </w:tc>
        <w:tc>
          <w:tcPr>
            <w:tcW w:w="3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(0.16)</w:t>
            </w:r>
          </w:p>
        </w:tc>
        <w:tc>
          <w:tcPr>
            <w:tcW w:w="3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(0.28)</w:t>
            </w:r>
          </w:p>
        </w:tc>
      </w:tr>
      <w:tr>
        <w:trPr>
          <w:trHeight w:val="424"/>
        </w:trPr>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0.35</w:t>
            </w:r>
          </w:p>
        </w:tc>
        <w:tc>
          <w:tcPr>
            <w:tcW w:w="34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0.58</w:t>
            </w:r>
          </w:p>
        </w:tc>
        <w:tc>
          <w:tcPr>
            <w:tcW w:w="3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0.07</w:t>
            </w:r>
          </w:p>
        </w:tc>
        <w:tc>
          <w:tcPr>
            <w:tcW w:w="3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0.38</w:t>
            </w:r>
          </w:p>
        </w:tc>
      </w:tr>
      <w:tr>
        <w:trPr>
          <w:trHeight w:val="212"/>
        </w:trPr>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0.30</w:t>
            </w:r>
          </w:p>
        </w:tc>
        <w:tc>
          <w:tcPr>
            <w:tcW w:w="34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0.58</w:t>
            </w:r>
          </w:p>
        </w:tc>
        <w:tc>
          <w:tcPr>
            <w:tcW w:w="3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0.07</w:t>
            </w:r>
          </w:p>
        </w:tc>
        <w:tc>
          <w:tcPr>
            <w:tcW w:w="3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0.38</w:t>
            </w:r>
          </w:p>
        </w:tc>
      </w:tr>
      <w:tr>
        <w:trPr>
          <w:trHeight w:val="424"/>
        </w:trPr>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0.18</w:t>
            </w:r>
          </w:p>
        </w:tc>
        <w:tc>
          <w:tcPr>
            <w:tcW w:w="34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0.39</w:t>
            </w:r>
          </w:p>
        </w:tc>
        <w:tc>
          <w:tcPr>
            <w:tcW w:w="34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0.52</w:t>
            </w:r>
          </w:p>
        </w:tc>
        <w:tc>
          <w:tcPr>
            <w:tcW w:w="3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(0.09)</w:t>
            </w:r>
          </w:p>
        </w:tc>
        <w:tc>
          <w:tcPr>
            <w:tcW w:w="3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0.10</w:t>
            </w:r>
          </w:p>
        </w:tc>
      </w:tr>
      <w:tr>
        <w:trPr>
          <w:trHeight w:val="212"/>
        </w:trPr>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0.16</w:t>
            </w:r>
          </w:p>
        </w:tc>
        <w:tc>
          <w:tcPr>
            <w:tcW w:w="34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0.33</w:t>
            </w:r>
          </w:p>
        </w:tc>
        <w:tc>
          <w:tcPr>
            <w:tcW w:w="34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0.52</w:t>
            </w:r>
          </w:p>
        </w:tc>
        <w:tc>
          <w:tcPr>
            <w:tcW w:w="3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(0.09)</w:t>
            </w:r>
          </w:p>
        </w:tc>
        <w:tc>
          <w:tcPr>
            <w:tcW w:w="30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0.10</w:t>
            </w:r>
          </w:p>
        </w:tc>
      </w:tr>
      <w:tr>
        <w:trPr>
          <w:trHeight w:val="424"/>
        </w:trPr>
        <w:tc>
          <w:tcPr>
            <w:tcW w:w="240" w:type="dxa"/>
            <w:vAlign w:val="bottom"/>
          </w:tcPr>
          <w:p>
            <w:pPr>
              <w:spacing w:after="0"/>
              <w:rPr>
                <w:sz w:val="24"/>
                <w:szCs w:val="24"/>
                <w:color w:val="auto"/>
              </w:rPr>
            </w:pP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28,688,867</w:t>
            </w:r>
          </w:p>
        </w:tc>
        <w:tc>
          <w:tcPr>
            <w:tcW w:w="340" w:type="dxa"/>
            <w:vAlign w:val="bottom"/>
          </w:tcPr>
          <w:p>
            <w:pPr>
              <w:spacing w:after="0"/>
              <w:rPr>
                <w:sz w:val="24"/>
                <w:szCs w:val="24"/>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27,596,401</w:t>
            </w:r>
          </w:p>
        </w:tc>
        <w:tc>
          <w:tcPr>
            <w:tcW w:w="340" w:type="dxa"/>
            <w:vAlign w:val="bottom"/>
          </w:tcPr>
          <w:p>
            <w:pPr>
              <w:spacing w:after="0"/>
              <w:rPr>
                <w:sz w:val="24"/>
                <w:szCs w:val="24"/>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27,579,988</w:t>
            </w:r>
          </w:p>
        </w:tc>
        <w:tc>
          <w:tcPr>
            <w:tcW w:w="300" w:type="dxa"/>
            <w:vAlign w:val="bottom"/>
          </w:tcPr>
          <w:p>
            <w:pPr>
              <w:spacing w:after="0"/>
              <w:rPr>
                <w:sz w:val="24"/>
                <w:szCs w:val="24"/>
                <w:color w:val="auto"/>
              </w:rPr>
            </w:pP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27,547,217</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23,026,494</w:t>
            </w:r>
          </w:p>
        </w:tc>
      </w:tr>
      <w:tr>
        <w:trPr>
          <w:trHeight w:val="212"/>
        </w:trPr>
        <w:tc>
          <w:tcPr>
            <w:tcW w:w="240" w:type="dxa"/>
            <w:vAlign w:val="bottom"/>
          </w:tcPr>
          <w:p>
            <w:pPr>
              <w:spacing w:after="0"/>
              <w:rPr>
                <w:sz w:val="18"/>
                <w:szCs w:val="18"/>
                <w:color w:val="auto"/>
              </w:rPr>
            </w:pP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31,840,584</w:t>
            </w:r>
          </w:p>
        </w:tc>
        <w:tc>
          <w:tcPr>
            <w:tcW w:w="340" w:type="dxa"/>
            <w:vAlign w:val="bottom"/>
          </w:tcPr>
          <w:p>
            <w:pPr>
              <w:spacing w:after="0"/>
              <w:rPr>
                <w:sz w:val="18"/>
                <w:szCs w:val="18"/>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32,452,228</w:t>
            </w:r>
          </w:p>
        </w:tc>
        <w:tc>
          <w:tcPr>
            <w:tcW w:w="340" w:type="dxa"/>
            <w:vAlign w:val="bottom"/>
          </w:tcPr>
          <w:p>
            <w:pPr>
              <w:spacing w:after="0"/>
              <w:rPr>
                <w:sz w:val="18"/>
                <w:szCs w:val="18"/>
                <w:color w:val="auto"/>
              </w:rPr>
            </w:pPr>
          </w:p>
        </w:tc>
        <w:tc>
          <w:tcPr>
            <w:tcW w:w="820" w:type="dxa"/>
            <w:vAlign w:val="bottom"/>
          </w:tcPr>
          <w:p>
            <w:pPr>
              <w:jc w:val="right"/>
              <w:ind w:right="63"/>
              <w:spacing w:after="0"/>
              <w:rPr>
                <w:sz w:val="20"/>
                <w:szCs w:val="20"/>
                <w:color w:val="auto"/>
              </w:rPr>
            </w:pPr>
            <w:r>
              <w:rPr>
                <w:rFonts w:ascii="Arial" w:cs="Arial" w:eastAsia="Arial" w:hAnsi="Arial"/>
                <w:sz w:val="11"/>
                <w:szCs w:val="11"/>
                <w:color w:val="auto"/>
              </w:rPr>
              <w:t>27,579,988</w:t>
            </w:r>
          </w:p>
        </w:tc>
        <w:tc>
          <w:tcPr>
            <w:tcW w:w="300" w:type="dxa"/>
            <w:vAlign w:val="bottom"/>
          </w:tcPr>
          <w:p>
            <w:pPr>
              <w:spacing w:after="0"/>
              <w:rPr>
                <w:sz w:val="18"/>
                <w:szCs w:val="18"/>
                <w:color w:val="auto"/>
              </w:rPr>
            </w:pP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27,547,217</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23,026,494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-1341755</wp:posOffset>
            </wp:positionV>
            <wp:extent cx="6569075" cy="134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69075" cy="13462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-1071880</wp:posOffset>
            </wp:positionV>
            <wp:extent cx="6569075" cy="134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69075" cy="13462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-802640</wp:posOffset>
            </wp:positionV>
            <wp:extent cx="6569075" cy="134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69075" cy="13462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-532765</wp:posOffset>
            </wp:positionV>
            <wp:extent cx="6569075" cy="134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69075" cy="13462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-263525</wp:posOffset>
            </wp:positionV>
            <wp:extent cx="6569075" cy="134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69075" cy="134620"/>
                    </a:xfrm>
                    <a:prstGeom prst="rect">
                      <a:avLst/>
                    </a:prstGeom>
                    <a:noFill/>
                  </pic:spPr>
                </pic:pic>
              </a:graphicData>
            </a:graphic>
          </wp:anchor>
        </w:drawing>
      </w:r>
    </w:p>
    <w:p>
      <w:pPr>
        <w:spacing w:after="0" w:line="120" w:lineRule="exact"/>
        <w:rPr>
          <w:sz w:val="20"/>
          <w:szCs w:val="20"/>
          <w:color w:val="auto"/>
        </w:rPr>
      </w:pPr>
    </w:p>
    <w:p>
      <w:pPr>
        <w:sectPr>
          <w:pgSz w:w="11900" w:h="16838" w:orient="portrait"/>
          <w:cols w:equalWidth="0" w:num="2">
            <w:col w:w="4540" w:space="720"/>
            <w:col w:w="5940"/>
          </w:cols>
          <w:pgMar w:left="300" w:top="125" w:right="399" w:bottom="1440" w:gutter="0" w:footer="0" w:header="0"/>
          <w:type w:val="continuous"/>
        </w:sectPr>
      </w:pPr>
    </w:p>
    <w:p>
      <w:pPr>
        <w:ind w:left="520" w:right="4460" w:hanging="6"/>
        <w:spacing w:after="0" w:line="517" w:lineRule="auto"/>
        <w:tabs>
          <w:tab w:leader="none" w:pos="680"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 consolidated statement of operations for years ended December 31, 2019 and 2018 were recognized in accordance with ASC 606. Years ended December 31, 2017 and prior were recognized under ASC 605.</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00"/>
          </w:cols>
          <w:pgMar w:left="300" w:top="125" w:right="399" w:bottom="1440" w:gutter="0" w:footer="0" w:header="0"/>
          <w:type w:val="continuous"/>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7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As of December 31,</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2019</w:t>
            </w: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2018</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2017</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2016</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2015</w:t>
            </w:r>
          </w:p>
        </w:tc>
        <w:tc>
          <w:tcPr>
            <w:tcW w:w="0" w:type="dxa"/>
            <w:vAlign w:val="bottom"/>
          </w:tcPr>
          <w:p>
            <w:pPr>
              <w:spacing w:after="0"/>
              <w:rPr>
                <w:sz w:val="1"/>
                <w:szCs w:val="1"/>
                <w:color w:val="auto"/>
              </w:rPr>
            </w:pPr>
          </w:p>
        </w:tc>
      </w:tr>
      <w:tr>
        <w:trPr>
          <w:trHeight w:val="135"/>
        </w:trPr>
        <w:tc>
          <w:tcPr>
            <w:tcW w:w="47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Consolidated Balance Sheet Data:</w:t>
            </w: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7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760" w:type="dxa"/>
            <w:vAlign w:val="bottom"/>
          </w:tcPr>
          <w:p>
            <w:pPr>
              <w:ind w:left="20"/>
              <w:spacing w:after="0"/>
              <w:rPr>
                <w:sz w:val="20"/>
                <w:szCs w:val="20"/>
                <w:color w:val="auto"/>
              </w:rPr>
            </w:pPr>
            <w:r>
              <w:rPr>
                <w:rFonts w:ascii="Arial" w:cs="Arial" w:eastAsia="Arial" w:hAnsi="Arial"/>
                <w:sz w:val="11"/>
                <w:szCs w:val="11"/>
                <w:color w:val="auto"/>
              </w:rPr>
              <w:t>Cash and cash equivalents</w:t>
            </w:r>
          </w:p>
        </w:tc>
        <w:tc>
          <w:tcPr>
            <w:tcW w:w="260" w:type="dxa"/>
            <w:vAlign w:val="bottom"/>
            <w:vMerge w:val="restart"/>
          </w:tcPr>
          <w:p>
            <w:pPr>
              <w:jc w:val="right"/>
              <w:ind w:right="123"/>
              <w:spacing w:after="0"/>
              <w:rPr>
                <w:sz w:val="20"/>
                <w:szCs w:val="20"/>
                <w:color w:val="auto"/>
              </w:rPr>
            </w:pPr>
            <w:r>
              <w:rPr>
                <w:rFonts w:ascii="Arial" w:cs="Arial" w:eastAsia="Arial" w:hAnsi="Arial"/>
                <w:sz w:val="11"/>
                <w:szCs w:val="11"/>
                <w:color w:val="auto"/>
                <w:w w:val="97"/>
              </w:rPr>
              <w:t>$</w:t>
            </w:r>
          </w:p>
        </w:tc>
        <w:tc>
          <w:tcPr>
            <w:tcW w:w="800" w:type="dxa"/>
            <w:vAlign w:val="bottom"/>
            <w:vMerge w:val="restart"/>
          </w:tcPr>
          <w:p>
            <w:pPr>
              <w:jc w:val="right"/>
              <w:ind w:right="43"/>
              <w:spacing w:after="0"/>
              <w:rPr>
                <w:sz w:val="20"/>
                <w:szCs w:val="20"/>
                <w:color w:val="auto"/>
              </w:rPr>
            </w:pPr>
            <w:r>
              <w:rPr>
                <w:rFonts w:ascii="Arial" w:cs="Arial" w:eastAsia="Arial" w:hAnsi="Arial"/>
                <w:sz w:val="11"/>
                <w:szCs w:val="11"/>
                <w:color w:val="auto"/>
              </w:rPr>
              <w:t>25,006</w:t>
            </w:r>
          </w:p>
        </w:tc>
        <w:tc>
          <w:tcPr>
            <w:tcW w:w="360" w:type="dxa"/>
            <w:vAlign w:val="bottom"/>
            <w:vMerge w:val="restart"/>
          </w:tcPr>
          <w:p>
            <w:pPr>
              <w:jc w:val="right"/>
              <w:ind w:right="123"/>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42,460</w:t>
            </w:r>
          </w:p>
        </w:tc>
        <w:tc>
          <w:tcPr>
            <w:tcW w:w="400" w:type="dxa"/>
            <w:vAlign w:val="bottom"/>
            <w:vMerge w:val="restart"/>
          </w:tcPr>
          <w:p>
            <w:pPr>
              <w:jc w:val="right"/>
              <w:ind w:right="96"/>
              <w:spacing w:after="0"/>
              <w:rPr>
                <w:sz w:val="20"/>
                <w:szCs w:val="20"/>
                <w:color w:val="auto"/>
              </w:rPr>
            </w:pPr>
            <w:r>
              <w:rPr>
                <w:rFonts w:ascii="Arial" w:cs="Arial" w:eastAsia="Arial" w:hAnsi="Arial"/>
                <w:sz w:val="11"/>
                <w:szCs w:val="11"/>
                <w:color w:val="auto"/>
              </w:rPr>
              <w:t>$</w:t>
            </w:r>
          </w:p>
        </w:tc>
        <w:tc>
          <w:tcPr>
            <w:tcW w:w="880" w:type="dxa"/>
            <w:vAlign w:val="bottom"/>
            <w:vMerge w:val="restart"/>
          </w:tcPr>
          <w:p>
            <w:pPr>
              <w:jc w:val="right"/>
              <w:ind w:right="123"/>
              <w:spacing w:after="0"/>
              <w:rPr>
                <w:sz w:val="20"/>
                <w:szCs w:val="20"/>
                <w:color w:val="auto"/>
              </w:rPr>
            </w:pPr>
            <w:r>
              <w:rPr>
                <w:rFonts w:ascii="Arial" w:cs="Arial" w:eastAsia="Arial" w:hAnsi="Arial"/>
                <w:sz w:val="11"/>
                <w:szCs w:val="11"/>
                <w:color w:val="auto"/>
              </w:rPr>
              <w:t>36,982</w:t>
            </w:r>
          </w:p>
        </w:tc>
        <w:tc>
          <w:tcPr>
            <w:tcW w:w="260" w:type="dxa"/>
            <w:vAlign w:val="bottom"/>
            <w:vMerge w:val="restart"/>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jc w:val="right"/>
              <w:ind w:right="43"/>
              <w:spacing w:after="0"/>
              <w:rPr>
                <w:sz w:val="20"/>
                <w:szCs w:val="20"/>
                <w:color w:val="auto"/>
              </w:rPr>
            </w:pPr>
            <w:r>
              <w:rPr>
                <w:rFonts w:ascii="Arial" w:cs="Arial" w:eastAsia="Arial" w:hAnsi="Arial"/>
                <w:sz w:val="11"/>
                <w:szCs w:val="11"/>
                <w:color w:val="auto"/>
              </w:rPr>
              <w:t>17,464</w:t>
            </w:r>
          </w:p>
        </w:tc>
        <w:tc>
          <w:tcPr>
            <w:tcW w:w="320" w:type="dxa"/>
            <w:vAlign w:val="bottom"/>
            <w:vMerge w:val="restart"/>
          </w:tcPr>
          <w:p>
            <w:pPr>
              <w:jc w:val="right"/>
              <w:ind w:right="103"/>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14,117</w:t>
            </w:r>
          </w:p>
        </w:tc>
        <w:tc>
          <w:tcPr>
            <w:tcW w:w="0" w:type="dxa"/>
            <w:vAlign w:val="bottom"/>
          </w:tcPr>
          <w:p>
            <w:pPr>
              <w:spacing w:after="0"/>
              <w:rPr>
                <w:sz w:val="1"/>
                <w:szCs w:val="1"/>
                <w:color w:val="auto"/>
              </w:rPr>
            </w:pPr>
          </w:p>
        </w:tc>
      </w:tr>
      <w:tr>
        <w:trPr>
          <w:trHeight w:val="57"/>
        </w:trPr>
        <w:tc>
          <w:tcPr>
            <w:tcW w:w="476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4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Working capital (2)</w:t>
            </w:r>
          </w:p>
        </w:tc>
        <w:tc>
          <w:tcPr>
            <w:tcW w:w="2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41,072</w:t>
            </w:r>
          </w:p>
        </w:tc>
        <w:tc>
          <w:tcPr>
            <w:tcW w:w="3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56,089</w:t>
            </w:r>
          </w:p>
        </w:tc>
        <w:tc>
          <w:tcPr>
            <w:tcW w:w="4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123"/>
              <w:spacing w:after="0"/>
              <w:rPr>
                <w:sz w:val="20"/>
                <w:szCs w:val="20"/>
                <w:color w:val="auto"/>
              </w:rPr>
            </w:pPr>
            <w:r>
              <w:rPr>
                <w:rFonts w:ascii="Arial" w:cs="Arial" w:eastAsia="Arial" w:hAnsi="Arial"/>
                <w:sz w:val="11"/>
                <w:szCs w:val="11"/>
                <w:color w:val="auto"/>
              </w:rPr>
              <w:t>43,975</w:t>
            </w:r>
          </w:p>
        </w:tc>
        <w:tc>
          <w:tcPr>
            <w:tcW w:w="2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23,417</w:t>
            </w:r>
          </w:p>
        </w:tc>
        <w:tc>
          <w:tcPr>
            <w:tcW w:w="3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15,413</w:t>
            </w:r>
          </w:p>
        </w:tc>
        <w:tc>
          <w:tcPr>
            <w:tcW w:w="0" w:type="dxa"/>
            <w:vAlign w:val="bottom"/>
          </w:tcPr>
          <w:p>
            <w:pPr>
              <w:spacing w:after="0"/>
              <w:rPr>
                <w:sz w:val="1"/>
                <w:szCs w:val="1"/>
                <w:color w:val="auto"/>
              </w:rPr>
            </w:pPr>
          </w:p>
        </w:tc>
      </w:tr>
      <w:tr>
        <w:trPr>
          <w:trHeight w:val="61"/>
        </w:trPr>
        <w:tc>
          <w:tcPr>
            <w:tcW w:w="4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4760" w:type="dxa"/>
            <w:vAlign w:val="bottom"/>
          </w:tcPr>
          <w:p>
            <w:pPr>
              <w:ind w:left="20"/>
              <w:spacing w:after="0"/>
              <w:rPr>
                <w:sz w:val="20"/>
                <w:szCs w:val="20"/>
                <w:color w:val="auto"/>
              </w:rPr>
            </w:pPr>
            <w:r>
              <w:rPr>
                <w:rFonts w:ascii="Arial" w:cs="Arial" w:eastAsia="Arial" w:hAnsi="Arial"/>
                <w:sz w:val="11"/>
                <w:szCs w:val="11"/>
                <w:color w:val="auto"/>
              </w:rPr>
              <w:t>Total assets (2)</w:t>
            </w:r>
          </w:p>
        </w:tc>
        <w:tc>
          <w:tcPr>
            <w:tcW w:w="260" w:type="dxa"/>
            <w:vAlign w:val="bottom"/>
          </w:tcPr>
          <w:p>
            <w:pPr>
              <w:spacing w:after="0"/>
              <w:rPr>
                <w:sz w:val="13"/>
                <w:szCs w:val="13"/>
                <w:color w:val="auto"/>
              </w:rPr>
            </w:pPr>
          </w:p>
        </w:tc>
        <w:tc>
          <w:tcPr>
            <w:tcW w:w="800" w:type="dxa"/>
            <w:vAlign w:val="bottom"/>
            <w:vMerge w:val="restart"/>
          </w:tcPr>
          <w:p>
            <w:pPr>
              <w:jc w:val="right"/>
              <w:ind w:right="43"/>
              <w:spacing w:after="0"/>
              <w:rPr>
                <w:sz w:val="20"/>
                <w:szCs w:val="20"/>
                <w:color w:val="auto"/>
              </w:rPr>
            </w:pPr>
            <w:r>
              <w:rPr>
                <w:rFonts w:ascii="Arial" w:cs="Arial" w:eastAsia="Arial" w:hAnsi="Arial"/>
                <w:sz w:val="11"/>
                <w:szCs w:val="11"/>
                <w:color w:val="auto"/>
              </w:rPr>
              <w:t>86,524</w:t>
            </w:r>
          </w:p>
        </w:tc>
        <w:tc>
          <w:tcPr>
            <w:tcW w:w="360" w:type="dxa"/>
            <w:vAlign w:val="bottom"/>
          </w:tcPr>
          <w:p>
            <w:pPr>
              <w:spacing w:after="0"/>
              <w:rPr>
                <w:sz w:val="13"/>
                <w:szCs w:val="13"/>
                <w:color w:val="auto"/>
              </w:rPr>
            </w:pP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75,599</w:t>
            </w:r>
          </w:p>
        </w:tc>
        <w:tc>
          <w:tcPr>
            <w:tcW w:w="400" w:type="dxa"/>
            <w:vAlign w:val="bottom"/>
          </w:tcPr>
          <w:p>
            <w:pPr>
              <w:spacing w:after="0"/>
              <w:rPr>
                <w:sz w:val="13"/>
                <w:szCs w:val="13"/>
                <w:color w:val="auto"/>
              </w:rPr>
            </w:pPr>
          </w:p>
        </w:tc>
        <w:tc>
          <w:tcPr>
            <w:tcW w:w="880" w:type="dxa"/>
            <w:vAlign w:val="bottom"/>
            <w:vMerge w:val="restart"/>
          </w:tcPr>
          <w:p>
            <w:pPr>
              <w:jc w:val="right"/>
              <w:ind w:right="123"/>
              <w:spacing w:after="0"/>
              <w:rPr>
                <w:sz w:val="20"/>
                <w:szCs w:val="20"/>
                <w:color w:val="auto"/>
              </w:rPr>
            </w:pPr>
            <w:r>
              <w:rPr>
                <w:rFonts w:ascii="Arial" w:cs="Arial" w:eastAsia="Arial" w:hAnsi="Arial"/>
                <w:sz w:val="11"/>
                <w:szCs w:val="11"/>
                <w:color w:val="auto"/>
              </w:rPr>
              <w:t>66,223</w:t>
            </w:r>
          </w:p>
        </w:tc>
        <w:tc>
          <w:tcPr>
            <w:tcW w:w="260" w:type="dxa"/>
            <w:vAlign w:val="bottom"/>
          </w:tcPr>
          <w:p>
            <w:pPr>
              <w:spacing w:after="0"/>
              <w:rPr>
                <w:sz w:val="13"/>
                <w:szCs w:val="13"/>
                <w:color w:val="auto"/>
              </w:rPr>
            </w:pPr>
          </w:p>
        </w:tc>
        <w:tc>
          <w:tcPr>
            <w:tcW w:w="780" w:type="dxa"/>
            <w:vAlign w:val="bottom"/>
            <w:vMerge w:val="restart"/>
          </w:tcPr>
          <w:p>
            <w:pPr>
              <w:jc w:val="right"/>
              <w:ind w:right="43"/>
              <w:spacing w:after="0"/>
              <w:rPr>
                <w:sz w:val="20"/>
                <w:szCs w:val="20"/>
                <w:color w:val="auto"/>
              </w:rPr>
            </w:pPr>
            <w:r>
              <w:rPr>
                <w:rFonts w:ascii="Arial" w:cs="Arial" w:eastAsia="Arial" w:hAnsi="Arial"/>
                <w:sz w:val="11"/>
                <w:szCs w:val="11"/>
                <w:color w:val="auto"/>
              </w:rPr>
              <w:t>58,132</w:t>
            </w:r>
          </w:p>
        </w:tc>
        <w:tc>
          <w:tcPr>
            <w:tcW w:w="320" w:type="dxa"/>
            <w:vAlign w:val="bottom"/>
          </w:tcPr>
          <w:p>
            <w:pPr>
              <w:spacing w:after="0"/>
              <w:rPr>
                <w:sz w:val="13"/>
                <w:szCs w:val="13"/>
                <w:color w:val="auto"/>
              </w:rPr>
            </w:pP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27,584</w:t>
            </w:r>
          </w:p>
        </w:tc>
        <w:tc>
          <w:tcPr>
            <w:tcW w:w="0" w:type="dxa"/>
            <w:vAlign w:val="bottom"/>
          </w:tcPr>
          <w:p>
            <w:pPr>
              <w:spacing w:after="0"/>
              <w:rPr>
                <w:sz w:val="1"/>
                <w:szCs w:val="1"/>
                <w:color w:val="auto"/>
              </w:rPr>
            </w:pPr>
          </w:p>
        </w:tc>
      </w:tr>
      <w:tr>
        <w:trPr>
          <w:trHeight w:val="57"/>
        </w:trPr>
        <w:tc>
          <w:tcPr>
            <w:tcW w:w="4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4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current liabilities (2)</w:t>
            </w:r>
          </w:p>
        </w:tc>
        <w:tc>
          <w:tcPr>
            <w:tcW w:w="2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17,044</w:t>
            </w:r>
          </w:p>
        </w:tc>
        <w:tc>
          <w:tcPr>
            <w:tcW w:w="3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12,139</w:t>
            </w:r>
          </w:p>
        </w:tc>
        <w:tc>
          <w:tcPr>
            <w:tcW w:w="4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123"/>
              <w:spacing w:after="0"/>
              <w:rPr>
                <w:sz w:val="20"/>
                <w:szCs w:val="20"/>
                <w:color w:val="auto"/>
              </w:rPr>
            </w:pPr>
            <w:r>
              <w:rPr>
                <w:rFonts w:ascii="Arial" w:cs="Arial" w:eastAsia="Arial" w:hAnsi="Arial"/>
                <w:sz w:val="11"/>
                <w:szCs w:val="11"/>
                <w:color w:val="auto"/>
              </w:rPr>
              <w:t>14,826</w:t>
            </w:r>
          </w:p>
        </w:tc>
        <w:tc>
          <w:tcPr>
            <w:tcW w:w="2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15,334</w:t>
            </w:r>
          </w:p>
        </w:tc>
        <w:tc>
          <w:tcPr>
            <w:tcW w:w="3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8,473</w:t>
            </w:r>
          </w:p>
        </w:tc>
        <w:tc>
          <w:tcPr>
            <w:tcW w:w="0" w:type="dxa"/>
            <w:vAlign w:val="bottom"/>
          </w:tcPr>
          <w:p>
            <w:pPr>
              <w:spacing w:after="0"/>
              <w:rPr>
                <w:sz w:val="1"/>
                <w:szCs w:val="1"/>
                <w:color w:val="auto"/>
              </w:rPr>
            </w:pPr>
          </w:p>
        </w:tc>
      </w:tr>
      <w:tr>
        <w:trPr>
          <w:trHeight w:val="61"/>
        </w:trPr>
        <w:tc>
          <w:tcPr>
            <w:tcW w:w="4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4760" w:type="dxa"/>
            <w:vAlign w:val="bottom"/>
          </w:tcPr>
          <w:p>
            <w:pPr>
              <w:ind w:left="20"/>
              <w:spacing w:after="0"/>
              <w:rPr>
                <w:sz w:val="20"/>
                <w:szCs w:val="20"/>
                <w:color w:val="auto"/>
              </w:rPr>
            </w:pPr>
            <w:r>
              <w:rPr>
                <w:rFonts w:ascii="Arial" w:cs="Arial" w:eastAsia="Arial" w:hAnsi="Arial"/>
                <w:sz w:val="11"/>
                <w:szCs w:val="11"/>
                <w:color w:val="auto"/>
              </w:rPr>
              <w:t>Total debt</w:t>
            </w:r>
          </w:p>
        </w:tc>
        <w:tc>
          <w:tcPr>
            <w:tcW w:w="260" w:type="dxa"/>
            <w:vAlign w:val="bottom"/>
          </w:tcPr>
          <w:p>
            <w:pPr>
              <w:spacing w:after="0"/>
              <w:rPr>
                <w:sz w:val="13"/>
                <w:szCs w:val="13"/>
                <w:color w:val="auto"/>
              </w:rPr>
            </w:pPr>
          </w:p>
        </w:tc>
        <w:tc>
          <w:tcPr>
            <w:tcW w:w="800" w:type="dxa"/>
            <w:vAlign w:val="bottom"/>
            <w:vMerge w:val="restart"/>
          </w:tcPr>
          <w:p>
            <w:pPr>
              <w:jc w:val="right"/>
              <w:ind w:right="43"/>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619</w:t>
            </w:r>
          </w:p>
        </w:tc>
        <w:tc>
          <w:tcPr>
            <w:tcW w:w="400" w:type="dxa"/>
            <w:vAlign w:val="bottom"/>
          </w:tcPr>
          <w:p>
            <w:pPr>
              <w:spacing w:after="0"/>
              <w:rPr>
                <w:sz w:val="13"/>
                <w:szCs w:val="13"/>
                <w:color w:val="auto"/>
              </w:rPr>
            </w:pPr>
          </w:p>
        </w:tc>
        <w:tc>
          <w:tcPr>
            <w:tcW w:w="880" w:type="dxa"/>
            <w:vAlign w:val="bottom"/>
            <w:vMerge w:val="restart"/>
          </w:tcPr>
          <w:p>
            <w:pPr>
              <w:jc w:val="right"/>
              <w:ind w:right="123"/>
              <w:spacing w:after="0"/>
              <w:rPr>
                <w:sz w:val="20"/>
                <w:szCs w:val="20"/>
                <w:color w:val="auto"/>
              </w:rPr>
            </w:pPr>
            <w:r>
              <w:rPr>
                <w:rFonts w:ascii="Arial" w:cs="Arial" w:eastAsia="Arial" w:hAnsi="Arial"/>
                <w:sz w:val="11"/>
                <w:szCs w:val="11"/>
                <w:color w:val="auto"/>
              </w:rPr>
              <w:t>2,436</w:t>
            </w:r>
          </w:p>
        </w:tc>
        <w:tc>
          <w:tcPr>
            <w:tcW w:w="260" w:type="dxa"/>
            <w:vAlign w:val="bottom"/>
          </w:tcPr>
          <w:p>
            <w:pPr>
              <w:spacing w:after="0"/>
              <w:rPr>
                <w:sz w:val="13"/>
                <w:szCs w:val="13"/>
                <w:color w:val="auto"/>
              </w:rPr>
            </w:pPr>
          </w:p>
        </w:tc>
        <w:tc>
          <w:tcPr>
            <w:tcW w:w="780" w:type="dxa"/>
            <w:vAlign w:val="bottom"/>
            <w:vMerge w:val="restart"/>
          </w:tcPr>
          <w:p>
            <w:pPr>
              <w:jc w:val="right"/>
              <w:ind w:right="43"/>
              <w:spacing w:after="0"/>
              <w:rPr>
                <w:sz w:val="20"/>
                <w:szCs w:val="20"/>
                <w:color w:val="auto"/>
              </w:rPr>
            </w:pPr>
            <w:r>
              <w:rPr>
                <w:rFonts w:ascii="Arial" w:cs="Arial" w:eastAsia="Arial" w:hAnsi="Arial"/>
                <w:sz w:val="11"/>
                <w:szCs w:val="11"/>
                <w:color w:val="auto"/>
              </w:rPr>
              <w:t>6,125</w:t>
            </w:r>
          </w:p>
        </w:tc>
        <w:tc>
          <w:tcPr>
            <w:tcW w:w="320" w:type="dxa"/>
            <w:vAlign w:val="bottom"/>
          </w:tcPr>
          <w:p>
            <w:pPr>
              <w:spacing w:after="0"/>
              <w:rPr>
                <w:sz w:val="13"/>
                <w:szCs w:val="13"/>
                <w:color w:val="auto"/>
              </w:rPr>
            </w:pP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625</w:t>
            </w:r>
          </w:p>
        </w:tc>
        <w:tc>
          <w:tcPr>
            <w:tcW w:w="0" w:type="dxa"/>
            <w:vAlign w:val="bottom"/>
          </w:tcPr>
          <w:p>
            <w:pPr>
              <w:spacing w:after="0"/>
              <w:rPr>
                <w:sz w:val="1"/>
                <w:szCs w:val="1"/>
                <w:color w:val="auto"/>
              </w:rPr>
            </w:pPr>
          </w:p>
        </w:tc>
      </w:tr>
      <w:tr>
        <w:trPr>
          <w:trHeight w:val="53"/>
        </w:trPr>
        <w:tc>
          <w:tcPr>
            <w:tcW w:w="4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620" w:hanging="265"/>
        <w:spacing w:after="0"/>
        <w:tabs>
          <w:tab w:leader="none" w:pos="620" w:val="left"/>
        </w:tabs>
        <w:numPr>
          <w:ilvl w:val="0"/>
          <w:numId w:val="11"/>
        </w:numPr>
        <w:rPr>
          <w:rFonts w:ascii="Arial" w:cs="Arial" w:eastAsia="Arial" w:hAnsi="Arial"/>
          <w:sz w:val="11"/>
          <w:szCs w:val="11"/>
          <w:color w:val="auto"/>
        </w:rPr>
      </w:pPr>
      <w:r>
        <w:rPr>
          <w:rFonts w:ascii="Arial" w:cs="Arial" w:eastAsia="Arial" w:hAnsi="Arial"/>
          <w:sz w:val="11"/>
          <w:szCs w:val="11"/>
          <w:color w:val="auto"/>
        </w:rPr>
        <w:t>ROU assets and corresponding lease liabilities were recognized in the year ended December 31, 2019, in accordance with ASC 842. Years ended December 31, 2018 and prior were recognized under ASC 840.</w:t>
      </w:r>
    </w:p>
    <w:p>
      <w:pPr>
        <w:spacing w:after="0" w:line="129"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7.</w:t>
        <w:tab/>
        <w:t>MANAGEMENT’S DISCUSSION AND ANALYSIS OF FINANCIAL CONDITION AND RESULTS OF OPERATIONS</w:t>
      </w:r>
    </w:p>
    <w:p>
      <w:pPr>
        <w:spacing w:after="0" w:line="76" w:lineRule="exact"/>
        <w:rPr>
          <w:sz w:val="20"/>
          <w:szCs w:val="20"/>
          <w:color w:val="auto"/>
        </w:rPr>
      </w:pPr>
    </w:p>
    <w:p>
      <w:pPr>
        <w:ind w:firstLine="340"/>
        <w:spacing w:after="0" w:line="262" w:lineRule="auto"/>
        <w:rPr>
          <w:sz w:val="20"/>
          <w:szCs w:val="20"/>
          <w:color w:val="auto"/>
        </w:rPr>
      </w:pPr>
      <w:r>
        <w:rPr>
          <w:rFonts w:ascii="Arial" w:cs="Arial" w:eastAsia="Arial" w:hAnsi="Arial"/>
          <w:sz w:val="14"/>
          <w:szCs w:val="14"/>
          <w:i w:val="1"/>
          <w:iCs w:val="1"/>
          <w:color w:val="auto"/>
        </w:rPr>
        <w:t>The following discussion and analysis of our financial condition and results of operations should be read in conjunction with our consolidated financial statements and the related notes to those statements included elsewhere in this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elsewhere in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Overview</w:t>
      </w:r>
    </w:p>
    <w:p>
      <w:pPr>
        <w:spacing w:after="0" w:line="183" w:lineRule="exact"/>
        <w:rPr>
          <w:sz w:val="20"/>
          <w:szCs w:val="20"/>
          <w:color w:val="auto"/>
        </w:rPr>
      </w:pPr>
    </w:p>
    <w:p>
      <w:pPr>
        <w:ind w:right="120" w:firstLine="509"/>
        <w:spacing w:after="0" w:line="278" w:lineRule="auto"/>
        <w:rPr>
          <w:sz w:val="20"/>
          <w:szCs w:val="20"/>
          <w:color w:val="auto"/>
        </w:rPr>
      </w:pPr>
      <w:r>
        <w:rPr>
          <w:rFonts w:ascii="Arial" w:cs="Arial" w:eastAsia="Arial" w:hAnsi="Arial"/>
          <w:sz w:val="13"/>
          <w:szCs w:val="13"/>
          <w:color w:val="auto"/>
        </w:rPr>
        <w:t>We are a leader in advanced optical technology, providing high performance fiber optic test, measurement and control products for the telecommunications and photonics industries and distributed fiber optic sensing products for industries utilizing composite and other advanced materials, such as the automotive, aerospace, energy and infrastructure industries. Our distributed fiber optic sensing products help designers and manufacturers more efficiently develop new and innovative products by providing valuable information such as highly detailed stress, strain, and temperature measurements of a new design or manufacturing process. In addition, our distributed fiber optic sensing products are used to monitor the structural integrity or operational health of critical assets, including large civil structures such as bridges. Our communications test and control products accelerate the development of advanced fiber optic components and networks by providing fast and highly accurate characterization of components and networks. We also provide applied research services, typically under research programs funded by the U.S. government, in areas of sensing and instrumentation, advanced materials, optical technologies and health sciences. Our business model is designed to accelerate the process of bringing new and innovative products to market. We use our in-house technical expertise across a range of technologies to perform applied research services for companies and for government funded projects. We continue to invest in product development and commercialization, which we anticipate will lead to increased product sales growth.</w:t>
      </w:r>
    </w:p>
    <w:p>
      <w:pPr>
        <w:spacing w:after="0" w:line="33" w:lineRule="exact"/>
        <w:rPr>
          <w:sz w:val="20"/>
          <w:szCs w:val="20"/>
          <w:color w:val="auto"/>
        </w:rPr>
      </w:pPr>
    </w:p>
    <w:p>
      <w:pPr>
        <w:ind w:right="180" w:firstLine="340"/>
        <w:spacing w:after="0" w:line="288" w:lineRule="auto"/>
        <w:rPr>
          <w:sz w:val="20"/>
          <w:szCs w:val="20"/>
          <w:color w:val="auto"/>
        </w:rPr>
      </w:pPr>
      <w:r>
        <w:rPr>
          <w:rFonts w:ascii="Arial" w:cs="Arial" w:eastAsia="Arial" w:hAnsi="Arial"/>
          <w:sz w:val="13"/>
          <w:szCs w:val="13"/>
          <w:color w:val="auto"/>
        </w:rPr>
        <w:t>We are organized into two reporting segments, our Products and Licensing segment and our Technology Development segment. Our Products and Licensing segment develops, manufactures and markets distributed fiber optic sensing products and fiber optic communications test and control products. We continue to develop and commercialize our fiber optic technology for sensing applications for aerospace, automotive, energy and infrastructure as well as for test and measurement applications in the telecommunications and data communications industries. Our Products and Licensing segment revenues represented approximately 63% and 51% of our total revenues for the years ended December 31, 2019 and 2018, respectively.</w:t>
      </w:r>
    </w:p>
    <w:p>
      <w:pPr>
        <w:spacing w:after="0" w:line="25" w:lineRule="exact"/>
        <w:rPr>
          <w:sz w:val="20"/>
          <w:szCs w:val="20"/>
          <w:color w:val="auto"/>
        </w:rPr>
      </w:pPr>
    </w:p>
    <w:p>
      <w:pPr>
        <w:ind w:right="20" w:firstLine="340"/>
        <w:spacing w:after="0" w:line="304" w:lineRule="auto"/>
        <w:rPr>
          <w:sz w:val="20"/>
          <w:szCs w:val="20"/>
          <w:color w:val="auto"/>
        </w:rPr>
      </w:pPr>
      <w:r>
        <w:rPr>
          <w:rFonts w:ascii="Arial" w:cs="Arial" w:eastAsia="Arial" w:hAnsi="Arial"/>
          <w:sz w:val="12"/>
          <w:szCs w:val="12"/>
          <w:color w:val="auto"/>
        </w:rPr>
        <w:t>Our Technology Development segment performs applied research principally in the areas of sensing and instrumentation, advanced materials and health sciences. Our Technology Development segment comprised approximately 37% and 49% of our total revenues for the years ended December 31, 2019 and 2018, respectively. Most of the government funding for our Technology Development segment is derived from the Small Business Innovation Research ("SBIR"), program coordinated by the U.S. Small Business Administration. Our Technology Development segment revenues have historically accounted for a large portion of our total revenues, and we expect that they will continue to represent a significant portion of our total revenues for the foreseeable future. Within the Technology Development segment, we have historically had a backlog of contracts for which work has been scheduled, but for which a specified portion of work has not yet been completed. We define backlog as the dollar amount of obligations payable to us under negotiated contracts upon completion of a specified portion of work that has not yet been completed, exclusive of revenues previously recognized for work already performed under these contracts, if any. Total backlog includes funded backlog, which is the amount for which money has been directly authorized by the U.S. government and for which a purchase order has been received by a commercial customer, and unfunded backlog, representing firm orders for which funding has not yet been appropriated. Indefinite delivery and quantity contracts and unexercised options are not reported in total backlog. The approximate value of our Products and Licensing segment backlog was $16.1 million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80"/>
          </w:cols>
          <w:pgMar w:left="300" w:top="125" w:right="31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$5.8 million at December 31, 2019 and 2018, respectively. The approximate value of our Technology Development segment backlog was $31.3 million and $26.0 million at December 31, 2019 and 2018, respectively.</w:t>
      </w:r>
    </w:p>
    <w:p>
      <w:pPr>
        <w:spacing w:after="0" w:line="26" w:lineRule="exact"/>
        <w:rPr>
          <w:sz w:val="20"/>
          <w:szCs w:val="20"/>
          <w:color w:val="auto"/>
        </w:rPr>
      </w:pPr>
    </w:p>
    <w:p>
      <w:pPr>
        <w:ind w:firstLine="340"/>
        <w:spacing w:after="0" w:line="313" w:lineRule="auto"/>
        <w:rPr>
          <w:sz w:val="20"/>
          <w:szCs w:val="20"/>
          <w:color w:val="auto"/>
        </w:rPr>
      </w:pPr>
      <w:r>
        <w:rPr>
          <w:rFonts w:ascii="Arial" w:cs="Arial" w:eastAsia="Arial" w:hAnsi="Arial"/>
          <w:sz w:val="12"/>
          <w:szCs w:val="12"/>
          <w:color w:val="auto"/>
        </w:rPr>
        <w:t>Revenues from product sales are mostly derived from the sales of our sensing and test, measurement and control products that make use of light-transmitting optical fibers, or fiber optics. We continue to invest in product development and commercialization, which we anticipate will lead to increased product sales growth. Although we have been successful in licensing certain technologies in past years, we do not expect license revenues to represent a significant portion of future revenues. Over time we intend to gradually increase such revenues. In the near term, we expect revenues from product sales to continue to be primarily in areas associated with our sensing and test, measurement and control fiber optic test platforms. In the long term, we expect that revenues from product sales will represent a larger portion of our total revenues. As we develop and commercialize new products, our revenues will reflect a broader and more diversified mix of products.</w:t>
      </w:r>
    </w:p>
    <w:p>
      <w:pPr>
        <w:spacing w:after="0" w:line="13" w:lineRule="exact"/>
        <w:rPr>
          <w:sz w:val="20"/>
          <w:szCs w:val="20"/>
          <w:color w:val="auto"/>
        </w:rPr>
      </w:pPr>
    </w:p>
    <w:p>
      <w:pPr>
        <w:ind w:right="60" w:firstLine="340"/>
        <w:spacing w:after="0" w:line="267" w:lineRule="auto"/>
        <w:rPr>
          <w:sz w:val="20"/>
          <w:szCs w:val="20"/>
          <w:color w:val="auto"/>
        </w:rPr>
      </w:pPr>
      <w:r>
        <w:rPr>
          <w:rFonts w:ascii="Arial" w:cs="Arial" w:eastAsia="Arial" w:hAnsi="Arial"/>
          <w:sz w:val="14"/>
          <w:szCs w:val="14"/>
          <w:color w:val="auto"/>
        </w:rPr>
        <w:t>We realized net income attributable to common stockholders of approximately $5.1 million for the year ended December 31, 2019 and net income attributable to common stockholders of approximately $10.7 million for the year ended December 31, 2018. We realized net income from continuing operations of $5.3 million for the year ended December 31, 2019 and a net income from continuing operations of $1.2 million for the year ended December 31, 2018.</w:t>
      </w:r>
    </w:p>
    <w:p>
      <w:pPr>
        <w:spacing w:after="0" w:line="36" w:lineRule="exact"/>
        <w:rPr>
          <w:sz w:val="20"/>
          <w:szCs w:val="20"/>
          <w:color w:val="auto"/>
        </w:rPr>
      </w:pPr>
    </w:p>
    <w:p>
      <w:pPr>
        <w:ind w:right="100" w:firstLine="340"/>
        <w:spacing w:after="0" w:line="297" w:lineRule="auto"/>
        <w:rPr>
          <w:sz w:val="20"/>
          <w:szCs w:val="20"/>
          <w:color w:val="auto"/>
        </w:rPr>
      </w:pPr>
      <w:r>
        <w:rPr>
          <w:rFonts w:ascii="Arial" w:cs="Arial" w:eastAsia="Arial" w:hAnsi="Arial"/>
          <w:sz w:val="13"/>
          <w:szCs w:val="13"/>
          <w:color w:val="auto"/>
        </w:rPr>
        <w:t>We may incur increasing expenses as we seek to expand our business, including expenses for research and development, sales and marketing and manufacturing capabilities. We may continue to grow our business in part through acquisitions of additional companies and complementary technologies, which could cause us to incur transaction expenses, amortization or write-offs of intangible assets and goodwill and other acquisition-related expenses. As a result, we may incur net losses in future periods, and these losses could be substantial.</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Acquisition of General Photonics Corporation.</w:t>
      </w:r>
    </w:p>
    <w:p>
      <w:pPr>
        <w:spacing w:after="0" w:line="108" w:lineRule="exact"/>
        <w:rPr>
          <w:sz w:val="20"/>
          <w:szCs w:val="20"/>
          <w:color w:val="auto"/>
        </w:rPr>
      </w:pPr>
    </w:p>
    <w:p>
      <w:pPr>
        <w:jc w:val="both"/>
        <w:ind w:right="80" w:firstLine="509"/>
        <w:spacing w:after="0" w:line="260" w:lineRule="auto"/>
        <w:rPr>
          <w:sz w:val="20"/>
          <w:szCs w:val="20"/>
          <w:color w:val="auto"/>
        </w:rPr>
      </w:pPr>
      <w:r>
        <w:rPr>
          <w:rFonts w:ascii="Arial" w:cs="Arial" w:eastAsia="Arial" w:hAnsi="Arial"/>
          <w:sz w:val="14"/>
          <w:szCs w:val="14"/>
          <w:color w:val="auto"/>
        </w:rPr>
        <w:t>On March 1, 2019, we acquired all of the outstanding stock of General Photonics Corporation ("GP"), a leading provider of innovative components, modules and test equipment focused on the generation, measurement and control of polarized light critical in fiber optic-based applications for aggregate consideration of $19.0 million with an earn-out provision of up to $1.0 million.. Of the purchase price, $17.1 million was paid at closing and $1.9 million was placed into escrow for possible working capital adjustments to the purchase price and potential satisfaction of certain post-closing indemnification obligations. As of December 31, 2019, we expect to pay, and have accrued, $1.0 million in additional cash consideration as a result of the successful completion of the earn-out provision.</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Acquisition of Micron Optics, Inc.</w:t>
      </w:r>
    </w:p>
    <w:p>
      <w:pPr>
        <w:spacing w:after="0" w:line="76" w:lineRule="exact"/>
        <w:rPr>
          <w:sz w:val="20"/>
          <w:szCs w:val="20"/>
          <w:color w:val="auto"/>
        </w:rPr>
      </w:pPr>
    </w:p>
    <w:p>
      <w:pPr>
        <w:ind w:right="200" w:firstLine="340"/>
        <w:spacing w:after="0" w:line="260" w:lineRule="auto"/>
        <w:rPr>
          <w:sz w:val="20"/>
          <w:szCs w:val="20"/>
          <w:color w:val="auto"/>
        </w:rPr>
      </w:pPr>
      <w:r>
        <w:rPr>
          <w:rFonts w:ascii="Arial" w:cs="Arial" w:eastAsia="Arial" w:hAnsi="Arial"/>
          <w:sz w:val="14"/>
          <w:szCs w:val="14"/>
          <w:color w:val="auto"/>
        </w:rPr>
        <w:t>On October 15, 2018, we acquired substantially all of the assets, other than cash, of the U. S. operations of Micron Optics, Inc. ("MOI"), a leading provider of innovative optical components and laser-based equipment that advance the quality of optical measurements, allowing the sensing, imaging and telecommunications industries to make critical measurements. We paid total cash consideration of $5.5 million for the acquisition of MOI. The acquisition of MOI expanded our technology and product portfolio to include optical sensors and sensing interrogators capable of a broader range of measurement capabilities, including higher speed measurements such as vibration, and the ability to instrument larger structures over longer distances. In addition, the MOI acquisition added a product suite of tunable optical filters, optical sensors and swept lasers.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 of Luna Optoelectronics Business</w:t>
      </w:r>
    </w:p>
    <w:p>
      <w:pPr>
        <w:spacing w:after="0" w:line="98" w:lineRule="exact"/>
        <w:rPr>
          <w:sz w:val="20"/>
          <w:szCs w:val="20"/>
          <w:color w:val="auto"/>
        </w:rPr>
      </w:pPr>
    </w:p>
    <w:p>
      <w:pPr>
        <w:jc w:val="both"/>
        <w:ind w:right="20" w:firstLine="340"/>
        <w:spacing w:after="0" w:line="267" w:lineRule="auto"/>
        <w:rPr>
          <w:sz w:val="20"/>
          <w:szCs w:val="20"/>
          <w:color w:val="auto"/>
        </w:rPr>
      </w:pPr>
      <w:r>
        <w:rPr>
          <w:rFonts w:ascii="Arial" w:cs="Arial" w:eastAsia="Arial" w:hAnsi="Arial"/>
          <w:sz w:val="14"/>
          <w:szCs w:val="14"/>
          <w:color w:val="auto"/>
        </w:rPr>
        <w:t>On July 31, 2018, we sold the assets associated with our optoelectonic components business to an unaffiliated third party. The asset purchase agreement provides for additional consideration of up to $1.0 million contingent upon the achievement of a specified revenue level by the sold business during the 18 months following the sale. There have been no amounts recorded for the contingent consideration in the financial statements as of December 31, 2019, and it is uncertain what amount, if any, will be received or paid.</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 of Our Revenues, Costs and Expenses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Revenues</w:t>
      </w:r>
    </w:p>
    <w:p>
      <w:pPr>
        <w:spacing w:after="0" w:line="72" w:lineRule="exact"/>
        <w:rPr>
          <w:sz w:val="20"/>
          <w:szCs w:val="20"/>
          <w:color w:val="auto"/>
        </w:rPr>
      </w:pPr>
    </w:p>
    <w:p>
      <w:pPr>
        <w:ind w:right="20" w:firstLine="340"/>
        <w:spacing w:after="0" w:line="267" w:lineRule="auto"/>
        <w:rPr>
          <w:sz w:val="20"/>
          <w:szCs w:val="20"/>
          <w:color w:val="auto"/>
        </w:rPr>
      </w:pPr>
      <w:r>
        <w:rPr>
          <w:rFonts w:ascii="Arial" w:cs="Arial" w:eastAsia="Arial" w:hAnsi="Arial"/>
          <w:sz w:val="14"/>
          <w:szCs w:val="14"/>
          <w:color w:val="auto"/>
        </w:rPr>
        <w:t>We generate revenues from product sales, commercial product development and licensing and technology development activities. Our Products and Licensing segment revenues reflect amounts that we receive from sales of our products or development of products for third parties and, to a lesser extent, fees paid to us in connection with licenses or sub-licenses of certain patents and other intellectual property.</w:t>
      </w:r>
    </w:p>
    <w:p>
      <w:pPr>
        <w:spacing w:after="0" w:line="36" w:lineRule="exact"/>
        <w:rPr>
          <w:sz w:val="20"/>
          <w:szCs w:val="20"/>
          <w:color w:val="auto"/>
        </w:rPr>
      </w:pPr>
    </w:p>
    <w:p>
      <w:pPr>
        <w:ind w:firstLine="340"/>
        <w:spacing w:after="0" w:line="281" w:lineRule="auto"/>
        <w:rPr>
          <w:sz w:val="20"/>
          <w:szCs w:val="20"/>
          <w:color w:val="auto"/>
        </w:rPr>
      </w:pPr>
      <w:r>
        <w:rPr>
          <w:rFonts w:ascii="Arial" w:cs="Arial" w:eastAsia="Arial" w:hAnsi="Arial"/>
          <w:sz w:val="14"/>
          <w:szCs w:val="14"/>
          <w:color w:val="auto"/>
        </w:rPr>
        <w:t>We derive Technology Development segment revenues from providing research and development services to third parties, including government entities, academic institutions and corporations, and from achieving milestones established by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60"/>
          </w:cols>
          <w:pgMar w:left="300" w:top="125"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right="480"/>
        <w:spacing w:after="0" w:line="281" w:lineRule="auto"/>
        <w:rPr>
          <w:sz w:val="20"/>
          <w:szCs w:val="20"/>
          <w:color w:val="auto"/>
        </w:rPr>
      </w:pPr>
      <w:r>
        <w:rPr>
          <w:rFonts w:ascii="Arial" w:cs="Arial" w:eastAsia="Arial" w:hAnsi="Arial"/>
          <w:sz w:val="14"/>
          <w:szCs w:val="14"/>
          <w:color w:val="auto"/>
        </w:rPr>
        <w:t>some of these contracts. In general, we complete contracted research over periods ranging from six months to three years and recognize these revenues over the life of the contract as costs are incurred.</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 of Revenues</w:t>
      </w:r>
    </w:p>
    <w:p>
      <w:pPr>
        <w:spacing w:after="0" w:line="136" w:lineRule="exact"/>
        <w:rPr>
          <w:sz w:val="20"/>
          <w:szCs w:val="20"/>
          <w:color w:val="auto"/>
        </w:rPr>
      </w:pPr>
    </w:p>
    <w:p>
      <w:pPr>
        <w:jc w:val="both"/>
        <w:ind w:right="80" w:firstLine="340"/>
        <w:spacing w:after="0" w:line="267" w:lineRule="auto"/>
        <w:rPr>
          <w:sz w:val="20"/>
          <w:szCs w:val="20"/>
          <w:color w:val="auto"/>
        </w:rPr>
      </w:pPr>
      <w:r>
        <w:rPr>
          <w:rFonts w:ascii="Arial" w:cs="Arial" w:eastAsia="Arial" w:hAnsi="Arial"/>
          <w:sz w:val="14"/>
          <w:szCs w:val="14"/>
          <w:color w:val="auto"/>
        </w:rPr>
        <w:t>Cost of revenues associated with Products and Licensing segment revenues consists of license fees for use of certain technologies, product manufacturing costs including all direct material and direct labor costs, amounts paid to our contract manufacturers, manufacturing, shipping and handling, provisions for product warranties and inventory obsolescence, as well as overhead allocated to each of these activities.</w:t>
      </w:r>
    </w:p>
    <w:p>
      <w:pPr>
        <w:spacing w:after="0" w:line="36" w:lineRule="exact"/>
        <w:rPr>
          <w:sz w:val="20"/>
          <w:szCs w:val="20"/>
          <w:color w:val="auto"/>
        </w:rPr>
      </w:pPr>
    </w:p>
    <w:p>
      <w:pPr>
        <w:ind w:right="100" w:firstLine="340"/>
        <w:spacing w:after="0" w:line="281" w:lineRule="auto"/>
        <w:rPr>
          <w:sz w:val="20"/>
          <w:szCs w:val="20"/>
          <w:color w:val="auto"/>
        </w:rPr>
      </w:pPr>
      <w:r>
        <w:rPr>
          <w:rFonts w:ascii="Arial" w:cs="Arial" w:eastAsia="Arial" w:hAnsi="Arial"/>
          <w:sz w:val="14"/>
          <w:szCs w:val="14"/>
          <w:color w:val="auto"/>
        </w:rPr>
        <w:t>Cost of revenues associated with Technology Development segment revenues consists of costs associated with performing the related research activities including direct labor, amounts paid to subcontractors and overhead allocated to Technology Development segment activities.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Expense</w:t>
      </w:r>
    </w:p>
    <w:p>
      <w:pPr>
        <w:spacing w:after="0" w:line="72" w:lineRule="exact"/>
        <w:rPr>
          <w:sz w:val="20"/>
          <w:szCs w:val="20"/>
          <w:color w:val="auto"/>
        </w:rPr>
      </w:pPr>
    </w:p>
    <w:p>
      <w:pPr>
        <w:ind w:right="20" w:firstLine="340"/>
        <w:spacing w:after="0" w:line="284" w:lineRule="auto"/>
        <w:rPr>
          <w:sz w:val="20"/>
          <w:szCs w:val="20"/>
          <w:color w:val="auto"/>
        </w:rPr>
      </w:pPr>
      <w:r>
        <w:rPr>
          <w:rFonts w:ascii="Arial" w:cs="Arial" w:eastAsia="Arial" w:hAnsi="Arial"/>
          <w:sz w:val="13"/>
          <w:szCs w:val="13"/>
          <w:color w:val="auto"/>
        </w:rPr>
        <w:t>Operating expense consists of selling, general and administrative expense, as well as expenses related to research, development and engineering, depreciation of fixed assets and amortization of intangible assets. These expenses also include compensation for employees in executive and operational functions including certain non-cash charges related to expenses from equity awards, facilities costs, professional fees, salaries, commissions, travel expense and related benefits of personnel engaged in sales, marketing, and administrative activities; costs of marketing programs and promotional materials; salaries, bonuses and related benefits of personnel engaged in our own research and development beyond the scope and activities of our Technology Development segment; product development activities not provided under contracts with third parties; and overhead costs related to these activities.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Investment Income</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Investment income consists of amounts earned on our cash equivalents. We sweep on a daily basis a portion of our cash on hand into a fund invested in U.S. government obligations.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Expense, Net</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Interest expense is composed of interest paid under our term loans as well as interest accrued on our finance lease obligations.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Products and Licensing Revenues</w:t>
      </w:r>
    </w:p>
    <w:p>
      <w:pPr>
        <w:spacing w:after="0" w:line="179" w:lineRule="exact"/>
        <w:rPr>
          <w:sz w:val="20"/>
          <w:szCs w:val="20"/>
          <w:color w:val="auto"/>
        </w:rPr>
      </w:pPr>
    </w:p>
    <w:p>
      <w:pPr>
        <w:ind w:firstLine="318"/>
        <w:spacing w:after="0" w:line="297" w:lineRule="auto"/>
        <w:rPr>
          <w:sz w:val="20"/>
          <w:szCs w:val="20"/>
          <w:color w:val="auto"/>
        </w:rPr>
      </w:pPr>
      <w:r>
        <w:rPr>
          <w:rFonts w:ascii="Arial" w:cs="Arial" w:eastAsia="Arial" w:hAnsi="Arial"/>
          <w:sz w:val="12"/>
          <w:szCs w:val="12"/>
          <w:color w:val="auto"/>
        </w:rPr>
        <w:t>To determine the proper revenue recognition method for Products and Licensing contracts, we evaluate whether two or more contracts should be combined and accounted for as one single contract and whether the combined or single contract should be accounted for as more than one performance obligation. We recognize revenue when the performance obligation has been satisfied by transferring the control of the product or service to the customer. For tangible products that contain software that is essential to the tangible product’s functionality, we consider the product and software to be a single performance obligation and recognize revenue accordingly. For contracts with multiple performance obligations, we allocate the contract’s transaction price to each performance obligation based on their relative stand-alone selling prices. In such circumstances, we use the observable price of goods or services which are sold separately in similar circumstances to similar customers. If these prices are not observable, then we will estimate the stand-alone selling price using information that is reasonably available. For the majority of our standard products and services, price list and discount structures related to customer type are available. For products and services that do not have price list and discount structures, we may use one or more of the following:</w:t>
      </w:r>
    </w:p>
    <w:p>
      <w:pPr>
        <w:spacing w:after="0" w:line="3" w:lineRule="exact"/>
        <w:rPr>
          <w:sz w:val="20"/>
          <w:szCs w:val="20"/>
          <w:color w:val="auto"/>
        </w:rPr>
      </w:pPr>
    </w:p>
    <w:p>
      <w:pPr>
        <w:ind w:right="100" w:firstLine="5"/>
        <w:spacing w:after="0" w:line="280" w:lineRule="auto"/>
        <w:tabs>
          <w:tab w:leader="none" w:pos="169" w:val="left"/>
        </w:tabs>
        <w:numPr>
          <w:ilvl w:val="0"/>
          <w:numId w:val="12"/>
        </w:numPr>
        <w:rPr>
          <w:rFonts w:ascii="Arial" w:cs="Arial" w:eastAsia="Arial" w:hAnsi="Arial"/>
          <w:sz w:val="13"/>
          <w:szCs w:val="13"/>
          <w:color w:val="auto"/>
        </w:rPr>
      </w:pPr>
      <w:r>
        <w:rPr>
          <w:rFonts w:ascii="Arial" w:cs="Arial" w:eastAsia="Arial" w:hAnsi="Arial"/>
          <w:sz w:val="13"/>
          <w:szCs w:val="13"/>
          <w:color w:val="auto"/>
        </w:rPr>
        <w:t>adjusted market assessment approach, (ii) expected cost plus a margin approach, and (iii) residual approach. The adjusted market approach requires us to evaluate the market in which we sell goods or services and estimate the price that a customer in that market would be willing to pay for those goods or services. The expected cost-plus margin approach requires us to forecast our expected costs of satisfying the performance obligation and then add a reasonable margin for that good or service. The residual approach decreases the total transaction price by the sum of the observable standalone selling prices if either the company sells the same good or services to different customers for a broad range of amounts or the company has not established a price for the good or service and that good or service has not been sold on a standalone basis. Shipping and handling activities primarily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80"/>
          </w:cols>
          <w:pgMar w:left="300" w:top="125" w:right="31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3" w:lineRule="exact"/>
        <w:rPr>
          <w:sz w:val="20"/>
          <w:szCs w:val="20"/>
          <w:color w:val="auto"/>
        </w:rPr>
      </w:pPr>
    </w:p>
    <w:p>
      <w:pPr>
        <w:ind w:right="60"/>
        <w:spacing w:after="0" w:line="321" w:lineRule="auto"/>
        <w:rPr>
          <w:sz w:val="20"/>
          <w:szCs w:val="20"/>
          <w:color w:val="auto"/>
        </w:rPr>
      </w:pPr>
      <w:r>
        <w:rPr>
          <w:rFonts w:ascii="Arial" w:cs="Arial" w:eastAsia="Arial" w:hAnsi="Arial"/>
          <w:sz w:val="13"/>
          <w:szCs w:val="13"/>
          <w:color w:val="auto"/>
        </w:rPr>
        <w:t>occur after a customer obtains control and are considered fulfillment cost rather than separate performance obligations. Similarly, sales and similar taxes assessed by a governmental authority that are both imposed on and concurrent with a specific revenue-producing transaction and collected by the entity from a customer are excluded from the measurement of the transaction price.</w:t>
      </w:r>
    </w:p>
    <w:p>
      <w:pPr>
        <w:spacing w:after="0" w:line="109" w:lineRule="exact"/>
        <w:rPr>
          <w:sz w:val="20"/>
          <w:szCs w:val="20"/>
          <w:color w:val="auto"/>
        </w:rPr>
      </w:pPr>
    </w:p>
    <w:p>
      <w:pPr>
        <w:ind w:right="80" w:firstLine="318"/>
        <w:spacing w:after="0" w:line="277" w:lineRule="auto"/>
        <w:rPr>
          <w:sz w:val="20"/>
          <w:szCs w:val="20"/>
          <w:color w:val="auto"/>
        </w:rPr>
      </w:pPr>
      <w:r>
        <w:rPr>
          <w:rFonts w:ascii="Arial" w:cs="Arial" w:eastAsia="Arial" w:hAnsi="Arial"/>
          <w:sz w:val="13"/>
          <w:szCs w:val="13"/>
          <w:color w:val="auto"/>
        </w:rPr>
        <w:t>For standard products, we recognize revenue at a point in time when control passes to the customer. Absent substantial product acceptance clauses, this is based on the shipping terms. For custom products that require engineering and development based on customer requirements, we will recognize revenue over time using the output method for any items shipped and any finished goods or work in process that is produced for balances of open sales orders. For any finished goods or work in process that has been produced for the balance of open sales orders we recognize revenue by applying the average selling price for such open order to the lesser of the on-hand balance in finished goods or open sales order quantity which we present as a contract asset on the balance sheet. Cost of sales is recognized based on the standard cost of the finished goods and work in process associated with this revenue and inventory balances are reduced accordingly. For extended warranties and product rentals, revenue is recognized over time using the output method based on the time elapsed for the warranty or service period. In the case of warranties, we record a contract liability for amounts billed but that are not recognized until subsequent periods. A separate contract liability is recorded for the cost associated with warranty repairs based on our estimate of future expense. For testing services where we are performing testing on an asset the customer controls, revenue is recognized over time by the output method using the performance to date. For training, where the customer is receiving the benefit of training as it is occurring, and for repairs to a customer-controlled asset, revenue is recognized over time by the output method using the performance to date. For royalty revenue, we apply the practical expedient “royalty exception” recognizing revenue based on the royalty agreement which specifies an amount based on sales or minimum amount, whichever is greater.</w:t>
      </w:r>
    </w:p>
    <w:p>
      <w:pPr>
        <w:spacing w:after="0" w:line="203" w:lineRule="exact"/>
        <w:rPr>
          <w:sz w:val="20"/>
          <w:szCs w:val="20"/>
          <w:color w:val="auto"/>
        </w:rPr>
      </w:pPr>
    </w:p>
    <w:p>
      <w:pPr>
        <w:jc w:val="both"/>
        <w:ind w:right="20" w:firstLine="318"/>
        <w:spacing w:after="0" w:line="267" w:lineRule="auto"/>
        <w:rPr>
          <w:sz w:val="20"/>
          <w:szCs w:val="20"/>
          <w:color w:val="auto"/>
        </w:rPr>
      </w:pPr>
      <w:r>
        <w:rPr>
          <w:rFonts w:ascii="Arial" w:cs="Arial" w:eastAsia="Arial" w:hAnsi="Arial"/>
          <w:sz w:val="14"/>
          <w:szCs w:val="14"/>
          <w:color w:val="auto"/>
        </w:rPr>
        <w:t>In some product rental contracts, a customer may be offered a discount on the purchase of an item that would provide for a material right. When a material right has been provided to a customer, a separate performance obligation is established, and a portion of the rental revenue will be deferred until the future product is purchased or the option expires. This deferred revenue is recognized as a contract liability on the balance sheet.</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Technology Development Revenues</w:t>
      </w:r>
    </w:p>
    <w:p>
      <w:pPr>
        <w:spacing w:after="0" w:line="242" w:lineRule="exact"/>
        <w:rPr>
          <w:sz w:val="20"/>
          <w:szCs w:val="20"/>
          <w:color w:val="auto"/>
        </w:rPr>
      </w:pPr>
    </w:p>
    <w:p>
      <w:pPr>
        <w:ind w:right="160" w:firstLine="318"/>
        <w:spacing w:after="0" w:line="267" w:lineRule="auto"/>
        <w:rPr>
          <w:sz w:val="20"/>
          <w:szCs w:val="20"/>
          <w:color w:val="auto"/>
        </w:rPr>
      </w:pPr>
      <w:r>
        <w:rPr>
          <w:rFonts w:ascii="Arial" w:cs="Arial" w:eastAsia="Arial" w:hAnsi="Arial"/>
          <w:sz w:val="14"/>
          <w:szCs w:val="14"/>
          <w:color w:val="auto"/>
        </w:rPr>
        <w:t>We perform research and development for U.S. Federal government agencies, educational institutions and commercial organizations. We account for a research contract when a contract has been executed, the rights of the parties are identified, payment terms are identified, the contract has commercial substance, and collectability of the contract price is considered probable. Revenue is earned under cost reimbursable, time and materials and fixed price contracts. Direct contract costs are expensed as incurred.</w:t>
      </w:r>
    </w:p>
    <w:p>
      <w:pPr>
        <w:spacing w:after="0" w:line="142" w:lineRule="exact"/>
        <w:rPr>
          <w:sz w:val="20"/>
          <w:szCs w:val="20"/>
          <w:color w:val="auto"/>
        </w:rPr>
      </w:pPr>
    </w:p>
    <w:p>
      <w:pPr>
        <w:ind w:right="80" w:firstLine="318"/>
        <w:spacing w:after="0" w:line="262" w:lineRule="auto"/>
        <w:rPr>
          <w:sz w:val="20"/>
          <w:szCs w:val="20"/>
          <w:color w:val="auto"/>
        </w:rPr>
      </w:pPr>
      <w:r>
        <w:rPr>
          <w:rFonts w:ascii="Arial" w:cs="Arial" w:eastAsia="Arial" w:hAnsi="Arial"/>
          <w:sz w:val="14"/>
          <w:szCs w:val="14"/>
          <w:color w:val="auto"/>
        </w:rPr>
        <w:t>Our contracts with agencies of the U.S. government are subject to periodic funding by the respective contracting agency. Funding for a contract may be provided in full at inception of the contract or ratably throughout the contract as the services are provided. In evaluating the probability of funding for purposes of assessing collectability of the contract price, we consider our previous experience with our customers, communication with our customers regarding funding status and our knowledge of available funding for the contract or program. If funding is not assessed as probable, revenue recognition is deferred until realization is reasonably assured.</w:t>
      </w:r>
    </w:p>
    <w:p>
      <w:pPr>
        <w:spacing w:after="0" w:line="146" w:lineRule="exact"/>
        <w:rPr>
          <w:sz w:val="20"/>
          <w:szCs w:val="20"/>
          <w:color w:val="auto"/>
        </w:rPr>
      </w:pPr>
    </w:p>
    <w:p>
      <w:pPr>
        <w:ind w:firstLine="318"/>
        <w:spacing w:after="0" w:line="307" w:lineRule="auto"/>
        <w:rPr>
          <w:sz w:val="20"/>
          <w:szCs w:val="20"/>
          <w:color w:val="auto"/>
        </w:rPr>
      </w:pPr>
      <w:r>
        <w:rPr>
          <w:rFonts w:ascii="Arial" w:cs="Arial" w:eastAsia="Arial" w:hAnsi="Arial"/>
          <w:sz w:val="12"/>
          <w:szCs w:val="12"/>
          <w:color w:val="auto"/>
        </w:rPr>
        <w:t>Under the typical payment terms of our U.S. government contracts, the customer pays us either performance-based payments ("PBPs") or progress payments. PBPs, which are typically used in the firm fixed price contracts, are interim payments based on quantifiable measures of performance or on the achievement of specified events or milestones. Progress payments, which are typically used in our cost type contracts, are interim payments based on costs incurred as the work progresses. For our U.S. government cost-type contracts, the customer generally pays us during the performance period for 80%-90% of our actual costs incurred. Because the customer retains a small portion of the contract price until completion of the contract and audit of allowable costs, cost type contracts generally result in revenue recognized in excess of billings which we present as contract assets on the balance sheet. Amounts billed and due from our customers are classified as receivables on the balance sheet. For non-U.S. government contracts, we typically receive interim payments as work progresses, although for some contracts, we may be entitled to receive advance payments. We recognize a liability for these advance payments and PBPs paid in advance which are in excess of the revenue recognized and present these amounts as contract liabilities on the balance sheet.</w:t>
      </w:r>
    </w:p>
    <w:p>
      <w:pPr>
        <w:spacing w:after="0" w:line="122" w:lineRule="exact"/>
        <w:rPr>
          <w:sz w:val="20"/>
          <w:szCs w:val="20"/>
          <w:color w:val="auto"/>
        </w:rPr>
      </w:pPr>
    </w:p>
    <w:p>
      <w:pPr>
        <w:ind w:right="220" w:firstLine="318"/>
        <w:spacing w:after="0" w:line="281" w:lineRule="auto"/>
        <w:rPr>
          <w:sz w:val="20"/>
          <w:szCs w:val="20"/>
          <w:color w:val="auto"/>
        </w:rPr>
      </w:pPr>
      <w:r>
        <w:rPr>
          <w:rFonts w:ascii="Arial" w:cs="Arial" w:eastAsia="Arial" w:hAnsi="Arial"/>
          <w:sz w:val="14"/>
          <w:szCs w:val="14"/>
          <w:color w:val="auto"/>
        </w:rPr>
        <w:t>To determine the proper revenue recognition method for research and development contracts, we evaluate whether two or more contracts should be combined and accounted for as one single contract and whether the combined or single contract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80"/>
          </w:cols>
          <w:pgMar w:left="300" w:top="125" w:right="31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3" w:lineRule="exact"/>
        <w:rPr>
          <w:sz w:val="20"/>
          <w:szCs w:val="20"/>
          <w:color w:val="auto"/>
        </w:rPr>
      </w:pPr>
    </w:p>
    <w:p>
      <w:pPr>
        <w:spacing w:after="0" w:line="288" w:lineRule="auto"/>
        <w:rPr>
          <w:sz w:val="20"/>
          <w:szCs w:val="20"/>
          <w:color w:val="auto"/>
        </w:rPr>
      </w:pPr>
      <w:r>
        <w:rPr>
          <w:rFonts w:ascii="Arial" w:cs="Arial" w:eastAsia="Arial" w:hAnsi="Arial"/>
          <w:sz w:val="13"/>
          <w:szCs w:val="13"/>
          <w:color w:val="auto"/>
        </w:rPr>
        <w:t>should be accounted for as more than one performance obligation. For instances where a contract has options that were bid with the initial contract and awarded at a later date, we combine the options with the original contract when options are awarded. For most of our contracts, the customer contracts for research with multiple milestones that are interdependent. Consequently, the entire contract is accounted for as one performance obligation. The effect of the combined or modified contract on the transaction price and measure of progress for the performance obligation to which it relates, is recognized as an adjustment to revenue (either as an increase in or a reduction of revenue) on a cumulative catch-up basis.</w:t>
      </w:r>
    </w:p>
    <w:p>
      <w:pPr>
        <w:spacing w:after="0" w:line="131" w:lineRule="exact"/>
        <w:rPr>
          <w:sz w:val="20"/>
          <w:szCs w:val="20"/>
          <w:color w:val="auto"/>
        </w:rPr>
      </w:pPr>
    </w:p>
    <w:p>
      <w:pPr>
        <w:ind w:right="220" w:firstLine="318"/>
        <w:spacing w:after="0" w:line="260" w:lineRule="auto"/>
        <w:rPr>
          <w:sz w:val="20"/>
          <w:szCs w:val="20"/>
          <w:color w:val="auto"/>
        </w:rPr>
      </w:pPr>
      <w:r>
        <w:rPr>
          <w:rFonts w:ascii="Arial" w:cs="Arial" w:eastAsia="Arial" w:hAnsi="Arial"/>
          <w:sz w:val="14"/>
          <w:szCs w:val="14"/>
          <w:color w:val="auto"/>
        </w:rPr>
        <w:t>Contract revenue recognition is measured over time as we perform because of continuous transfer of control to the customer. For U.S. government contracts which are typically subject to the Federal Acquisition Regulation, this continuous transfer of control to the customer is supported by clauses in the contract that allow the customer to unilaterally terminate the contract for convenience, pay us for cost incurred plus a reasonable profit and take control of any work in process. From time to time, as part of normal management processes, facts may change, causing revisions to estimated total costs or revenues expected. The cumulative impact of any revisions to estimates and the full impact of anticipated losses on any type of contract are recognized in the period in which they become known.</w:t>
      </w:r>
    </w:p>
    <w:p>
      <w:pPr>
        <w:spacing w:after="0" w:line="146" w:lineRule="exact"/>
        <w:rPr>
          <w:sz w:val="20"/>
          <w:szCs w:val="20"/>
          <w:color w:val="auto"/>
        </w:rPr>
      </w:pPr>
    </w:p>
    <w:p>
      <w:pPr>
        <w:ind w:right="20" w:firstLine="318"/>
        <w:spacing w:after="0" w:line="305" w:lineRule="auto"/>
        <w:rPr>
          <w:sz w:val="20"/>
          <w:szCs w:val="20"/>
          <w:color w:val="auto"/>
        </w:rPr>
      </w:pPr>
      <w:r>
        <w:rPr>
          <w:rFonts w:ascii="Arial" w:cs="Arial" w:eastAsia="Arial" w:hAnsi="Arial"/>
          <w:sz w:val="12"/>
          <w:szCs w:val="12"/>
          <w:color w:val="auto"/>
        </w:rPr>
        <w:t>Because of control transfers over time, revenue is recognized over time based on the extent of progress towards completion of the performance obligation. The selection of the method to measure progress towards completion requires judgment and is based on the nature of the services to be provided. We generally use the input method, more specifically the cost-to-cost measure of progress for our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The underlying bases for estimating our contract research revenues are measurable expenses, such as labor, subcontractor costs and materials, and data that are updated on a regular basis for purposes of preparing our cost estimates. Our research contracts generally have a period of performance of six months to three years, and our estimates of contract costs have historically been consistent with actual results. Revisions in these estimates between accounting periods to reflect changing facts and circumstances have not had a material impact on our operating results, and we do not expect future changes in these estimates to be material. The cumulative impact of any revisions to estimates and the full impact of anticipated losses on any type of contract are recognized in the period in which they become known.</w:t>
      </w:r>
    </w:p>
    <w:p>
      <w:pPr>
        <w:spacing w:after="0" w:line="125" w:lineRule="exact"/>
        <w:rPr>
          <w:sz w:val="20"/>
          <w:szCs w:val="20"/>
          <w:color w:val="auto"/>
        </w:rPr>
      </w:pPr>
    </w:p>
    <w:p>
      <w:pPr>
        <w:ind w:right="300" w:firstLine="318"/>
        <w:spacing w:after="0" w:line="267" w:lineRule="auto"/>
        <w:rPr>
          <w:sz w:val="20"/>
          <w:szCs w:val="20"/>
          <w:color w:val="auto"/>
        </w:rPr>
      </w:pPr>
      <w:r>
        <w:rPr>
          <w:rFonts w:ascii="Arial" w:cs="Arial" w:eastAsia="Arial" w:hAnsi="Arial"/>
          <w:sz w:val="14"/>
          <w:szCs w:val="14"/>
          <w:color w:val="auto"/>
        </w:rPr>
        <w:t>Under cost reimbursable contracts, we are reimbursed for costs that are determined to be reasonable, allowable and allocable to the contract and paid a fixed fee representing the profit negotiated between us and the contracting agency. Revenue from cost reimbursable contracts is recognized as costs are incurred plus an estimate of applicable fees earned. We consider fixed fees under cost reimbursable contracts to be earned in proportion to the allowable costs incurred in performance of the contract.</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Revenue from time and materials contracts is recognized based on direct labor hours expended at contract billing rates plus other billable direct costs.</w:t>
      </w:r>
    </w:p>
    <w:p>
      <w:pPr>
        <w:spacing w:after="0" w:line="179"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Fixed price contracts may include either a product delivery or specific service performance throughout a period. For fixed price contracts that are based on the proportional performance method and involve a specified number of deliverables, we recognize revenue based on the proportion of the cost of the deliverables compared to the cost of all deliverables included in the contract as this method more accurately measures performance under these arrangements. For fixed price contracts that provide for the development and delivery of a specific prototype or product, revenue is recognized based upon the percentage of completion method.</w:t>
      </w:r>
    </w:p>
    <w:p>
      <w:pPr>
        <w:spacing w:after="0" w:line="146"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Whether certain costs under government contracts are allowable is subject to audit by the government. Certain indirect costs are charged to contracts using provisional or estimated indirect rates, which are subject to later revision based on government audits of those costs. Management is of the opinion that costs subsequently disallowed, if any, would not likely have a significant impact on revenues recognized for those contracts.</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Taxes</w:t>
      </w:r>
    </w:p>
    <w:p>
      <w:pPr>
        <w:spacing w:after="0" w:line="72" w:lineRule="exact"/>
        <w:rPr>
          <w:sz w:val="20"/>
          <w:szCs w:val="20"/>
          <w:color w:val="auto"/>
        </w:rPr>
      </w:pPr>
    </w:p>
    <w:p>
      <w:pPr>
        <w:ind w:right="220" w:firstLine="340"/>
        <w:spacing w:after="0" w:line="288" w:lineRule="auto"/>
        <w:rPr>
          <w:sz w:val="20"/>
          <w:szCs w:val="20"/>
          <w:color w:val="auto"/>
        </w:rPr>
      </w:pPr>
      <w:r>
        <w:rPr>
          <w:rFonts w:ascii="Arial" w:cs="Arial" w:eastAsia="Arial" w:hAnsi="Arial"/>
          <w:sz w:val="13"/>
          <w:szCs w:val="13"/>
          <w:color w:val="auto"/>
        </w:rPr>
        <w:t>We estimate our tax liability through calculating our current tax liability, together with assessing temporary differences resulting from the different treatment of items for tax and accounting purposes. These differences result in deferred tax assets and liabilities, which we record on our balance sheet. Management then assesses the likelihood that deferred tax assets will be recovered in future periods. In assessing the need for a valuation allowance against the net deferred tax asset, management considers factors such as future reversals of existing taxable temporary differences, taxable income in prior carry back years, whether carry back is permitted under the tax law, tax planning strategies and estimated future taxable income exclusive 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80"/>
          </w:cols>
          <w:pgMar w:left="300" w:top="125" w:right="31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right="500"/>
        <w:spacing w:after="0" w:line="281" w:lineRule="auto"/>
        <w:rPr>
          <w:sz w:val="20"/>
          <w:szCs w:val="20"/>
          <w:color w:val="auto"/>
        </w:rPr>
      </w:pPr>
      <w:r>
        <w:rPr>
          <w:rFonts w:ascii="Arial" w:cs="Arial" w:eastAsia="Arial" w:hAnsi="Arial"/>
          <w:sz w:val="14"/>
          <w:szCs w:val="14"/>
          <w:color w:val="auto"/>
        </w:rPr>
        <w:t>reversing temporary differences and carryforwards. To the extent that we cannot conclude that it is more likely than not that the benefit of such assets will be realized, we establish a valuation allowance to reduce their net carrying value.</w:t>
      </w:r>
    </w:p>
    <w:p>
      <w:pPr>
        <w:spacing w:after="0" w:line="90" w:lineRule="exact"/>
        <w:rPr>
          <w:sz w:val="20"/>
          <w:szCs w:val="20"/>
          <w:color w:val="auto"/>
        </w:rPr>
      </w:pPr>
    </w:p>
    <w:p>
      <w:pPr>
        <w:ind w:right="100" w:firstLine="340"/>
        <w:spacing w:after="0" w:line="281" w:lineRule="auto"/>
        <w:rPr>
          <w:sz w:val="20"/>
          <w:szCs w:val="20"/>
          <w:color w:val="auto"/>
        </w:rPr>
      </w:pPr>
      <w:r>
        <w:rPr>
          <w:rFonts w:ascii="Arial" w:cs="Arial" w:eastAsia="Arial" w:hAnsi="Arial"/>
          <w:sz w:val="14"/>
          <w:szCs w:val="14"/>
          <w:color w:val="auto"/>
        </w:rPr>
        <w:t>As we assess our projections of future taxable income or other factors that may impact our ability to generate taxable income in future periods, our estimate of the required valuation allowance may change, which could have a material impact on future earnings or losses.</w:t>
      </w:r>
    </w:p>
    <w:p>
      <w:pPr>
        <w:spacing w:after="0" w:line="90" w:lineRule="exact"/>
        <w:rPr>
          <w:sz w:val="20"/>
          <w:szCs w:val="20"/>
          <w:color w:val="auto"/>
        </w:rPr>
      </w:pPr>
    </w:p>
    <w:p>
      <w:pPr>
        <w:ind w:right="40" w:firstLine="340"/>
        <w:spacing w:after="0" w:line="282" w:lineRule="auto"/>
        <w:rPr>
          <w:sz w:val="20"/>
          <w:szCs w:val="20"/>
          <w:color w:val="auto"/>
        </w:rPr>
      </w:pPr>
      <w:r>
        <w:rPr>
          <w:rFonts w:ascii="Arial" w:cs="Arial" w:eastAsia="Arial" w:hAnsi="Arial"/>
          <w:sz w:val="13"/>
          <w:szCs w:val="13"/>
          <w:color w:val="auto"/>
        </w:rPr>
        <w:t>We recognize tax benefits from an uncertain tax position only if it is more likely than not that the tax position will be sustained on examination by taxing authorities. While it is often difficult to predict the final outcome of timing of the resolution of any particular tax matter, we establish a liability at the time we determine it is probable we will be required to pay additional taxes related to certain matters. These liabilities are recorded in accrued liabilities in our consolidated balance sheets. We adjust this provision, including any impact on the related interest and penalties, in light of changing facts and circumstances, such as the progress of a tax audit. A number of years may elapse before a particular matter for which we have established a liability is audited and finally resolved. The number of years with open tax audits varies depending on the tax jurisdiction. Settlement of any particular issue would usually require the use of cash. We recognize favorable resolutions of tax matters for which we have previously established liabilities as a reduction to our income tax expense when the amounts involved become known.</w:t>
      </w:r>
    </w:p>
    <w:p>
      <w:pPr>
        <w:spacing w:after="0" w:line="92" w:lineRule="exact"/>
        <w:rPr>
          <w:sz w:val="20"/>
          <w:szCs w:val="20"/>
          <w:color w:val="auto"/>
        </w:rPr>
      </w:pPr>
    </w:p>
    <w:p>
      <w:pPr>
        <w:ind w:right="80" w:firstLine="340"/>
        <w:spacing w:after="0" w:line="258" w:lineRule="auto"/>
        <w:rPr>
          <w:sz w:val="20"/>
          <w:szCs w:val="20"/>
          <w:color w:val="auto"/>
        </w:rPr>
      </w:pPr>
      <w:r>
        <w:rPr>
          <w:rFonts w:ascii="Arial" w:cs="Arial" w:eastAsia="Arial" w:hAnsi="Arial"/>
          <w:sz w:val="14"/>
          <w:szCs w:val="14"/>
          <w:color w:val="auto"/>
        </w:rPr>
        <w:t>Due to differences between federal and state tax law, and accounting principles generally accepted in the United States of America ("GAAP") certain items are included in the tax return at different times than when those items are reflected in the consolidated financial statements. Therefore, the annual tax rate reflected in our consolidated financial statements is different than that reported in our tax return. Some of these differences are permanent, such as expenses that are not deductible in our tax return. Some differences, such as depreciation expense, reverse over time and create deferred tax assets and liabilities. The tax rates used to determine deferred tax assets or liabilities are the enacted tax rates in effect for the year in which the differences are expected to reverse. Based on the evaluation of all available information, we recognize future tax benefits, such as net operating loss ("NOL") carryforwards, to the extent that realizing these benefits is considered more likely than not.</w:t>
      </w:r>
    </w:p>
    <w:p>
      <w:pPr>
        <w:spacing w:after="0" w:line="107" w:lineRule="exact"/>
        <w:rPr>
          <w:sz w:val="20"/>
          <w:szCs w:val="20"/>
          <w:color w:val="auto"/>
        </w:rPr>
      </w:pPr>
    </w:p>
    <w:p>
      <w:pPr>
        <w:ind w:firstLine="340"/>
        <w:spacing w:after="0" w:line="260" w:lineRule="auto"/>
        <w:rPr>
          <w:sz w:val="20"/>
          <w:szCs w:val="20"/>
          <w:color w:val="auto"/>
        </w:rPr>
      </w:pPr>
      <w:r>
        <w:rPr>
          <w:rFonts w:ascii="Arial" w:cs="Arial" w:eastAsia="Arial" w:hAnsi="Arial"/>
          <w:sz w:val="14"/>
          <w:szCs w:val="14"/>
          <w:color w:val="auto"/>
        </w:rPr>
        <w:t>As of December 31, 2019, we were no longer in a three-year cumulative loss position, which required additional analysis to be performed in order to determine the likelihood of realizing the deferred tax assets in the foreseeable future. After further analysis, it was determined that a portion of the December 31, 2019 balance of deferred tax assets will be realized. Because the NOLs carried over from API are limited under Section 382, the deferred tax asset of $1.2 million is expected to be realized over an extended period of time (with continued earnings realized ratably through 2034). The deferred tax asset related to the NOL carryovers of API Canada, Luna Analytics, Luna Nanomaterials, and Luna Quest will likely not be realized in the foreseeable future as these entities no longer have any activity.</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Stock-Based Compensation</w:t>
      </w:r>
    </w:p>
    <w:p>
      <w:pPr>
        <w:spacing w:after="0" w:line="72" w:lineRule="exact"/>
        <w:rPr>
          <w:sz w:val="20"/>
          <w:szCs w:val="20"/>
          <w:color w:val="auto"/>
        </w:rPr>
      </w:pPr>
    </w:p>
    <w:p>
      <w:pPr>
        <w:ind w:firstLine="340"/>
        <w:spacing w:after="0" w:line="258" w:lineRule="auto"/>
        <w:rPr>
          <w:sz w:val="20"/>
          <w:szCs w:val="20"/>
          <w:color w:val="auto"/>
        </w:rPr>
      </w:pPr>
      <w:r>
        <w:rPr>
          <w:rFonts w:ascii="Arial" w:cs="Arial" w:eastAsia="Arial" w:hAnsi="Arial"/>
          <w:sz w:val="14"/>
          <w:szCs w:val="14"/>
          <w:color w:val="auto"/>
        </w:rPr>
        <w:t>We recognize stock-based compensation expense based upon the fair value of the underlying equity award on the date of the grant. The calculation of the fair value of our awards requires certain inputs that are subjective and changes to the estimates used will cause the fair values of our stock awards and related stock-based compensation expense to vary. We have elected to use the Black-Scholes-Merton ("Black-Scholes") option pricing model to determine the fair value of stock options. The fair value of a stock option award is affected by our stock price on the date of the grant as well as other assumptions used as inputs in the valuation model including the estimated volatility of our stock price over the term of the awards, the estimate period of time that we expect employees to hold their stock options and the risk-free interest rate assumption. In addition, we are required to reduce stock-based compensation expense for the effects of actual forfeitures of unvested awards in the period they occur.</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Long-lived and Intangible Assets</w:t>
      </w:r>
    </w:p>
    <w:p>
      <w:pPr>
        <w:spacing w:after="0" w:line="72" w:lineRule="exact"/>
        <w:rPr>
          <w:sz w:val="20"/>
          <w:szCs w:val="20"/>
          <w:color w:val="auto"/>
        </w:rPr>
      </w:pPr>
    </w:p>
    <w:p>
      <w:pPr>
        <w:ind w:right="60" w:firstLine="340"/>
        <w:spacing w:after="0" w:line="262" w:lineRule="auto"/>
        <w:rPr>
          <w:sz w:val="20"/>
          <w:szCs w:val="20"/>
          <w:color w:val="auto"/>
        </w:rPr>
      </w:pPr>
      <w:r>
        <w:rPr>
          <w:rFonts w:ascii="Arial" w:cs="Arial" w:eastAsia="Arial" w:hAnsi="Arial"/>
          <w:sz w:val="14"/>
          <w:szCs w:val="14"/>
          <w:color w:val="auto"/>
        </w:rPr>
        <w:t>Long-lived assets and certain identifiable intangibles are reviewed for impairment whenever events or changes in circumstances indicate that the carrying amount of an asset might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 exceeds the fair value of the asset. Assets to be disposed of are reported at the lower of the carrying amount or fair value, less cost to sell.</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w:t>
      </w:r>
    </w:p>
    <w:p>
      <w:pPr>
        <w:spacing w:after="0" w:line="72" w:lineRule="exact"/>
        <w:rPr>
          <w:sz w:val="20"/>
          <w:szCs w:val="20"/>
          <w:color w:val="auto"/>
        </w:rPr>
      </w:pPr>
    </w:p>
    <w:p>
      <w:pPr>
        <w:ind w:right="540" w:firstLine="509"/>
        <w:spacing w:after="0" w:line="281" w:lineRule="auto"/>
        <w:rPr>
          <w:sz w:val="20"/>
          <w:szCs w:val="20"/>
          <w:color w:val="auto"/>
        </w:rPr>
      </w:pPr>
      <w:r>
        <w:rPr>
          <w:rFonts w:ascii="Arial" w:cs="Arial" w:eastAsia="Arial" w:hAnsi="Arial"/>
          <w:sz w:val="14"/>
          <w:szCs w:val="14"/>
          <w:color w:val="auto"/>
        </w:rPr>
        <w:t>Goodwill is reviewed for impairment at least annually, or more frequently if events or circumstances indicate that goodwill might be impaired. We have established October 1 as our specified annual date for impairment testing.</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80"/>
          </w:cols>
          <w:pgMar w:left="300" w:top="125" w:right="31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7" w:lineRule="exact"/>
        <w:rPr>
          <w:sz w:val="20"/>
          <w:szCs w:val="20"/>
          <w:color w:val="auto"/>
        </w:rPr>
      </w:pPr>
    </w:p>
    <w:p>
      <w:pPr>
        <w:ind w:right="80" w:firstLine="340"/>
        <w:spacing w:after="0" w:line="260" w:lineRule="auto"/>
        <w:rPr>
          <w:sz w:val="20"/>
          <w:szCs w:val="20"/>
          <w:color w:val="auto"/>
        </w:rPr>
      </w:pPr>
      <w:r>
        <w:rPr>
          <w:rFonts w:ascii="Arial" w:cs="Arial" w:eastAsia="Arial" w:hAnsi="Arial"/>
          <w:sz w:val="14"/>
          <w:szCs w:val="14"/>
          <w:color w:val="auto"/>
        </w:rPr>
        <w:t>In February 2016, the Financial Accounting Standards Board ("FASB") issued a new standard related to leases, Accounting Standards Update ("ASU") No. 2016-02, Leases (Topic 842) and subsequent amendments, which replaced existing GAAP and requires lessees to recognize right-of-use ("ROU") assets and corresponding lease liabilities that depict the rights and obligations arising from a lease agreement. We implemented ASU 2016-02 on January 1, 2019 and elected certain practical expedients available under the ASU. As a result of the adoption, we recognized ROU assets totaling $3.5 million and lease liabilities totaling $4.7 million as of the adoption date. For additional information related to the adoption of Topic 842, see Note 1 to our Consolidated Financial Statements elsewhere in this Annual Report on Form 10-K.</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Business Combinations</w:t>
      </w:r>
    </w:p>
    <w:p>
      <w:pPr>
        <w:spacing w:after="0" w:line="72" w:lineRule="exact"/>
        <w:rPr>
          <w:sz w:val="20"/>
          <w:szCs w:val="20"/>
          <w:color w:val="auto"/>
        </w:rPr>
      </w:pPr>
    </w:p>
    <w:p>
      <w:pPr>
        <w:ind w:firstLine="340"/>
        <w:spacing w:after="0" w:line="267" w:lineRule="auto"/>
        <w:rPr>
          <w:sz w:val="20"/>
          <w:szCs w:val="20"/>
          <w:color w:val="auto"/>
        </w:rPr>
      </w:pPr>
      <w:r>
        <w:rPr>
          <w:rFonts w:ascii="Arial" w:cs="Arial" w:eastAsia="Arial" w:hAnsi="Arial"/>
          <w:sz w:val="14"/>
          <w:szCs w:val="14"/>
          <w:color w:val="auto"/>
        </w:rPr>
        <w:t>We account for business combinations under the acquisition method of accounting, in accordance with ASC 805 - Business Combinations. Under ASC 805, the total estimated purchase consideration is allocated to the acquired tangible and intangible assets and assumed liabilities based on their estimated fair values as of the acquisition date. Any excess of the fair value of acquisition consideration over the fair value of identifiable assets acquired and liabilities assumed is recorded as goodwill.</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shows information derived from our consolidated statements of operations expressed as a percentage of total revenues for the periods presented.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700" w:type="dxa"/>
            <w:vAlign w:val="bottom"/>
            <w:shd w:val="clear" w:color="auto" w:fill="CCEEFF"/>
          </w:tcPr>
          <w:p>
            <w:pPr>
              <w:spacing w:after="0"/>
              <w:rPr>
                <w:sz w:val="13"/>
                <w:szCs w:val="13"/>
                <w:color w:val="auto"/>
              </w:rPr>
            </w:pPr>
          </w:p>
        </w:tc>
        <w:tc>
          <w:tcPr>
            <w:tcW w:w="2400" w:type="dxa"/>
            <w:vAlign w:val="bottom"/>
            <w:tcBorders>
              <w:bottom w:val="single" w:sz="8" w:color="auto"/>
            </w:tcBorders>
            <w:gridSpan w:val="3"/>
            <w:shd w:val="clear" w:color="auto" w:fill="CCEEFF"/>
          </w:tcPr>
          <w:p>
            <w:pPr>
              <w:jc w:val="right"/>
              <w:ind w:right="470"/>
              <w:spacing w:after="0"/>
              <w:rPr>
                <w:sz w:val="20"/>
                <w:szCs w:val="20"/>
                <w:color w:val="auto"/>
              </w:rPr>
            </w:pPr>
            <w:r>
              <w:rPr>
                <w:rFonts w:ascii="Arial" w:cs="Arial" w:eastAsia="Arial" w:hAnsi="Arial"/>
                <w:sz w:val="11"/>
                <w:szCs w:val="11"/>
                <w:b w:val="1"/>
                <w:bCs w:val="1"/>
                <w:color w:val="auto"/>
              </w:rPr>
              <w:t>Years ended December 31,</w:t>
            </w:r>
          </w:p>
        </w:tc>
      </w:tr>
      <w:tr>
        <w:trPr>
          <w:trHeight w:val="199"/>
        </w:trPr>
        <w:tc>
          <w:tcPr>
            <w:tcW w:w="77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351"/>
              <w:spacing w:after="0"/>
              <w:rPr>
                <w:sz w:val="20"/>
                <w:szCs w:val="20"/>
                <w:color w:val="auto"/>
              </w:rPr>
            </w:pPr>
            <w:r>
              <w:rPr>
                <w:rFonts w:ascii="Arial" w:cs="Arial" w:eastAsia="Arial" w:hAnsi="Arial"/>
                <w:sz w:val="11"/>
                <w:szCs w:val="11"/>
                <w:b w:val="1"/>
                <w:bCs w:val="1"/>
                <w:color w:val="auto"/>
              </w:rPr>
              <w:t>2019</w:t>
            </w:r>
          </w:p>
        </w:tc>
        <w:tc>
          <w:tcPr>
            <w:tcW w:w="3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1"/>
                <w:szCs w:val="11"/>
                <w:b w:val="1"/>
                <w:bCs w:val="1"/>
                <w:color w:val="auto"/>
              </w:rPr>
              <w:t>2018</w:t>
            </w:r>
          </w:p>
        </w:tc>
      </w:tr>
      <w:tr>
        <w:trPr>
          <w:trHeight w:val="187"/>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0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191"/>
        </w:trPr>
        <w:tc>
          <w:tcPr>
            <w:tcW w:w="7700" w:type="dxa"/>
            <w:vAlign w:val="bottom"/>
          </w:tcPr>
          <w:p>
            <w:pPr>
              <w:ind w:left="300"/>
              <w:spacing w:after="0"/>
              <w:rPr>
                <w:sz w:val="20"/>
                <w:szCs w:val="20"/>
                <w:color w:val="auto"/>
              </w:rPr>
            </w:pPr>
            <w:r>
              <w:rPr>
                <w:rFonts w:ascii="Arial" w:cs="Arial" w:eastAsia="Arial" w:hAnsi="Arial"/>
                <w:sz w:val="14"/>
                <w:szCs w:val="14"/>
                <w:color w:val="auto"/>
              </w:rPr>
              <w:t>Products and licensing</w:t>
            </w:r>
          </w:p>
        </w:tc>
        <w:tc>
          <w:tcPr>
            <w:tcW w:w="1060" w:type="dxa"/>
            <w:vAlign w:val="bottom"/>
          </w:tcPr>
          <w:p>
            <w:pPr>
              <w:jc w:val="right"/>
              <w:spacing w:after="0"/>
              <w:rPr>
                <w:sz w:val="20"/>
                <w:szCs w:val="20"/>
                <w:color w:val="auto"/>
              </w:rPr>
            </w:pPr>
            <w:r>
              <w:rPr>
                <w:rFonts w:ascii="Arial" w:cs="Arial" w:eastAsia="Arial" w:hAnsi="Arial"/>
                <w:sz w:val="14"/>
                <w:szCs w:val="14"/>
                <w:color w:val="auto"/>
              </w:rPr>
              <w:t>63.1%</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51.1%</w:t>
            </w:r>
          </w:p>
        </w:tc>
      </w:tr>
      <w:tr>
        <w:trPr>
          <w:trHeight w:val="22"/>
        </w:trPr>
        <w:tc>
          <w:tcPr>
            <w:tcW w:w="7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7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Technology development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36.9</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48.9</w:t>
            </w:r>
          </w:p>
        </w:tc>
      </w:tr>
      <w:tr>
        <w:trPr>
          <w:trHeight w:val="181"/>
        </w:trPr>
        <w:tc>
          <w:tcPr>
            <w:tcW w:w="7700" w:type="dxa"/>
            <w:vAlign w:val="bottom"/>
          </w:tcPr>
          <w:p>
            <w:pPr>
              <w:ind w:left="560"/>
              <w:spacing w:after="0"/>
              <w:rPr>
                <w:sz w:val="20"/>
                <w:szCs w:val="20"/>
                <w:color w:val="auto"/>
              </w:rPr>
            </w:pPr>
            <w:r>
              <w:rPr>
                <w:rFonts w:ascii="Arial" w:cs="Arial" w:eastAsia="Arial" w:hAnsi="Arial"/>
                <w:sz w:val="14"/>
                <w:szCs w:val="14"/>
                <w:color w:val="auto"/>
              </w:rPr>
              <w:t>Total revenues</w:t>
            </w: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100.0</w:t>
            </w:r>
          </w:p>
        </w:tc>
        <w:tc>
          <w:tcPr>
            <w:tcW w:w="300" w:type="dxa"/>
            <w:vAlign w:val="bottom"/>
          </w:tcPr>
          <w:p>
            <w:pPr>
              <w:spacing w:after="0"/>
              <w:rPr>
                <w:sz w:val="15"/>
                <w:szCs w:val="15"/>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100.0</w:t>
            </w:r>
          </w:p>
        </w:tc>
      </w:tr>
      <w:tr>
        <w:trPr>
          <w:trHeight w:val="22"/>
        </w:trPr>
        <w:tc>
          <w:tcPr>
            <w:tcW w:w="7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revenues:</w:t>
            </w:r>
          </w:p>
        </w:tc>
        <w:tc>
          <w:tcPr>
            <w:tcW w:w="10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191"/>
        </w:trPr>
        <w:tc>
          <w:tcPr>
            <w:tcW w:w="7700" w:type="dxa"/>
            <w:vAlign w:val="bottom"/>
          </w:tcPr>
          <w:p>
            <w:pPr>
              <w:ind w:left="300"/>
              <w:spacing w:after="0"/>
              <w:rPr>
                <w:sz w:val="20"/>
                <w:szCs w:val="20"/>
                <w:color w:val="auto"/>
              </w:rPr>
            </w:pPr>
            <w:r>
              <w:rPr>
                <w:rFonts w:ascii="Arial" w:cs="Arial" w:eastAsia="Arial" w:hAnsi="Arial"/>
                <w:sz w:val="14"/>
                <w:szCs w:val="14"/>
                <w:color w:val="auto"/>
              </w:rPr>
              <w:t>Products and licensing</w:t>
            </w:r>
          </w:p>
        </w:tc>
        <w:tc>
          <w:tcPr>
            <w:tcW w:w="1060" w:type="dxa"/>
            <w:vAlign w:val="bottom"/>
          </w:tcPr>
          <w:p>
            <w:pPr>
              <w:jc w:val="right"/>
              <w:ind w:right="91"/>
              <w:spacing w:after="0"/>
              <w:rPr>
                <w:sz w:val="20"/>
                <w:szCs w:val="20"/>
                <w:color w:val="auto"/>
              </w:rPr>
            </w:pPr>
            <w:r>
              <w:rPr>
                <w:rFonts w:ascii="Arial" w:cs="Arial" w:eastAsia="Arial" w:hAnsi="Arial"/>
                <w:sz w:val="14"/>
                <w:szCs w:val="14"/>
                <w:color w:val="auto"/>
              </w:rPr>
              <w:t>23.7</w:t>
            </w:r>
          </w:p>
        </w:tc>
        <w:tc>
          <w:tcPr>
            <w:tcW w:w="30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18.8</w:t>
            </w:r>
          </w:p>
        </w:tc>
      </w:tr>
      <w:tr>
        <w:trPr>
          <w:trHeight w:val="22"/>
        </w:trPr>
        <w:tc>
          <w:tcPr>
            <w:tcW w:w="7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7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Technology development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26.4</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35.9</w:t>
            </w:r>
          </w:p>
        </w:tc>
      </w:tr>
      <w:tr>
        <w:trPr>
          <w:trHeight w:val="181"/>
        </w:trPr>
        <w:tc>
          <w:tcPr>
            <w:tcW w:w="7700" w:type="dxa"/>
            <w:vAlign w:val="bottom"/>
          </w:tcPr>
          <w:p>
            <w:pPr>
              <w:ind w:left="560"/>
              <w:spacing w:after="0"/>
              <w:rPr>
                <w:sz w:val="20"/>
                <w:szCs w:val="20"/>
                <w:color w:val="auto"/>
              </w:rPr>
            </w:pPr>
            <w:r>
              <w:rPr>
                <w:rFonts w:ascii="Arial" w:cs="Arial" w:eastAsia="Arial" w:hAnsi="Arial"/>
                <w:sz w:val="14"/>
                <w:szCs w:val="14"/>
                <w:color w:val="auto"/>
              </w:rPr>
              <w:t>Total cost of revenues</w:t>
            </w: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50.1</w:t>
            </w:r>
          </w:p>
        </w:tc>
        <w:tc>
          <w:tcPr>
            <w:tcW w:w="300" w:type="dxa"/>
            <w:vAlign w:val="bottom"/>
          </w:tcPr>
          <w:p>
            <w:pPr>
              <w:spacing w:after="0"/>
              <w:rPr>
                <w:sz w:val="15"/>
                <w:szCs w:val="15"/>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54.7</w:t>
            </w:r>
          </w:p>
        </w:tc>
      </w:tr>
      <w:tr>
        <w:trPr>
          <w:trHeight w:val="22"/>
        </w:trPr>
        <w:tc>
          <w:tcPr>
            <w:tcW w:w="77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49.9</w:t>
            </w: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45.3</w:t>
            </w:r>
          </w:p>
        </w:tc>
      </w:tr>
      <w:tr>
        <w:trPr>
          <w:trHeight w:val="191"/>
        </w:trPr>
        <w:tc>
          <w:tcPr>
            <w:tcW w:w="7700" w:type="dxa"/>
            <w:vAlign w:val="bottom"/>
          </w:tcPr>
          <w:p>
            <w:pPr>
              <w:ind w:left="20"/>
              <w:spacing w:after="0"/>
              <w:rPr>
                <w:sz w:val="20"/>
                <w:szCs w:val="20"/>
                <w:color w:val="auto"/>
              </w:rPr>
            </w:pPr>
            <w:r>
              <w:rPr>
                <w:rFonts w:ascii="Arial" w:cs="Arial" w:eastAsia="Arial" w:hAnsi="Arial"/>
                <w:sz w:val="14"/>
                <w:szCs w:val="14"/>
                <w:color w:val="auto"/>
              </w:rPr>
              <w:t>Operating expense</w:t>
            </w:r>
          </w:p>
        </w:tc>
        <w:tc>
          <w:tcPr>
            <w:tcW w:w="1060" w:type="dxa"/>
            <w:vAlign w:val="bottom"/>
          </w:tcPr>
          <w:p>
            <w:pPr>
              <w:jc w:val="right"/>
              <w:ind w:right="91"/>
              <w:spacing w:after="0"/>
              <w:rPr>
                <w:sz w:val="20"/>
                <w:szCs w:val="20"/>
                <w:color w:val="auto"/>
              </w:rPr>
            </w:pPr>
            <w:r>
              <w:rPr>
                <w:rFonts w:ascii="Arial" w:cs="Arial" w:eastAsia="Arial" w:hAnsi="Arial"/>
                <w:sz w:val="14"/>
                <w:szCs w:val="14"/>
                <w:color w:val="auto"/>
              </w:rPr>
              <w:t>45.2</w:t>
            </w:r>
          </w:p>
        </w:tc>
        <w:tc>
          <w:tcPr>
            <w:tcW w:w="30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43.2</w:t>
            </w:r>
          </w:p>
        </w:tc>
      </w:tr>
      <w:tr>
        <w:trPr>
          <w:trHeight w:val="22"/>
        </w:trPr>
        <w:tc>
          <w:tcPr>
            <w:tcW w:w="77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4.7</w:t>
            </w: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2.1</w:t>
            </w:r>
          </w:p>
        </w:tc>
      </w:tr>
      <w:tr>
        <w:trPr>
          <w:trHeight w:val="191"/>
        </w:trPr>
        <w:tc>
          <w:tcPr>
            <w:tcW w:w="7700" w:type="dxa"/>
            <w:vAlign w:val="bottom"/>
          </w:tcPr>
          <w:p>
            <w:pPr>
              <w:ind w:left="20"/>
              <w:spacing w:after="0"/>
              <w:rPr>
                <w:sz w:val="20"/>
                <w:szCs w:val="20"/>
                <w:color w:val="auto"/>
              </w:rPr>
            </w:pPr>
            <w:r>
              <w:rPr>
                <w:rFonts w:ascii="Arial" w:cs="Arial" w:eastAsia="Arial" w:hAnsi="Arial"/>
                <w:sz w:val="14"/>
                <w:szCs w:val="14"/>
                <w:color w:val="auto"/>
              </w:rPr>
              <w:t>Total other income</w:t>
            </w:r>
          </w:p>
        </w:tc>
        <w:tc>
          <w:tcPr>
            <w:tcW w:w="1060" w:type="dxa"/>
            <w:vAlign w:val="bottom"/>
          </w:tcPr>
          <w:p>
            <w:pPr>
              <w:jc w:val="right"/>
              <w:ind w:right="91"/>
              <w:spacing w:after="0"/>
              <w:rPr>
                <w:sz w:val="20"/>
                <w:szCs w:val="20"/>
                <w:color w:val="auto"/>
              </w:rPr>
            </w:pPr>
            <w:r>
              <w:rPr>
                <w:rFonts w:ascii="Arial" w:cs="Arial" w:eastAsia="Arial" w:hAnsi="Arial"/>
                <w:sz w:val="14"/>
                <w:szCs w:val="14"/>
                <w:color w:val="auto"/>
              </w:rPr>
              <w:t>0.5</w:t>
            </w:r>
          </w:p>
        </w:tc>
        <w:tc>
          <w:tcPr>
            <w:tcW w:w="30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1.0</w:t>
            </w:r>
          </w:p>
        </w:tc>
      </w:tr>
      <w:tr>
        <w:trPr>
          <w:trHeight w:val="22"/>
        </w:trPr>
        <w:tc>
          <w:tcPr>
            <w:tcW w:w="77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3"/>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from continuing operations before income taxes</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5.2</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3.1</w:t>
            </w:r>
          </w:p>
        </w:tc>
      </w:tr>
      <w:tr>
        <w:trPr>
          <w:trHeight w:val="181"/>
        </w:trPr>
        <w:tc>
          <w:tcPr>
            <w:tcW w:w="7700" w:type="dxa"/>
            <w:vAlign w:val="bottom"/>
          </w:tcPr>
          <w:p>
            <w:pPr>
              <w:ind w:left="20"/>
              <w:spacing w:after="0"/>
              <w:rPr>
                <w:sz w:val="20"/>
                <w:szCs w:val="20"/>
                <w:color w:val="auto"/>
              </w:rPr>
            </w:pPr>
            <w:r>
              <w:rPr>
                <w:rFonts w:ascii="Arial" w:cs="Arial" w:eastAsia="Arial" w:hAnsi="Arial"/>
                <w:sz w:val="14"/>
                <w:szCs w:val="14"/>
                <w:color w:val="auto"/>
              </w:rPr>
              <w:t>Income from continuing operations, net of income taxes</w:t>
            </w: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7.6</w:t>
            </w:r>
          </w:p>
        </w:tc>
        <w:tc>
          <w:tcPr>
            <w:tcW w:w="300" w:type="dxa"/>
            <w:vAlign w:val="bottom"/>
          </w:tcPr>
          <w:p>
            <w:pPr>
              <w:spacing w:after="0"/>
              <w:rPr>
                <w:sz w:val="15"/>
                <w:szCs w:val="15"/>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2.9</w:t>
            </w:r>
          </w:p>
        </w:tc>
      </w:tr>
      <w:tr>
        <w:trPr>
          <w:trHeight w:val="22"/>
        </w:trPr>
        <w:tc>
          <w:tcPr>
            <w:tcW w:w="7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from discontinued operations, net of income taxes</w:t>
            </w:r>
          </w:p>
        </w:tc>
        <w:tc>
          <w:tcPr>
            <w:tcW w:w="13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22.8</w:t>
            </w:r>
          </w:p>
        </w:tc>
      </w:tr>
      <w:tr>
        <w:trPr>
          <w:trHeight w:val="181"/>
        </w:trPr>
        <w:tc>
          <w:tcPr>
            <w:tcW w:w="77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30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25.7%</w:t>
            </w:r>
          </w:p>
        </w:tc>
      </w:tr>
      <w:tr>
        <w:trPr>
          <w:trHeight w:val="22"/>
        </w:trPr>
        <w:tc>
          <w:tcPr>
            <w:tcW w:w="7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 2019 Compared to Year Ended December 31, 2018</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7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480" w:type="dxa"/>
            <w:vAlign w:val="bottom"/>
            <w:tcBorders>
              <w:bottom w:val="single" w:sz="8" w:color="auto"/>
            </w:tcBorders>
            <w:gridSpan w:val="4"/>
            <w:shd w:val="clear" w:color="auto" w:fill="CCEEFF"/>
          </w:tcPr>
          <w:p>
            <w:pPr>
              <w:jc w:val="right"/>
              <w:ind w:right="693"/>
              <w:spacing w:after="0"/>
              <w:rPr>
                <w:sz w:val="20"/>
                <w:szCs w:val="20"/>
                <w:color w:val="auto"/>
              </w:rPr>
            </w:pPr>
            <w:r>
              <w:rPr>
                <w:rFonts w:ascii="Arial" w:cs="Arial" w:eastAsia="Arial" w:hAnsi="Arial"/>
                <w:sz w:val="11"/>
                <w:szCs w:val="11"/>
                <w:b w:val="1"/>
                <w:bCs w:val="1"/>
                <w:color w:val="auto"/>
              </w:rPr>
              <w:t>Years ended December 31,</w:t>
            </w:r>
          </w:p>
        </w:tc>
        <w:tc>
          <w:tcPr>
            <w:tcW w:w="100" w:type="dxa"/>
            <w:vAlign w:val="bottom"/>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r>
      <w:tr>
        <w:trPr>
          <w:trHeight w:val="203"/>
        </w:trPr>
        <w:tc>
          <w:tcPr>
            <w:tcW w:w="57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5"/>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1"/>
                <w:szCs w:val="11"/>
                <w:b w:val="1"/>
                <w:bCs w:val="1"/>
                <w:color w:val="auto"/>
              </w:rPr>
              <w:t>$ Difference</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1"/>
                <w:szCs w:val="11"/>
                <w:b w:val="1"/>
                <w:bCs w:val="1"/>
                <w:color w:val="auto"/>
              </w:rPr>
              <w:t>% Difference</w:t>
            </w:r>
          </w:p>
        </w:tc>
      </w:tr>
      <w:tr>
        <w:trPr>
          <w:trHeight w:val="187"/>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Products and licensing revenues</w:t>
            </w: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44,491,041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21,949,689</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22,541,352</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102.7%</w:t>
            </w:r>
          </w:p>
        </w:tc>
      </w:tr>
      <w:tr>
        <w:trPr>
          <w:trHeight w:val="191"/>
        </w:trPr>
        <w:tc>
          <w:tcPr>
            <w:tcW w:w="5760" w:type="dxa"/>
            <w:vAlign w:val="bottom"/>
          </w:tcPr>
          <w:p>
            <w:pPr>
              <w:ind w:left="20"/>
              <w:spacing w:after="0"/>
              <w:rPr>
                <w:sz w:val="20"/>
                <w:szCs w:val="20"/>
                <w:color w:val="auto"/>
              </w:rPr>
            </w:pPr>
            <w:r>
              <w:rPr>
                <w:rFonts w:ascii="Arial" w:cs="Arial" w:eastAsia="Arial" w:hAnsi="Arial"/>
                <w:sz w:val="14"/>
                <w:szCs w:val="14"/>
                <w:color w:val="auto"/>
              </w:rPr>
              <w:t>Technology development revenues</w:t>
            </w:r>
          </w:p>
        </w:tc>
        <w:tc>
          <w:tcPr>
            <w:tcW w:w="340" w:type="dxa"/>
            <w:vAlign w:val="bottom"/>
          </w:tcPr>
          <w:p>
            <w:pPr>
              <w:spacing w:after="0"/>
              <w:rPr>
                <w:sz w:val="16"/>
                <w:szCs w:val="16"/>
                <w:color w:val="auto"/>
              </w:rPr>
            </w:pPr>
          </w:p>
        </w:tc>
        <w:tc>
          <w:tcPr>
            <w:tcW w:w="1040" w:type="dxa"/>
            <w:vAlign w:val="bottom"/>
          </w:tcPr>
          <w:p>
            <w:pPr>
              <w:jc w:val="right"/>
              <w:ind w:right="55"/>
              <w:spacing w:after="0"/>
              <w:rPr>
                <w:sz w:val="20"/>
                <w:szCs w:val="20"/>
                <w:color w:val="auto"/>
              </w:rPr>
            </w:pPr>
            <w:r>
              <w:rPr>
                <w:rFonts w:ascii="Arial" w:cs="Arial" w:eastAsia="Arial" w:hAnsi="Arial"/>
                <w:sz w:val="14"/>
                <w:szCs w:val="14"/>
                <w:color w:val="auto"/>
              </w:rPr>
              <w:t>26,024,674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33"/>
              <w:spacing w:after="0"/>
              <w:rPr>
                <w:sz w:val="20"/>
                <w:szCs w:val="20"/>
                <w:color w:val="auto"/>
              </w:rPr>
            </w:pPr>
            <w:r>
              <w:rPr>
                <w:rFonts w:ascii="Arial" w:cs="Arial" w:eastAsia="Arial" w:hAnsi="Arial"/>
                <w:sz w:val="14"/>
                <w:szCs w:val="14"/>
                <w:color w:val="auto"/>
              </w:rPr>
              <w:t>20,967,556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33"/>
              <w:spacing w:after="0"/>
              <w:rPr>
                <w:sz w:val="20"/>
                <w:szCs w:val="20"/>
                <w:color w:val="auto"/>
              </w:rPr>
            </w:pPr>
            <w:r>
              <w:rPr>
                <w:rFonts w:ascii="Arial" w:cs="Arial" w:eastAsia="Arial" w:hAnsi="Arial"/>
                <w:sz w:val="14"/>
                <w:szCs w:val="14"/>
                <w:color w:val="auto"/>
              </w:rPr>
              <w:t>5,057,118</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24.1%</w:t>
            </w:r>
          </w:p>
        </w:tc>
      </w:tr>
      <w:tr>
        <w:trPr>
          <w:trHeight w:val="22"/>
        </w:trPr>
        <w:tc>
          <w:tcPr>
            <w:tcW w:w="5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1"/>
        </w:trPr>
        <w:tc>
          <w:tcPr>
            <w:tcW w:w="57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revenues</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70,515,715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42,917,245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27,598,470</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w:t>
            </w:r>
          </w:p>
        </w:tc>
      </w:tr>
      <w:tr>
        <w:trPr>
          <w:trHeight w:val="22"/>
        </w:trPr>
        <w:tc>
          <w:tcPr>
            <w:tcW w:w="57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r>
    </w:tbl>
    <w:p>
      <w:pPr>
        <w:spacing w:after="0" w:line="117"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Our Products and Licensing segment included revenues from sales of test and measurement systems, primarily representing sales of our Optical Backscatter Reflectometer, ODiSI, and Optical Vector Analyzer platforms, optical components and sub-assemblies and sales of our Hyperion and Terahertz sensing platforms. Our Products and Licensing segment revenues increased $22.5 million to $44.5 million for the year ended December 31, 2019 compared to $21.9 million for the year ended December 31, 2018. The increase resulted primarily from $10.8 million of revenues realized from the legacy business of MOI</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80"/>
          </w:cols>
          <w:pgMar w:left="300" w:top="125" w:right="31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10" w:lineRule="exact"/>
        <w:rPr>
          <w:sz w:val="20"/>
          <w:szCs w:val="20"/>
          <w:color w:val="auto"/>
        </w:rPr>
      </w:pPr>
    </w:p>
    <w:p>
      <w:pPr>
        <w:jc w:val="both"/>
        <w:ind w:right="100"/>
        <w:spacing w:after="0" w:line="267" w:lineRule="auto"/>
        <w:rPr>
          <w:sz w:val="20"/>
          <w:szCs w:val="20"/>
          <w:color w:val="auto"/>
        </w:rPr>
      </w:pPr>
      <w:r>
        <w:rPr>
          <w:rFonts w:ascii="Arial" w:cs="Arial" w:eastAsia="Arial" w:hAnsi="Arial"/>
          <w:sz w:val="14"/>
          <w:szCs w:val="14"/>
          <w:color w:val="auto"/>
        </w:rPr>
        <w:t>and $10.5 million of revenues realized from the legacy business of GP during the year ended December 31, 2019. Continued growth in sales of our fiber-optic sensing products, including our ODiSI products directed toward the expanding use of composite materials and the need for improved means of testing their structural integrity, and our communications test instruments also contributed to this increase.</w:t>
      </w:r>
    </w:p>
    <w:p>
      <w:pPr>
        <w:spacing w:after="0" w:line="99" w:lineRule="exact"/>
        <w:rPr>
          <w:sz w:val="20"/>
          <w:szCs w:val="20"/>
          <w:color w:val="auto"/>
        </w:rPr>
      </w:pPr>
    </w:p>
    <w:p>
      <w:pPr>
        <w:jc w:val="both"/>
        <w:ind w:right="60" w:firstLine="509"/>
        <w:spacing w:after="0" w:line="319" w:lineRule="auto"/>
        <w:rPr>
          <w:sz w:val="20"/>
          <w:szCs w:val="20"/>
          <w:color w:val="auto"/>
        </w:rPr>
      </w:pPr>
      <w:r>
        <w:rPr>
          <w:rFonts w:ascii="Arial" w:cs="Arial" w:eastAsia="Arial" w:hAnsi="Arial"/>
          <w:sz w:val="12"/>
          <w:szCs w:val="12"/>
          <w:color w:val="auto"/>
        </w:rPr>
        <w:t>Our Technology Development segment revenues increased $5.1 million to $26.0 million for the year ended December 31, 2019 compared to $21.0 million for the year ended December 31, 2018. Revenues within this segment increased due to additional contract awards, including higher value Phase 2 SBIR contracts. The increase continues a growth trend experienced over the past two years largely driven by successes in Phase 2 SBIR awards. The increase was realized primarily in our intelligent systems, advanced materials, optical systems and terahertz research groups. As Phase 2 SBIR contracts generally have a performance period of a year or more, we currently expect Technology Development segment revenues to remain at a similar level for the near term.</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 of Revenues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9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420" w:type="dxa"/>
            <w:vAlign w:val="bottom"/>
            <w:tcBorders>
              <w:bottom w:val="single" w:sz="8" w:color="auto"/>
            </w:tcBorders>
            <w:gridSpan w:val="4"/>
            <w:shd w:val="clear" w:color="auto" w:fill="CCEEFF"/>
          </w:tcPr>
          <w:p>
            <w:pPr>
              <w:ind w:left="440"/>
              <w:spacing w:after="0"/>
              <w:rPr>
                <w:sz w:val="20"/>
                <w:szCs w:val="20"/>
                <w:color w:val="auto"/>
              </w:rPr>
            </w:pPr>
            <w:r>
              <w:rPr>
                <w:rFonts w:ascii="Arial" w:cs="Arial" w:eastAsia="Arial" w:hAnsi="Arial"/>
                <w:sz w:val="11"/>
                <w:szCs w:val="11"/>
                <w:b w:val="1"/>
                <w:bCs w:val="1"/>
                <w:color w:val="auto"/>
              </w:rPr>
              <w:t>Years ended December 31,</w:t>
            </w:r>
          </w:p>
        </w:tc>
        <w:tc>
          <w:tcPr>
            <w:tcW w:w="100" w:type="dxa"/>
            <w:vAlign w:val="bottom"/>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r>
      <w:tr>
        <w:trPr>
          <w:trHeight w:val="203"/>
        </w:trPr>
        <w:tc>
          <w:tcPr>
            <w:tcW w:w="59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1"/>
                <w:szCs w:val="11"/>
                <w:b w:val="1"/>
                <w:bCs w:val="1"/>
                <w:color w:val="auto"/>
              </w:rPr>
              <w:t>$ Difference</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1"/>
                <w:szCs w:val="11"/>
                <w:b w:val="1"/>
                <w:bCs w:val="1"/>
                <w:color w:val="auto"/>
              </w:rPr>
              <w:t>% Difference</w:t>
            </w:r>
          </w:p>
        </w:tc>
      </w:tr>
      <w:tr>
        <w:trPr>
          <w:trHeight w:val="187"/>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Products and licensing costs</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16,684,172</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8,078,870</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8,605,302</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106.5%</w:t>
            </w:r>
          </w:p>
        </w:tc>
      </w:tr>
      <w:tr>
        <w:trPr>
          <w:trHeight w:val="191"/>
        </w:trPr>
        <w:tc>
          <w:tcPr>
            <w:tcW w:w="5980" w:type="dxa"/>
            <w:vAlign w:val="bottom"/>
          </w:tcPr>
          <w:p>
            <w:pPr>
              <w:ind w:left="20"/>
              <w:spacing w:after="0"/>
              <w:rPr>
                <w:sz w:val="20"/>
                <w:szCs w:val="20"/>
                <w:color w:val="auto"/>
              </w:rPr>
            </w:pPr>
            <w:r>
              <w:rPr>
                <w:rFonts w:ascii="Arial" w:cs="Arial" w:eastAsia="Arial" w:hAnsi="Arial"/>
                <w:sz w:val="14"/>
                <w:szCs w:val="14"/>
                <w:color w:val="auto"/>
              </w:rPr>
              <w:t>Technology development costs</w:t>
            </w:r>
          </w:p>
        </w:tc>
        <w:tc>
          <w:tcPr>
            <w:tcW w:w="300" w:type="dxa"/>
            <w:vAlign w:val="bottom"/>
          </w:tcPr>
          <w:p>
            <w:pPr>
              <w:spacing w:after="0"/>
              <w:rPr>
                <w:sz w:val="16"/>
                <w:szCs w:val="16"/>
                <w:color w:val="auto"/>
              </w:rPr>
            </w:pPr>
          </w:p>
        </w:tc>
        <w:tc>
          <w:tcPr>
            <w:tcW w:w="960" w:type="dxa"/>
            <w:vAlign w:val="bottom"/>
          </w:tcPr>
          <w:p>
            <w:pPr>
              <w:ind w:left="200"/>
              <w:spacing w:after="0"/>
              <w:rPr>
                <w:sz w:val="20"/>
                <w:szCs w:val="20"/>
                <w:color w:val="auto"/>
              </w:rPr>
            </w:pPr>
            <w:r>
              <w:rPr>
                <w:rFonts w:ascii="Arial" w:cs="Arial" w:eastAsia="Arial" w:hAnsi="Arial"/>
                <w:sz w:val="14"/>
                <w:szCs w:val="14"/>
                <w:color w:val="auto"/>
              </w:rPr>
              <w:t>18,649,161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53"/>
              <w:spacing w:after="0"/>
              <w:rPr>
                <w:sz w:val="20"/>
                <w:szCs w:val="20"/>
                <w:color w:val="auto"/>
              </w:rPr>
            </w:pPr>
            <w:r>
              <w:rPr>
                <w:rFonts w:ascii="Arial" w:cs="Arial" w:eastAsia="Arial" w:hAnsi="Arial"/>
                <w:sz w:val="14"/>
                <w:szCs w:val="14"/>
                <w:color w:val="auto"/>
              </w:rPr>
              <w:t>15,400,475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33"/>
              <w:spacing w:after="0"/>
              <w:rPr>
                <w:sz w:val="20"/>
                <w:szCs w:val="20"/>
                <w:color w:val="auto"/>
              </w:rPr>
            </w:pPr>
            <w:r>
              <w:rPr>
                <w:rFonts w:ascii="Arial" w:cs="Arial" w:eastAsia="Arial" w:hAnsi="Arial"/>
                <w:sz w:val="14"/>
                <w:szCs w:val="14"/>
                <w:color w:val="auto"/>
              </w:rPr>
              <w:t>3,248,686</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21.1%</w:t>
            </w: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1"/>
        </w:trPr>
        <w:tc>
          <w:tcPr>
            <w:tcW w:w="59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costs of revenues</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35,333,333</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23,479,345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11,853,988</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r>
      <w:tr>
        <w:trPr>
          <w:trHeight w:val="22"/>
        </w:trPr>
        <w:tc>
          <w:tcPr>
            <w:tcW w:w="59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r>
    </w:tbl>
    <w:p>
      <w:pPr>
        <w:spacing w:after="0" w:line="11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Our Products and Licensing segment costs increased $8.6 million to $16.7 million for the year ended December 31, 2019 compared to $8.1 million for the year ended December 31, 2018.</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This increase primarily resulted from $3.9 million of cost of revenues from the legacy business of MOI and $4.4 million of cost of revenues from the legacy business of GP during the year ended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December 31, 2019, as well as an increase in sales volume.</w:t>
      </w:r>
    </w:p>
    <w:p>
      <w:pPr>
        <w:spacing w:after="0" w:line="126" w:lineRule="exact"/>
        <w:rPr>
          <w:sz w:val="20"/>
          <w:szCs w:val="20"/>
          <w:color w:val="auto"/>
        </w:rPr>
      </w:pPr>
    </w:p>
    <w:p>
      <w:pPr>
        <w:ind w:firstLine="340"/>
        <w:spacing w:after="0" w:line="267" w:lineRule="auto"/>
        <w:rPr>
          <w:sz w:val="20"/>
          <w:szCs w:val="20"/>
          <w:color w:val="auto"/>
        </w:rPr>
      </w:pPr>
      <w:r>
        <w:rPr>
          <w:rFonts w:ascii="Arial" w:cs="Arial" w:eastAsia="Arial" w:hAnsi="Arial"/>
          <w:sz w:val="14"/>
          <w:szCs w:val="14"/>
          <w:color w:val="auto"/>
        </w:rPr>
        <w:t>Our Technology Development segment costs increased $3.2 million, to $18.6 million for the year ended December 31, 2019 compared to $15.4 million for the year ended December 31, 2018. The overall increase in Technology Development segment costs was driven by increases in direct labor and subcontractor costs consistent with the rate of growth in Technology Development segment revenues.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Expense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380" w:type="dxa"/>
            <w:vAlign w:val="bottom"/>
            <w:tcBorders>
              <w:bottom w:val="single" w:sz="8" w:color="auto"/>
            </w:tcBorders>
            <w:gridSpan w:val="3"/>
            <w:shd w:val="clear" w:color="auto" w:fill="CCEEFF"/>
          </w:tcPr>
          <w:p>
            <w:pPr>
              <w:jc w:val="right"/>
              <w:ind w:right="633"/>
              <w:spacing w:after="0"/>
              <w:rPr>
                <w:sz w:val="20"/>
                <w:szCs w:val="20"/>
                <w:color w:val="auto"/>
              </w:rPr>
            </w:pPr>
            <w:r>
              <w:rPr>
                <w:rFonts w:ascii="Arial" w:cs="Arial" w:eastAsia="Arial" w:hAnsi="Arial"/>
                <w:sz w:val="11"/>
                <w:szCs w:val="11"/>
                <w:b w:val="1"/>
                <w:bCs w:val="1"/>
                <w:color w:val="auto"/>
              </w:rPr>
              <w:t>Years ended December 31,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r>
      <w:tr>
        <w:trPr>
          <w:trHeight w:val="203"/>
        </w:trPr>
        <w:tc>
          <w:tcPr>
            <w:tcW w:w="5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535"/>
              <w:spacing w:after="0"/>
              <w:rPr>
                <w:sz w:val="20"/>
                <w:szCs w:val="20"/>
                <w:color w:val="auto"/>
              </w:rPr>
            </w:pPr>
            <w:r>
              <w:rPr>
                <w:rFonts w:ascii="Arial" w:cs="Arial" w:eastAsia="Arial" w:hAnsi="Arial"/>
                <w:sz w:val="11"/>
                <w:szCs w:val="11"/>
                <w:b w:val="1"/>
                <w:bCs w:val="1"/>
                <w:color w:val="auto"/>
              </w:rPr>
              <w:t>2019</w:t>
            </w:r>
          </w:p>
        </w:tc>
        <w:tc>
          <w:tcPr>
            <w:tcW w:w="380" w:type="dxa"/>
            <w:vAlign w:val="bottom"/>
          </w:tcPr>
          <w:p>
            <w:pPr>
              <w:spacing w:after="0"/>
              <w:rPr>
                <w:sz w:val="17"/>
                <w:szCs w:val="17"/>
                <w:color w:val="auto"/>
              </w:rPr>
            </w:pPr>
          </w:p>
        </w:tc>
        <w:tc>
          <w:tcPr>
            <w:tcW w:w="940" w:type="dxa"/>
            <w:vAlign w:val="bottom"/>
          </w:tcPr>
          <w:p>
            <w:pPr>
              <w:jc w:val="right"/>
              <w:ind w:right="433"/>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 Difference</w:t>
            </w:r>
          </w:p>
        </w:tc>
        <w:tc>
          <w:tcPr>
            <w:tcW w:w="1160" w:type="dxa"/>
            <w:vAlign w:val="bottom"/>
          </w:tcPr>
          <w:p>
            <w:pPr>
              <w:jc w:val="right"/>
              <w:ind w:right="193"/>
              <w:spacing w:after="0"/>
              <w:rPr>
                <w:sz w:val="20"/>
                <w:szCs w:val="20"/>
                <w:color w:val="auto"/>
              </w:rPr>
            </w:pPr>
            <w:r>
              <w:rPr>
                <w:rFonts w:ascii="Arial" w:cs="Arial" w:eastAsia="Arial" w:hAnsi="Arial"/>
                <w:sz w:val="11"/>
                <w:szCs w:val="11"/>
                <w:b w:val="1"/>
                <w:bCs w:val="1"/>
                <w:color w:val="auto"/>
              </w:rPr>
              <w:t>% Difference</w:t>
            </w:r>
          </w:p>
        </w:tc>
      </w:tr>
      <w:tr>
        <w:trPr>
          <w:trHeight w:val="187"/>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 expense</w:t>
            </w:r>
          </w:p>
        </w:tc>
        <w:tc>
          <w:tcPr>
            <w:tcW w:w="320" w:type="dxa"/>
            <w:vAlign w:val="bottom"/>
            <w:tcBorders>
              <w:top w:val="single" w:sz="8" w:color="auto"/>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4"/>
                <w:szCs w:val="14"/>
                <w:color w:val="auto"/>
              </w:rPr>
              <w:t>24,371,349</w:t>
            </w:r>
          </w:p>
        </w:tc>
        <w:tc>
          <w:tcPr>
            <w:tcW w:w="380" w:type="dxa"/>
            <w:vAlign w:val="bottom"/>
            <w:tcBorders>
              <w:top w:val="single" w:sz="8" w:color="auto"/>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14,794,205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9,577,144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64.7%</w:t>
            </w:r>
          </w:p>
        </w:tc>
      </w:tr>
      <w:tr>
        <w:trPr>
          <w:trHeight w:val="191"/>
        </w:trPr>
        <w:tc>
          <w:tcPr>
            <w:tcW w:w="5880" w:type="dxa"/>
            <w:vAlign w:val="bottom"/>
          </w:tcPr>
          <w:p>
            <w:pPr>
              <w:ind w:left="20"/>
              <w:spacing w:after="0"/>
              <w:rPr>
                <w:sz w:val="20"/>
                <w:szCs w:val="20"/>
                <w:color w:val="auto"/>
              </w:rPr>
            </w:pPr>
            <w:r>
              <w:rPr>
                <w:rFonts w:ascii="Arial" w:cs="Arial" w:eastAsia="Arial" w:hAnsi="Arial"/>
                <w:sz w:val="14"/>
                <w:szCs w:val="14"/>
                <w:color w:val="auto"/>
              </w:rPr>
              <w:t>Research, development and engineering expense</w:t>
            </w:r>
          </w:p>
        </w:tc>
        <w:tc>
          <w:tcPr>
            <w:tcW w:w="320" w:type="dxa"/>
            <w:vAlign w:val="bottom"/>
          </w:tcPr>
          <w:p>
            <w:pPr>
              <w:spacing w:after="0"/>
              <w:rPr>
                <w:sz w:val="16"/>
                <w:szCs w:val="16"/>
                <w:color w:val="auto"/>
              </w:rPr>
            </w:pPr>
          </w:p>
        </w:tc>
        <w:tc>
          <w:tcPr>
            <w:tcW w:w="1060" w:type="dxa"/>
            <w:vAlign w:val="bottom"/>
          </w:tcPr>
          <w:p>
            <w:pPr>
              <w:jc w:val="right"/>
              <w:ind w:right="75"/>
              <w:spacing w:after="0"/>
              <w:rPr>
                <w:sz w:val="20"/>
                <w:szCs w:val="20"/>
                <w:color w:val="auto"/>
              </w:rPr>
            </w:pPr>
            <w:r>
              <w:rPr>
                <w:rFonts w:ascii="Arial" w:cs="Arial" w:eastAsia="Arial" w:hAnsi="Arial"/>
                <w:sz w:val="14"/>
                <w:szCs w:val="14"/>
                <w:color w:val="auto"/>
              </w:rPr>
              <w:t>7,496,012</w:t>
            </w:r>
          </w:p>
        </w:tc>
        <w:tc>
          <w:tcPr>
            <w:tcW w:w="38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3,766,160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33"/>
              <w:spacing w:after="0"/>
              <w:rPr>
                <w:sz w:val="20"/>
                <w:szCs w:val="20"/>
                <w:color w:val="auto"/>
              </w:rPr>
            </w:pPr>
            <w:r>
              <w:rPr>
                <w:rFonts w:ascii="Arial" w:cs="Arial" w:eastAsia="Arial" w:hAnsi="Arial"/>
                <w:sz w:val="14"/>
                <w:szCs w:val="14"/>
                <w:color w:val="auto"/>
              </w:rPr>
              <w:t>3,729,852</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99.0%</w:t>
            </w:r>
          </w:p>
        </w:tc>
      </w:tr>
      <w:tr>
        <w:trPr>
          <w:trHeight w:val="22"/>
        </w:trPr>
        <w:tc>
          <w:tcPr>
            <w:tcW w:w="5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1"/>
        </w:trPr>
        <w:tc>
          <w:tcPr>
            <w:tcW w:w="5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operating expense</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4"/>
                <w:szCs w:val="14"/>
                <w:color w:val="auto"/>
              </w:rPr>
              <w:t>31,867,361</w:t>
            </w:r>
          </w:p>
        </w:tc>
        <w:tc>
          <w:tcPr>
            <w:tcW w:w="3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18,560,365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13,306,996</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w:t>
            </w:r>
          </w:p>
        </w:tc>
      </w:tr>
      <w:tr>
        <w:trPr>
          <w:trHeight w:val="22"/>
        </w:trPr>
        <w:tc>
          <w:tcPr>
            <w:tcW w:w="58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r>
    </w:tbl>
    <w:p>
      <w:pPr>
        <w:spacing w:after="0" w:line="117" w:lineRule="exact"/>
        <w:rPr>
          <w:sz w:val="20"/>
          <w:szCs w:val="20"/>
          <w:color w:val="auto"/>
        </w:rPr>
      </w:pPr>
    </w:p>
    <w:p>
      <w:pPr>
        <w:ind w:right="20" w:firstLine="340"/>
        <w:spacing w:after="0" w:line="262" w:lineRule="auto"/>
        <w:rPr>
          <w:sz w:val="20"/>
          <w:szCs w:val="20"/>
          <w:color w:val="auto"/>
        </w:rPr>
      </w:pPr>
      <w:r>
        <w:rPr>
          <w:rFonts w:ascii="Arial" w:cs="Arial" w:eastAsia="Arial" w:hAnsi="Arial"/>
          <w:sz w:val="14"/>
          <w:szCs w:val="14"/>
          <w:color w:val="auto"/>
        </w:rPr>
        <w:t>Selling, general and administrative expense increased $9.6 million to $24.4 million for the year ended December 31, 2019 compared to $14.8 million for the year ended December 31, 2018. Selling, general and administrative expense increased primarily due to $4.4 million of expenses associated with the legacy business of MOI and $2.0 million of expenses associated with the legacy business of GP , in addition to $1.0 million in transaction costs associated with the acquisition of GP, a $0.9 million increase in share-based compensation as a result of new awards, and a $1.1 million increase in expenses related to sales and marketing as a result of increased revenue.</w:t>
      </w:r>
    </w:p>
    <w:p>
      <w:pPr>
        <w:spacing w:after="0" w:line="103" w:lineRule="exact"/>
        <w:rPr>
          <w:sz w:val="20"/>
          <w:szCs w:val="20"/>
          <w:color w:val="auto"/>
        </w:rPr>
      </w:pPr>
    </w:p>
    <w:p>
      <w:pPr>
        <w:ind w:right="80" w:firstLine="340"/>
        <w:spacing w:after="0" w:line="267" w:lineRule="auto"/>
        <w:rPr>
          <w:sz w:val="20"/>
          <w:szCs w:val="20"/>
          <w:color w:val="auto"/>
        </w:rPr>
      </w:pPr>
      <w:r>
        <w:rPr>
          <w:rFonts w:ascii="Arial" w:cs="Arial" w:eastAsia="Arial" w:hAnsi="Arial"/>
          <w:sz w:val="14"/>
          <w:szCs w:val="14"/>
          <w:color w:val="auto"/>
        </w:rPr>
        <w:t>Research, development and engineering expenses increased $3.7 million to $7.5 million for the year ended December 31, 2019 compared to $3.8 million for the year ended December 31, 2018 primarily due to $1.1 million of research, development and engineering expense associated with the legacy business of MOI and $2.7 million of research, development and engineering expense associated with the legacy business of GP during the year ended December 31, 2019.</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Expense, Net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80"/>
          </w:cols>
          <w:pgMar w:left="300" w:top="125" w:right="31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right="60" w:firstLine="340"/>
        <w:spacing w:after="0" w:line="281" w:lineRule="auto"/>
        <w:rPr>
          <w:sz w:val="20"/>
          <w:szCs w:val="20"/>
          <w:color w:val="auto"/>
        </w:rPr>
      </w:pPr>
      <w:r>
        <w:rPr>
          <w:rFonts w:ascii="Arial" w:cs="Arial" w:eastAsia="Arial" w:hAnsi="Arial"/>
          <w:sz w:val="14"/>
          <w:szCs w:val="14"/>
          <w:color w:val="auto"/>
        </w:rPr>
        <w:t>Our net interest expense was $15,878 for the year ended December 31, 2019 compared to $0.1 million for the year ended December 31, 2018, as a result of a decrease in debt partially offset by the increase in finance lease obligations.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Investment Income</w:t>
      </w:r>
    </w:p>
    <w:p>
      <w:pPr>
        <w:spacing w:after="0" w:line="94" w:lineRule="exact"/>
        <w:rPr>
          <w:sz w:val="20"/>
          <w:szCs w:val="20"/>
          <w:color w:val="auto"/>
        </w:rPr>
      </w:pPr>
    </w:p>
    <w:p>
      <w:pPr>
        <w:ind w:right="180" w:firstLine="340"/>
        <w:spacing w:after="0" w:line="281" w:lineRule="auto"/>
        <w:rPr>
          <w:sz w:val="20"/>
          <w:szCs w:val="20"/>
          <w:color w:val="auto"/>
        </w:rPr>
      </w:pPr>
      <w:r>
        <w:rPr>
          <w:rFonts w:ascii="Arial" w:cs="Arial" w:eastAsia="Arial" w:hAnsi="Arial"/>
          <w:sz w:val="14"/>
          <w:szCs w:val="14"/>
          <w:color w:val="auto"/>
        </w:rPr>
        <w:t>Investment income was $0.4 million for the year ended December 31, 2019, compared to $0.5 million for the year ended December 31, 2018. During the years ended December 31, 2019 and 2018, we invested a portion of our cash in funds holding U.S. treasury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 (Benefit)/Expense from Continuing Operations</w:t>
      </w:r>
    </w:p>
    <w:p>
      <w:pPr>
        <w:spacing w:after="0" w:line="179"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For the year ended December 31, 2019, we recorded income tax benefit of $1.7 million, or (44.9)% of our income from continuing operations, compared to an income tax expense of $47,818, or 3.8% of our income from continuing operations for the year ended December 31, 2018. The income tax benefit recognized for the year ended December 31, 2019 was driven mostly by a partial release of our valuation allowances.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Income From Continuing Operation</w:t>
      </w:r>
      <w:r>
        <w:rPr>
          <w:rFonts w:ascii="Arial" w:cs="Arial" w:eastAsia="Arial" w:hAnsi="Arial"/>
          <w:sz w:val="14"/>
          <w:szCs w:val="14"/>
          <w:color w:val="auto"/>
        </w:rPr>
        <w:t>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For the year ended December 31, 2019, we recognized income from continuing operations before income taxes of $3.7 million, compared to $1.3 million for the year ended December 31, 2018.</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After tax, our net income from continuing operations was $5.3 million for the year ended December 31, 2019, compared to $1.2 million for the year ended December 31, 2018.</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from Discontinued Operations, Net of Income Taxes</w:t>
      </w:r>
    </w:p>
    <w:p>
      <w:pPr>
        <w:spacing w:after="0" w:line="104" w:lineRule="exact"/>
        <w:rPr>
          <w:sz w:val="20"/>
          <w:szCs w:val="20"/>
          <w:color w:val="auto"/>
        </w:rPr>
      </w:pPr>
    </w:p>
    <w:p>
      <w:pPr>
        <w:ind w:right="120" w:firstLine="340"/>
        <w:spacing w:after="0" w:line="297" w:lineRule="auto"/>
        <w:rPr>
          <w:sz w:val="20"/>
          <w:szCs w:val="20"/>
          <w:color w:val="auto"/>
        </w:rPr>
      </w:pPr>
      <w:r>
        <w:rPr>
          <w:rFonts w:ascii="Arial" w:cs="Arial" w:eastAsia="Arial" w:hAnsi="Arial"/>
          <w:sz w:val="13"/>
          <w:szCs w:val="13"/>
          <w:color w:val="auto"/>
        </w:rPr>
        <w:t>For the year ended December 31, 2018, we recognized income from discontinued operations, net of income taxes, of $9.8 million. Net income from discontinued operations for the year ended December 31, 2018, included an after tax gain recognized on the sale of our optoelectronics business during 2018 of $8.6 million in addition to $1.2 million of after-tax income associated with the operations of the optoelectronics business prior to its sale. There were no results from discontinued operations for the year ended December 31, 2019.</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Preferred Stock Dividend</w:t>
      </w:r>
    </w:p>
    <w:p>
      <w:pPr>
        <w:spacing w:after="0" w:line="72" w:lineRule="exact"/>
        <w:rPr>
          <w:sz w:val="20"/>
          <w:szCs w:val="20"/>
          <w:color w:val="auto"/>
        </w:rPr>
      </w:pPr>
    </w:p>
    <w:p>
      <w:pPr>
        <w:ind w:right="120" w:firstLine="340"/>
        <w:spacing w:after="0" w:line="331" w:lineRule="auto"/>
        <w:rPr>
          <w:sz w:val="20"/>
          <w:szCs w:val="20"/>
          <w:color w:val="auto"/>
        </w:rPr>
      </w:pPr>
      <w:r>
        <w:rPr>
          <w:rFonts w:ascii="Arial" w:cs="Arial" w:eastAsia="Arial" w:hAnsi="Arial"/>
          <w:sz w:val="12"/>
          <w:szCs w:val="12"/>
          <w:color w:val="auto"/>
        </w:rPr>
        <w:t>In January 2010, we issued 1,321,514 shares of our newly designated Series A Convertible Preferred Stock to Carilion. The Series A Convertible Preferred Stock carried an annual cumulative dividend of 6%, or approximately 79,292 shares of common stock per year. During each of 2019 and 2018, we accrued $0.3 million and $0.3 million, respectively, for the dividends payable to Carilion. During 2019, the total accrued dividend of 770,454 shares of common stock were issued to Carilion as shown on our consolidated statements of changes in stockholders' equity.</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At December 31, 2019, our total cash and cash equivalents were $25.0 million.</w:t>
      </w:r>
    </w:p>
    <w:p>
      <w:pPr>
        <w:spacing w:after="0" w:line="242" w:lineRule="exact"/>
        <w:rPr>
          <w:sz w:val="20"/>
          <w:szCs w:val="20"/>
          <w:color w:val="auto"/>
        </w:rPr>
      </w:pPr>
    </w:p>
    <w:p>
      <w:pPr>
        <w:ind w:firstLine="509"/>
        <w:spacing w:after="0" w:line="297" w:lineRule="auto"/>
        <w:rPr>
          <w:sz w:val="20"/>
          <w:szCs w:val="20"/>
          <w:color w:val="auto"/>
        </w:rPr>
      </w:pPr>
      <w:r>
        <w:rPr>
          <w:rFonts w:ascii="Arial" w:cs="Arial" w:eastAsia="Arial" w:hAnsi="Arial"/>
          <w:sz w:val="13"/>
          <w:szCs w:val="13"/>
          <w:color w:val="auto"/>
        </w:rPr>
        <w:t>On October 10, 2019, we entered into an Amended and Restated Loan and Security Agreement (the "Loan Agreement") with Silicon Valley Bank ("SVB"), which amended and restated in its entirety our previous Loan and Security Agreement dated as of February 18, 2010, as amended. Under the Loan Agreement, SVB agreed to make advances available up to $10.0 million (the "Revolving Line"). The Revolving Line terminates on October 10, 2020 unless earlier terminated by us. No amounts have been borrowed under this Loan Agreement.</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maintain a letter-of-credit in the amount of $1.0 million as a condition of our lease on our Blacksburg office.</w:t>
      </w:r>
    </w:p>
    <w:p>
      <w:pPr>
        <w:spacing w:after="0" w:line="72" w:lineRule="exact"/>
        <w:rPr>
          <w:sz w:val="20"/>
          <w:szCs w:val="20"/>
          <w:color w:val="auto"/>
        </w:rPr>
      </w:pPr>
    </w:p>
    <w:p>
      <w:pPr>
        <w:ind w:right="240" w:firstLine="509"/>
        <w:spacing w:after="0" w:line="262" w:lineRule="auto"/>
        <w:rPr>
          <w:sz w:val="20"/>
          <w:szCs w:val="20"/>
          <w:color w:val="auto"/>
        </w:rPr>
      </w:pPr>
      <w:r>
        <w:rPr>
          <w:rFonts w:ascii="Arial" w:cs="Arial" w:eastAsia="Arial" w:hAnsi="Arial"/>
          <w:sz w:val="14"/>
          <w:szCs w:val="14"/>
          <w:color w:val="auto"/>
        </w:rPr>
        <w:t>We believe that our cash and cash equivalents as of December 31, 2019 in addition to amounts available to us under our Revolving Line will provide adequate liquidity for us to meet our working capital needs over the next twelve months from the date of issuance of the consolidated financial statements included elsewhere in this Annual Report on Form 10-K. Additionally, we believe that should we have the need for increased capital spending to support our planned growth, we will be able to fund such growth through either third-party financing on competitive market terms or through our available cash and cash equivalents.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80"/>
          </w:cols>
          <w:pgMar w:left="300" w:top="125" w:right="31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Discussion of Cash Flows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Years ended December 31,</w:t>
            </w:r>
          </w:p>
        </w:tc>
        <w:tc>
          <w:tcPr>
            <w:tcW w:w="860" w:type="dxa"/>
            <w:vAlign w:val="bottom"/>
            <w:tcBorders>
              <w:bottom w:val="single" w:sz="8" w:color="auto"/>
            </w:tcBorders>
            <w:shd w:val="clear" w:color="auto" w:fill="CCEEFF"/>
          </w:tcPr>
          <w:p>
            <w:pPr>
              <w:spacing w:after="0"/>
              <w:rPr>
                <w:sz w:val="13"/>
                <w:szCs w:val="13"/>
                <w:color w:val="auto"/>
              </w:rPr>
            </w:pPr>
          </w:p>
        </w:tc>
      </w:tr>
      <w:tr>
        <w:trPr>
          <w:trHeight w:val="199"/>
        </w:trPr>
        <w:tc>
          <w:tcPr>
            <w:tcW w:w="8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2019</w:t>
            </w:r>
          </w:p>
        </w:tc>
        <w:tc>
          <w:tcPr>
            <w:tcW w:w="6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w w:val="89"/>
              </w:rPr>
              <w:t>2018</w:t>
            </w:r>
          </w:p>
        </w:tc>
      </w:tr>
      <w:tr>
        <w:trPr>
          <w:trHeight w:val="18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by/(used in) operating activities</w:t>
            </w: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4,798,201</w:t>
            </w:r>
          </w:p>
        </w:tc>
        <w:tc>
          <w:tcPr>
            <w:tcW w:w="680" w:type="dxa"/>
            <w:vAlign w:val="bottom"/>
            <w:tcBorders>
              <w:bottom w:val="single" w:sz="8" w:color="CCEEFF"/>
            </w:tcBorders>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(3,308,826)</w:t>
            </w:r>
          </w:p>
        </w:tc>
      </w:tr>
      <w:tr>
        <w:trPr>
          <w:trHeight w:val="191"/>
        </w:trPr>
        <w:tc>
          <w:tcPr>
            <w:tcW w:w="8240" w:type="dxa"/>
            <w:vAlign w:val="bottom"/>
          </w:tcPr>
          <w:p>
            <w:pPr>
              <w:ind w:left="20"/>
              <w:spacing w:after="0"/>
              <w:rPr>
                <w:sz w:val="20"/>
                <w:szCs w:val="20"/>
                <w:color w:val="auto"/>
              </w:rPr>
            </w:pPr>
            <w:r>
              <w:rPr>
                <w:rFonts w:ascii="Arial" w:cs="Arial" w:eastAsia="Arial" w:hAnsi="Arial"/>
                <w:sz w:val="14"/>
                <w:szCs w:val="14"/>
                <w:color w:val="auto"/>
              </w:rPr>
              <w:t>Net cash (used in)/provided by investing activities</w:t>
            </w:r>
          </w:p>
        </w:tc>
        <w:tc>
          <w:tcPr>
            <w:tcW w:w="360" w:type="dxa"/>
            <w:vAlign w:val="bottom"/>
          </w:tcPr>
          <w:p>
            <w:pPr>
              <w:spacing w:after="0"/>
              <w:rPr>
                <w:sz w:val="16"/>
                <w:szCs w:val="16"/>
                <w:color w:val="auto"/>
              </w:rPr>
            </w:pPr>
          </w:p>
        </w:tc>
        <w:tc>
          <w:tcPr>
            <w:tcW w:w="1140" w:type="dxa"/>
            <w:vAlign w:val="bottom"/>
          </w:tcPr>
          <w:p>
            <w:pPr>
              <w:jc w:val="right"/>
              <w:ind w:right="34"/>
              <w:spacing w:after="0"/>
              <w:rPr>
                <w:sz w:val="20"/>
                <w:szCs w:val="20"/>
                <w:color w:val="auto"/>
              </w:rPr>
            </w:pPr>
            <w:r>
              <w:rPr>
                <w:rFonts w:ascii="Arial" w:cs="Arial" w:eastAsia="Arial" w:hAnsi="Arial"/>
                <w:sz w:val="14"/>
                <w:szCs w:val="14"/>
                <w:color w:val="auto"/>
              </w:rPr>
              <w:t>(19,814,991)</w:t>
            </w:r>
          </w:p>
        </w:tc>
        <w:tc>
          <w:tcPr>
            <w:tcW w:w="680" w:type="dxa"/>
            <w:vAlign w:val="bottom"/>
          </w:tcPr>
          <w:p>
            <w:pPr>
              <w:spacing w:after="0"/>
              <w:rPr>
                <w:sz w:val="16"/>
                <w:szCs w:val="16"/>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10,037,123</w:t>
            </w:r>
          </w:p>
        </w:tc>
      </w:tr>
      <w:tr>
        <w:trPr>
          <w:trHeight w:val="22"/>
        </w:trPr>
        <w:tc>
          <w:tcPr>
            <w:tcW w:w="8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2"/>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financing activities</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(2,437,560)</w:t>
            </w:r>
          </w:p>
        </w:tc>
        <w:tc>
          <w:tcPr>
            <w:tcW w:w="6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(1,249,564)</w:t>
            </w:r>
          </w:p>
        </w:tc>
      </w:tr>
      <w:tr>
        <w:trPr>
          <w:trHeight w:val="181"/>
        </w:trPr>
        <w:tc>
          <w:tcPr>
            <w:tcW w:w="8240" w:type="dxa"/>
            <w:vAlign w:val="bottom"/>
          </w:tcPr>
          <w:p>
            <w:pPr>
              <w:ind w:left="20"/>
              <w:spacing w:after="0"/>
              <w:rPr>
                <w:sz w:val="20"/>
                <w:szCs w:val="20"/>
                <w:color w:val="auto"/>
              </w:rPr>
            </w:pPr>
            <w:r>
              <w:rPr>
                <w:rFonts w:ascii="Arial" w:cs="Arial" w:eastAsia="Arial" w:hAnsi="Arial"/>
                <w:sz w:val="14"/>
                <w:szCs w:val="14"/>
                <w:color w:val="auto"/>
              </w:rPr>
              <w:t>Net (decrease)/increase in cash and cash equivalents</w:t>
            </w:r>
          </w:p>
        </w:tc>
        <w:tc>
          <w:tcPr>
            <w:tcW w:w="36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rPr>
              <w:t>(17,454,350)</w:t>
            </w:r>
          </w:p>
        </w:tc>
        <w:tc>
          <w:tcPr>
            <w:tcW w:w="680" w:type="dxa"/>
            <w:vAlign w:val="bottom"/>
            <w:tcBorders>
              <w:top w:val="single" w:sz="8" w:color="auto"/>
            </w:tcBorders>
          </w:tcPr>
          <w:p>
            <w:pPr>
              <w:jc w:val="right"/>
              <w:ind w:right="42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5,478,733</w:t>
            </w:r>
          </w:p>
        </w:tc>
      </w:tr>
      <w:tr>
        <w:trPr>
          <w:trHeight w:val="22"/>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right="20" w:firstLine="340"/>
        <w:spacing w:after="0" w:line="288" w:lineRule="auto"/>
        <w:rPr>
          <w:sz w:val="20"/>
          <w:szCs w:val="20"/>
          <w:color w:val="auto"/>
        </w:rPr>
      </w:pPr>
      <w:r>
        <w:rPr>
          <w:rFonts w:ascii="Arial" w:cs="Arial" w:eastAsia="Arial" w:hAnsi="Arial"/>
          <w:sz w:val="13"/>
          <w:szCs w:val="13"/>
          <w:color w:val="auto"/>
        </w:rPr>
        <w:t>During 2019, the $4.8 million of net cash provided by operating activities consisted of our net income of $5.3 million, and included non-cash charges for depreciation and amortization of $2.5 million, and stock-based compensation of $1.5 million, offset by a tax benefit from a partial release of the valuation allowances of $3.3 million and a net cash outflow of $1.8 million from changes in working capital. The changes in working capital were principally driven by an increase in accounts receivable of $2.2 million, an increase in inventory of $0.7 million, an increase in contract assets of $0.4 million, and an increase in other assets of $0.2 million, all partially offset by decreases in accounts payable and accrued expenses of $0.6 million and contract liabilities of $1.2 million,</w:t>
      </w:r>
    </w:p>
    <w:p>
      <w:pPr>
        <w:spacing w:after="0" w:line="89" w:lineRule="exact"/>
        <w:rPr>
          <w:sz w:val="20"/>
          <w:szCs w:val="20"/>
          <w:color w:val="auto"/>
        </w:rPr>
      </w:pPr>
    </w:p>
    <w:p>
      <w:pPr>
        <w:jc w:val="both"/>
        <w:ind w:right="100" w:firstLine="340"/>
        <w:spacing w:after="0" w:line="288" w:lineRule="auto"/>
        <w:rPr>
          <w:sz w:val="20"/>
          <w:szCs w:val="20"/>
          <w:color w:val="auto"/>
        </w:rPr>
      </w:pPr>
      <w:r>
        <w:rPr>
          <w:rFonts w:ascii="Arial" w:cs="Arial" w:eastAsia="Arial" w:hAnsi="Arial"/>
          <w:sz w:val="13"/>
          <w:szCs w:val="13"/>
          <w:color w:val="auto"/>
        </w:rPr>
        <w:t>In 2018, the $3.3 million of net cash used in operating activities consisted of our net income of $11.0 million and included a gain recognized on the sale of our optoelectronic segment that was sold in July 2018 of $8.6 million in addition to non-cash charges for depreciation and amortization of $1.2 million and stock-based compensation of $0.6 million, offset by a net cash outflow of $7.6 million from changes in working capital. The changes in working capital were principally driven by an increase in inventory of $1.0 million, and increase in accounts receivable of $6.2 million, and increase in contract assets of $0.8 million, and an increase in accounts payable and accrued liabilities of $0.5 million, all partially offset by a $1.8 million decrease in other assets.</w:t>
      </w:r>
    </w:p>
    <w:p>
      <w:pPr>
        <w:spacing w:after="0" w:line="89" w:lineRule="exact"/>
        <w:rPr>
          <w:sz w:val="20"/>
          <w:szCs w:val="20"/>
          <w:color w:val="auto"/>
        </w:rPr>
      </w:pPr>
    </w:p>
    <w:p>
      <w:pPr>
        <w:ind w:right="540" w:firstLine="340"/>
        <w:spacing w:after="0" w:line="281" w:lineRule="auto"/>
        <w:rPr>
          <w:sz w:val="20"/>
          <w:szCs w:val="20"/>
          <w:color w:val="auto"/>
        </w:rPr>
      </w:pPr>
      <w:r>
        <w:rPr>
          <w:rFonts w:ascii="Arial" w:cs="Arial" w:eastAsia="Arial" w:hAnsi="Arial"/>
          <w:sz w:val="14"/>
          <w:szCs w:val="14"/>
          <w:color w:val="auto"/>
        </w:rPr>
        <w:t>Cash used in investing activities in 2019 consisted primarily of the $19.0 million payment for our acquisition of GP, $0.5 million of fixed asset additions and $0.3 million of capitalized intellectual property costs.</w:t>
      </w:r>
    </w:p>
    <w:p>
      <w:pPr>
        <w:spacing w:after="0" w:line="90" w:lineRule="exact"/>
        <w:rPr>
          <w:sz w:val="20"/>
          <w:szCs w:val="20"/>
          <w:color w:val="auto"/>
        </w:rPr>
      </w:pPr>
    </w:p>
    <w:p>
      <w:pPr>
        <w:ind w:right="180" w:firstLine="340"/>
        <w:spacing w:after="0" w:line="281" w:lineRule="auto"/>
        <w:rPr>
          <w:sz w:val="20"/>
          <w:szCs w:val="20"/>
          <w:color w:val="auto"/>
        </w:rPr>
      </w:pPr>
      <w:r>
        <w:rPr>
          <w:rFonts w:ascii="Arial" w:cs="Arial" w:eastAsia="Arial" w:hAnsi="Arial"/>
          <w:sz w:val="14"/>
          <w:szCs w:val="14"/>
          <w:color w:val="auto"/>
        </w:rPr>
        <w:t>Cash provided by investing activities in 2018 consisted primarily of the proceeds from the sale of our optoelectronic segment of $15.8 million, partially offset by the $5.0 million payment for our acquisition of MOI, $0.4 million of fixed asset additions and $0.4 million of capitalized intellectual property rights.</w:t>
      </w:r>
    </w:p>
    <w:p>
      <w:pPr>
        <w:spacing w:after="0" w:line="132" w:lineRule="exact"/>
        <w:rPr>
          <w:sz w:val="20"/>
          <w:szCs w:val="20"/>
          <w:color w:val="auto"/>
        </w:rPr>
      </w:pPr>
    </w:p>
    <w:p>
      <w:pPr>
        <w:ind w:right="180" w:firstLine="340"/>
        <w:spacing w:after="0" w:line="262" w:lineRule="auto"/>
        <w:rPr>
          <w:sz w:val="20"/>
          <w:szCs w:val="20"/>
          <w:color w:val="auto"/>
        </w:rPr>
      </w:pPr>
      <w:r>
        <w:rPr>
          <w:rFonts w:ascii="Arial" w:cs="Arial" w:eastAsia="Arial" w:hAnsi="Arial"/>
          <w:sz w:val="14"/>
          <w:szCs w:val="14"/>
          <w:color w:val="auto"/>
        </w:rPr>
        <w:t>Cash used in financing activities for the year ended December 31, 2019 was $2.4 million, compared to $1.2 million in 2018. During 2019, we repaid $0.6 million on our term loans with SVB and used $2.2 million to repurchase our common stock under our stock repurchase program. These payments were partially offset by $0.4 million received from exercises of stock options and warrants. During 2018, we repaid $1.8 million on our outstanding term loan with SVB and used $0.5 million to repurchase our common stock under our stock repurchase program. These payments were partially offset by $1.1 million received from exercises of stock options and warrants.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of Contractual Obligations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following table sets forth information concerning our known contractual obligations as of December 31, 2019 that are fixed and determinable.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ind w:left="260"/>
              <w:spacing w:after="0"/>
              <w:rPr>
                <w:sz w:val="20"/>
                <w:szCs w:val="20"/>
                <w:color w:val="auto"/>
              </w:rPr>
            </w:pPr>
            <w:r>
              <w:rPr>
                <w:rFonts w:ascii="Arial" w:cs="Arial" w:eastAsia="Arial" w:hAnsi="Arial"/>
                <w:sz w:val="11"/>
                <w:szCs w:val="11"/>
                <w:b w:val="1"/>
                <w:bCs w:val="1"/>
                <w:color w:val="auto"/>
              </w:rPr>
              <w:t>Total</w:t>
            </w:r>
          </w:p>
        </w:tc>
        <w:tc>
          <w:tcPr>
            <w:tcW w:w="2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jc w:val="center"/>
              <w:ind w:right="380"/>
              <w:spacing w:after="0"/>
              <w:rPr>
                <w:sz w:val="20"/>
                <w:szCs w:val="20"/>
                <w:color w:val="auto"/>
              </w:rPr>
            </w:pPr>
            <w:r>
              <w:rPr>
                <w:rFonts w:ascii="Arial" w:cs="Arial" w:eastAsia="Arial" w:hAnsi="Arial"/>
                <w:sz w:val="11"/>
                <w:szCs w:val="11"/>
                <w:b w:val="1"/>
                <w:bCs w:val="1"/>
                <w:color w:val="auto"/>
                <w:w w:val="92"/>
              </w:rPr>
              <w:t>Less than 1</w:t>
            </w:r>
          </w:p>
        </w:tc>
        <w:tc>
          <w:tcPr>
            <w:tcW w:w="280" w:type="dxa"/>
            <w:vAlign w:val="bottom"/>
            <w:shd w:val="clear" w:color="auto" w:fill="CCEEFF"/>
          </w:tcPr>
          <w:p>
            <w:pPr>
              <w:spacing w:after="0"/>
              <w:rPr>
                <w:sz w:val="10"/>
                <w:szCs w:val="10"/>
                <w:color w:val="auto"/>
              </w:rPr>
            </w:pPr>
          </w:p>
        </w:tc>
        <w:tc>
          <w:tcPr>
            <w:tcW w:w="1260" w:type="dxa"/>
            <w:vAlign w:val="bottom"/>
            <w:gridSpan w:val="2"/>
            <w:vMerge w:val="restart"/>
            <w:shd w:val="clear" w:color="auto" w:fill="CCEEFF"/>
          </w:tcPr>
          <w:p>
            <w:pPr>
              <w:ind w:left="180"/>
              <w:spacing w:after="0"/>
              <w:rPr>
                <w:sz w:val="20"/>
                <w:szCs w:val="20"/>
                <w:color w:val="auto"/>
              </w:rPr>
            </w:pPr>
            <w:r>
              <w:rPr>
                <w:rFonts w:ascii="Arial" w:cs="Arial" w:eastAsia="Arial" w:hAnsi="Arial"/>
                <w:sz w:val="11"/>
                <w:szCs w:val="11"/>
                <w:b w:val="1"/>
                <w:bCs w:val="1"/>
                <w:color w:val="auto"/>
              </w:rPr>
              <w:t>1 - 3 years</w:t>
            </w:r>
          </w:p>
        </w:tc>
        <w:tc>
          <w:tcPr>
            <w:tcW w:w="280" w:type="dxa"/>
            <w:vAlign w:val="bottom"/>
            <w:shd w:val="clear" w:color="auto" w:fill="CCEEFF"/>
          </w:tcPr>
          <w:p>
            <w:pPr>
              <w:spacing w:after="0"/>
              <w:rPr>
                <w:sz w:val="10"/>
                <w:szCs w:val="10"/>
                <w:color w:val="auto"/>
              </w:rPr>
            </w:pPr>
          </w:p>
        </w:tc>
        <w:tc>
          <w:tcPr>
            <w:tcW w:w="1260" w:type="dxa"/>
            <w:vAlign w:val="bottom"/>
            <w:gridSpan w:val="2"/>
            <w:vMerge w:val="restart"/>
            <w:shd w:val="clear" w:color="auto" w:fill="CCEEFF"/>
          </w:tcPr>
          <w:p>
            <w:pPr>
              <w:ind w:left="180"/>
              <w:spacing w:after="0"/>
              <w:rPr>
                <w:sz w:val="20"/>
                <w:szCs w:val="20"/>
                <w:color w:val="auto"/>
              </w:rPr>
            </w:pPr>
            <w:r>
              <w:rPr>
                <w:rFonts w:ascii="Arial" w:cs="Arial" w:eastAsia="Arial" w:hAnsi="Arial"/>
                <w:sz w:val="11"/>
                <w:szCs w:val="11"/>
                <w:b w:val="1"/>
                <w:bCs w:val="1"/>
                <w:color w:val="auto"/>
              </w:rPr>
              <w:t>3 - 5 years</w:t>
            </w:r>
          </w:p>
        </w:tc>
        <w:tc>
          <w:tcPr>
            <w:tcW w:w="240" w:type="dxa"/>
            <w:vAlign w:val="bottom"/>
            <w:shd w:val="clear" w:color="auto" w:fill="CCEEFF"/>
          </w:tcPr>
          <w:p>
            <w:pPr>
              <w:spacing w:after="0"/>
              <w:rPr>
                <w:sz w:val="10"/>
                <w:szCs w:val="10"/>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1"/>
                <w:szCs w:val="11"/>
                <w:b w:val="1"/>
                <w:bCs w:val="1"/>
                <w:color w:val="auto"/>
              </w:rPr>
              <w:t>More than 5</w:t>
            </w:r>
          </w:p>
        </w:tc>
        <w:tc>
          <w:tcPr>
            <w:tcW w:w="0" w:type="dxa"/>
            <w:vAlign w:val="bottom"/>
          </w:tcPr>
          <w:p>
            <w:pPr>
              <w:spacing w:after="0"/>
              <w:rPr>
                <w:sz w:val="1"/>
                <w:szCs w:val="1"/>
                <w:color w:val="auto"/>
              </w:rPr>
            </w:pPr>
          </w:p>
        </w:tc>
      </w:tr>
      <w:tr>
        <w:trPr>
          <w:trHeight w:val="155"/>
        </w:trPr>
        <w:tc>
          <w:tcPr>
            <w:tcW w:w="3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4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center"/>
              <w:ind w:right="380"/>
              <w:spacing w:after="0"/>
              <w:rPr>
                <w:sz w:val="20"/>
                <w:szCs w:val="20"/>
                <w:color w:val="auto"/>
              </w:rPr>
            </w:pPr>
            <w:r>
              <w:rPr>
                <w:rFonts w:ascii="Arial" w:cs="Arial" w:eastAsia="Arial" w:hAnsi="Arial"/>
                <w:sz w:val="11"/>
                <w:szCs w:val="11"/>
                <w:b w:val="1"/>
                <w:bCs w:val="1"/>
                <w:color w:val="auto"/>
                <w:w w:val="88"/>
              </w:rPr>
              <w:t>year</w:t>
            </w:r>
          </w:p>
        </w:tc>
        <w:tc>
          <w:tcPr>
            <w:tcW w:w="280" w:type="dxa"/>
            <w:vAlign w:val="bottom"/>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ind w:left="340"/>
              <w:spacing w:after="0"/>
              <w:rPr>
                <w:sz w:val="20"/>
                <w:szCs w:val="20"/>
                <w:color w:val="auto"/>
              </w:rPr>
            </w:pPr>
            <w:r>
              <w:rPr>
                <w:rFonts w:ascii="Arial" w:cs="Arial" w:eastAsia="Arial" w:hAnsi="Arial"/>
                <w:sz w:val="11"/>
                <w:szCs w:val="11"/>
                <w:b w:val="1"/>
                <w:bCs w:val="1"/>
                <w:color w:val="auto"/>
              </w:rPr>
              <w:t>years</w:t>
            </w:r>
          </w:p>
        </w:tc>
        <w:tc>
          <w:tcPr>
            <w:tcW w:w="0" w:type="dxa"/>
            <w:vAlign w:val="bottom"/>
          </w:tcPr>
          <w:p>
            <w:pPr>
              <w:spacing w:after="0"/>
              <w:rPr>
                <w:sz w:val="1"/>
                <w:szCs w:val="1"/>
                <w:color w:val="auto"/>
              </w:rPr>
            </w:pPr>
          </w:p>
        </w:tc>
      </w:tr>
      <w:tr>
        <w:trPr>
          <w:trHeight w:val="191"/>
        </w:trPr>
        <w:tc>
          <w:tcPr>
            <w:tcW w:w="3460" w:type="dxa"/>
            <w:vAlign w:val="bottom"/>
          </w:tcPr>
          <w:p>
            <w:pPr>
              <w:ind w:left="20"/>
              <w:spacing w:after="0"/>
              <w:rPr>
                <w:sz w:val="20"/>
                <w:szCs w:val="20"/>
                <w:color w:val="auto"/>
              </w:rPr>
            </w:pPr>
            <w:r>
              <w:rPr>
                <w:rFonts w:ascii="Arial" w:cs="Arial" w:eastAsia="Arial" w:hAnsi="Arial"/>
                <w:sz w:val="14"/>
                <w:szCs w:val="14"/>
                <w:color w:val="auto"/>
              </w:rPr>
              <w:t>Operating facility leases (1)</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3,742,613</w:t>
            </w:r>
          </w:p>
        </w:tc>
        <w:tc>
          <w:tcPr>
            <w:tcW w:w="12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33"/>
              <w:spacing w:after="0"/>
              <w:rPr>
                <w:sz w:val="20"/>
                <w:szCs w:val="20"/>
                <w:color w:val="auto"/>
              </w:rPr>
            </w:pPr>
            <w:r>
              <w:rPr>
                <w:rFonts w:ascii="Arial" w:cs="Arial" w:eastAsia="Arial" w:hAnsi="Arial"/>
                <w:sz w:val="14"/>
                <w:szCs w:val="14"/>
                <w:color w:val="auto"/>
              </w:rPr>
              <w:t>1,467,701</w:t>
            </w:r>
          </w:p>
        </w:tc>
        <w:tc>
          <w:tcPr>
            <w:tcW w:w="12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1,185,504</w:t>
            </w:r>
          </w:p>
        </w:tc>
        <w:tc>
          <w:tcPr>
            <w:tcW w:w="12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1,089,408</w:t>
            </w:r>
          </w:p>
        </w:tc>
        <w:tc>
          <w:tcPr>
            <w:tcW w:w="12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Pr>
          <w:p>
            <w:pPr>
              <w:ind w:left="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Finance leases (2)</w:t>
            </w: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81,855</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56,019</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20,794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5,042</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460" w:type="dxa"/>
            <w:vAlign w:val="bottom"/>
          </w:tcPr>
          <w:p>
            <w:pPr>
              <w:ind w:left="20"/>
              <w:spacing w:after="0"/>
              <w:rPr>
                <w:sz w:val="20"/>
                <w:szCs w:val="20"/>
                <w:color w:val="auto"/>
              </w:rPr>
            </w:pPr>
            <w:r>
              <w:rPr>
                <w:rFonts w:ascii="Arial" w:cs="Arial" w:eastAsia="Arial" w:hAnsi="Arial"/>
                <w:sz w:val="14"/>
                <w:szCs w:val="14"/>
                <w:color w:val="auto"/>
              </w:rPr>
              <w:t>Purchase order obligation (3)</w:t>
            </w:r>
          </w:p>
        </w:tc>
        <w:tc>
          <w:tcPr>
            <w:tcW w:w="340" w:type="dxa"/>
            <w:vAlign w:val="bottom"/>
          </w:tcPr>
          <w:p>
            <w:pPr>
              <w:spacing w:after="0"/>
              <w:rPr>
                <w:sz w:val="16"/>
                <w:szCs w:val="16"/>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1,271,440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3"/>
              <w:spacing w:after="0"/>
              <w:rPr>
                <w:sz w:val="20"/>
                <w:szCs w:val="20"/>
                <w:color w:val="auto"/>
              </w:rPr>
            </w:pPr>
            <w:r>
              <w:rPr>
                <w:rFonts w:ascii="Arial" w:cs="Arial" w:eastAsia="Arial" w:hAnsi="Arial"/>
                <w:sz w:val="14"/>
                <w:szCs w:val="14"/>
                <w:color w:val="auto"/>
              </w:rPr>
              <w:t>1,271,440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80" w:type="dxa"/>
            <w:vAlign w:val="bottom"/>
          </w:tcPr>
          <w:p>
            <w:pPr>
              <w:ind w:left="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liabilities (4)</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220,000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220,000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3460" w:type="dxa"/>
            <w:vAlign w:val="bottom"/>
          </w:tcPr>
          <w:p>
            <w:pPr>
              <w:ind w:left="20"/>
              <w:spacing w:after="0"/>
              <w:rPr>
                <w:sz w:val="20"/>
                <w:szCs w:val="20"/>
                <w:color w:val="auto"/>
              </w:rPr>
            </w:pPr>
            <w:r>
              <w:rPr>
                <w:rFonts w:ascii="Arial" w:cs="Arial" w:eastAsia="Arial" w:hAnsi="Arial"/>
                <w:sz w:val="14"/>
                <w:szCs w:val="14"/>
                <w:color w:val="auto"/>
              </w:rPr>
              <w:t>Total</w:t>
            </w:r>
          </w:p>
        </w:tc>
        <w:tc>
          <w:tcPr>
            <w:tcW w:w="34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5,315,908</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3,015,160</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1,206,298</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1,094,450</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ind w:left="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460" w:type="dxa"/>
            <w:vAlign w:val="bottom"/>
          </w:tcPr>
          <w:p>
            <w:pPr>
              <w:spacing w:after="0"/>
              <w:rPr>
                <w:sz w:val="20"/>
                <w:szCs w:val="20"/>
                <w:color w:val="auto"/>
              </w:rPr>
            </w:pPr>
            <w:r>
              <w:rPr>
                <w:rFonts w:ascii="Arial" w:cs="Arial" w:eastAsia="Arial" w:hAnsi="Arial"/>
                <w:sz w:val="14"/>
                <w:szCs w:val="14"/>
                <w:color w:val="auto"/>
              </w:rPr>
              <w:t>_________________________</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80" w:hanging="375"/>
        <w:spacing w:after="0" w:line="214" w:lineRule="auto"/>
        <w:tabs>
          <w:tab w:leader="none" w:pos="3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We lease our facilities in Blacksburg, Charlottesville and Roanoke, Virginia, Ann Arbor, Michigan, Chino, California and Atlanta, Georgia under operating leases that as of December 31, 2019, are scheduled to expire between October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80"/>
          </w:cols>
          <w:pgMar w:left="300" w:top="125" w:right="31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3" w:lineRule="exact"/>
        <w:rPr>
          <w:sz w:val="20"/>
          <w:szCs w:val="20"/>
          <w:color w:val="auto"/>
        </w:rPr>
      </w:pPr>
    </w:p>
    <w:p>
      <w:pPr>
        <w:ind w:left="380"/>
        <w:spacing w:after="0" w:line="258" w:lineRule="auto"/>
        <w:rPr>
          <w:sz w:val="20"/>
          <w:szCs w:val="20"/>
          <w:color w:val="auto"/>
        </w:rPr>
      </w:pPr>
      <w:r>
        <w:rPr>
          <w:rFonts w:ascii="Arial" w:cs="Arial" w:eastAsia="Arial" w:hAnsi="Arial"/>
          <w:sz w:val="14"/>
          <w:szCs w:val="14"/>
          <w:color w:val="auto"/>
        </w:rPr>
        <w:t>2020 and December 2024. Upon expiration of our office leases, we may exercise certain renewal options as specified in the leases. Rental payments associated with these option periods are not included in the table above.</w:t>
      </w:r>
    </w:p>
    <w:p>
      <w:pPr>
        <w:spacing w:after="0" w:line="1" w:lineRule="exact"/>
        <w:rPr>
          <w:sz w:val="20"/>
          <w:szCs w:val="20"/>
          <w:color w:val="auto"/>
        </w:rPr>
      </w:pPr>
    </w:p>
    <w:p>
      <w:pPr>
        <w:ind w:left="380" w:right="260" w:hanging="375"/>
        <w:spacing w:after="0" w:line="210" w:lineRule="auto"/>
        <w:tabs>
          <w:tab w:leader="none" w:pos="38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In January 2016, February 2018, and June 2018 we executed leases in the amounts of $207,000, $15,000, and $75,000, respectively, for office equipment. These equipment leases expire in 2021, 2021 and 2023, respectively.</w:t>
      </w:r>
    </w:p>
    <w:p>
      <w:pPr>
        <w:ind w:left="380" w:right="60" w:hanging="375"/>
        <w:spacing w:after="0" w:line="208" w:lineRule="auto"/>
        <w:tabs>
          <w:tab w:leader="none" w:pos="38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Purchase order obligations included outstanding orders for inventory purchases. In 2019, our Luna Technologies subsidiary executed non-cancelable purchase orders for a total amount of $1.9 million for multiple shipments of tunable lasers to be delivered over an 18-month period beginning in July 2019.</w:t>
      </w:r>
    </w:p>
    <w:p>
      <w:pPr>
        <w:ind w:left="380" w:hanging="375"/>
        <w:spacing w:after="0" w:line="186" w:lineRule="auto"/>
        <w:tabs>
          <w:tab w:leader="none" w:pos="380" w:val="left"/>
        </w:tabs>
        <w:numPr>
          <w:ilvl w:val="0"/>
          <w:numId w:val="14"/>
        </w:numPr>
        <w:rPr>
          <w:rFonts w:ascii="Arial" w:cs="Arial" w:eastAsia="Arial" w:hAnsi="Arial"/>
          <w:sz w:val="19"/>
          <w:szCs w:val="19"/>
          <w:color w:val="auto"/>
          <w:vertAlign w:val="superscript"/>
        </w:rPr>
      </w:pPr>
      <w:r>
        <w:rPr>
          <w:rFonts w:ascii="Arial" w:cs="Arial" w:eastAsia="Arial" w:hAnsi="Arial"/>
          <w:sz w:val="13"/>
          <w:szCs w:val="13"/>
          <w:color w:val="auto"/>
        </w:rPr>
        <w:t>Other liabilities include remaining amounts payable for minimum royalty payments for certain licensed technologies payable over the remaining patent terms of the underlying technology.</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We have no off-balance sheet arrangements as of December 31, 2019.</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Inflation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We do not believe that inflation has had a material effect on our business, financial condition or results of operations.</w:t>
      </w:r>
    </w:p>
    <w:p>
      <w:pPr>
        <w:spacing w:after="0" w:line="238"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7A.</w:t>
        <w:tab/>
        <w:t>QUANTITATIVE AND QUALITATIVE DISCLOSURES ABOUT MARKET RISK</w:t>
      </w:r>
    </w:p>
    <w:p>
      <w:pPr>
        <w:spacing w:after="0" w:line="76" w:lineRule="exact"/>
        <w:rPr>
          <w:sz w:val="20"/>
          <w:szCs w:val="20"/>
          <w:color w:val="auto"/>
        </w:rPr>
      </w:pPr>
    </w:p>
    <w:p>
      <w:pPr>
        <w:ind w:right="400" w:firstLine="340"/>
        <w:spacing w:after="0" w:line="321" w:lineRule="auto"/>
        <w:rPr>
          <w:sz w:val="20"/>
          <w:szCs w:val="20"/>
          <w:color w:val="auto"/>
        </w:rPr>
      </w:pPr>
      <w:r>
        <w:rPr>
          <w:rFonts w:ascii="Arial" w:cs="Arial" w:eastAsia="Arial" w:hAnsi="Arial"/>
          <w:sz w:val="13"/>
          <w:szCs w:val="13"/>
          <w:color w:val="auto"/>
        </w:rPr>
        <w:t>Market risk represents the risk of loss that may impact our financial position due to adverse changes in financial market prices and rates. We do not hold or issue financial instruments for trading purposes or have any derivative financial instruments. Our exposure to market risk is limited to interest rate fluctuations due to changes in the general level of U.S. interest rates.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Risk</w:t>
      </w:r>
    </w:p>
    <w:p>
      <w:pPr>
        <w:spacing w:after="0" w:line="76" w:lineRule="exact"/>
        <w:rPr>
          <w:sz w:val="20"/>
          <w:szCs w:val="20"/>
          <w:color w:val="auto"/>
        </w:rPr>
      </w:pPr>
    </w:p>
    <w:p>
      <w:pPr>
        <w:ind w:right="100" w:firstLine="340"/>
        <w:spacing w:after="0" w:line="267" w:lineRule="auto"/>
        <w:rPr>
          <w:sz w:val="20"/>
          <w:szCs w:val="20"/>
          <w:color w:val="auto"/>
        </w:rPr>
      </w:pPr>
      <w:r>
        <w:rPr>
          <w:rFonts w:ascii="Arial" w:cs="Arial" w:eastAsia="Arial" w:hAnsi="Arial"/>
          <w:sz w:val="14"/>
          <w:szCs w:val="14"/>
          <w:color w:val="auto"/>
        </w:rPr>
        <w:t>We do not use derivative financial instruments as a hedge against interest rate fluctuations, and, as a result, interest income earned on our cash and cash equivalents and short-term investments is subject to changes in interest rates. However, we believe that the impact of these fluctuations does not have a material effect on our financial position due to the immediate available liquidity or short-term nature of these financial instruments.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Exchange Rate Risk</w:t>
      </w:r>
    </w:p>
    <w:p>
      <w:pPr>
        <w:spacing w:after="0" w:line="76" w:lineRule="exact"/>
        <w:rPr>
          <w:sz w:val="20"/>
          <w:szCs w:val="20"/>
          <w:color w:val="auto"/>
        </w:rPr>
      </w:pPr>
    </w:p>
    <w:p>
      <w:pPr>
        <w:jc w:val="both"/>
        <w:ind w:right="220" w:firstLine="340"/>
        <w:spacing w:after="0" w:line="368" w:lineRule="auto"/>
        <w:rPr>
          <w:sz w:val="20"/>
          <w:szCs w:val="20"/>
          <w:color w:val="auto"/>
        </w:rPr>
      </w:pPr>
      <w:r>
        <w:rPr>
          <w:rFonts w:ascii="Arial" w:cs="Arial" w:eastAsia="Arial" w:hAnsi="Arial"/>
          <w:sz w:val="12"/>
          <w:szCs w:val="12"/>
          <w:color w:val="auto"/>
        </w:rPr>
        <w:t>As of December 31, 2019, all payments made under our research contracts have been denominated in U.S. dollars. Our product sales to foreign customers are also generally denominated in U.S. dollars, and we do not receive payments in foreign currency. As such, we are not directly exposed to significant currency gains or losses resulting from fluctuations in foreign exchange rates.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60"/>
          </w:cols>
          <w:pgMar w:left="300" w:top="125"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9400" w:type="dxa"/>
            <w:vAlign w:val="bottom"/>
            <w:gridSpan w:val="4"/>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40" w:type="dxa"/>
            <w:vAlign w:val="bottom"/>
          </w:tcPr>
          <w:p>
            <w:pPr>
              <w:spacing w:after="0"/>
              <w:rPr>
                <w:sz w:val="14"/>
                <w:szCs w:val="1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1"/>
        </w:trPr>
        <w:tc>
          <w:tcPr>
            <w:tcW w:w="9400" w:type="dxa"/>
            <w:vAlign w:val="bottom"/>
            <w:gridSpan w:val="4"/>
          </w:tcPr>
          <w:p>
            <w:pPr>
              <w:spacing w:after="0"/>
              <w:rPr>
                <w:sz w:val="20"/>
                <w:szCs w:val="20"/>
                <w:color w:val="auto"/>
              </w:rPr>
            </w:pPr>
            <w:r>
              <w:rPr>
                <w:rFonts w:ascii="Arial" w:cs="Arial" w:eastAsia="Arial" w:hAnsi="Arial"/>
                <w:sz w:val="14"/>
                <w:szCs w:val="14"/>
                <w:b w:val="1"/>
                <w:bCs w:val="1"/>
                <w:color w:val="auto"/>
              </w:rPr>
              <w:t>ITEM 8.  FINANCIAL STATEMENTS AND SUPPLEMENTARY DATA</w:t>
            </w:r>
          </w:p>
        </w:tc>
        <w:tc>
          <w:tcPr>
            <w:tcW w:w="14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900" w:type="dxa"/>
            <w:vAlign w:val="bottom"/>
          </w:tcPr>
          <w:p>
            <w:pPr>
              <w:jc w:val="center"/>
              <w:ind w:right="549"/>
              <w:spacing w:after="0"/>
              <w:rPr>
                <w:sz w:val="20"/>
                <w:szCs w:val="20"/>
                <w:color w:val="auto"/>
              </w:rPr>
            </w:pPr>
            <w:r>
              <w:rPr>
                <w:rFonts w:ascii="Arial" w:cs="Arial" w:eastAsia="Arial" w:hAnsi="Arial"/>
                <w:sz w:val="14"/>
                <w:szCs w:val="14"/>
                <w:b w:val="1"/>
                <w:bCs w:val="1"/>
                <w:color w:val="auto"/>
                <w:w w:val="93"/>
              </w:rPr>
              <w:t>Luna Innovations Incorporated</w:t>
            </w:r>
          </w:p>
        </w:tc>
        <w:tc>
          <w:tcPr>
            <w:tcW w:w="14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900" w:type="dxa"/>
            <w:vAlign w:val="bottom"/>
          </w:tcPr>
          <w:p>
            <w:pPr>
              <w:jc w:val="center"/>
              <w:ind w:right="549"/>
              <w:spacing w:after="0"/>
              <w:rPr>
                <w:sz w:val="20"/>
                <w:szCs w:val="20"/>
                <w:color w:val="auto"/>
              </w:rPr>
            </w:pPr>
            <w:r>
              <w:rPr>
                <w:rFonts w:ascii="Arial" w:cs="Arial" w:eastAsia="Arial" w:hAnsi="Arial"/>
                <w:sz w:val="14"/>
                <w:szCs w:val="14"/>
                <w:b w:val="1"/>
                <w:bCs w:val="1"/>
                <w:color w:val="auto"/>
                <w:w w:val="90"/>
              </w:rPr>
              <w:t>Index to Consolidated Financial Statements</w:t>
            </w:r>
          </w:p>
        </w:tc>
        <w:tc>
          <w:tcPr>
            <w:tcW w:w="140" w:type="dxa"/>
            <w:vAlign w:val="bottom"/>
          </w:tcPr>
          <w:p>
            <w:pPr>
              <w:spacing w:after="0"/>
              <w:rPr>
                <w:sz w:val="24"/>
                <w:szCs w:val="24"/>
                <w:color w:val="auto"/>
              </w:rPr>
            </w:pPr>
          </w:p>
        </w:tc>
      </w:tr>
      <w:tr>
        <w:trPr>
          <w:trHeight w:val="393"/>
        </w:trPr>
        <w:tc>
          <w:tcPr>
            <w:tcW w:w="20" w:type="dxa"/>
            <w:vAlign w:val="bottom"/>
          </w:tcPr>
          <w:p>
            <w:pPr>
              <w:spacing w:after="0"/>
              <w:rPr>
                <w:sz w:val="24"/>
                <w:szCs w:val="24"/>
                <w:color w:val="auto"/>
              </w:rPr>
            </w:pPr>
          </w:p>
        </w:tc>
        <w:tc>
          <w:tcPr>
            <w:tcW w:w="9380" w:type="dxa"/>
            <w:vAlign w:val="bottom"/>
            <w:gridSpan w:val="3"/>
          </w:tcPr>
          <w:p>
            <w:pPr>
              <w:spacing w:after="0"/>
              <w:rPr>
                <w:sz w:val="20"/>
                <w:szCs w:val="20"/>
                <w:color w:val="auto"/>
              </w:rPr>
            </w:pPr>
            <w:r>
              <w:rPr>
                <w:rFonts w:ascii="Arial" w:cs="Arial" w:eastAsia="Arial" w:hAnsi="Arial"/>
                <w:sz w:val="14"/>
                <w:szCs w:val="14"/>
                <w:color w:val="auto"/>
              </w:rPr>
              <w:t>Reports of Independent Registered Public Accounting Firm</w:t>
            </w:r>
          </w:p>
        </w:tc>
        <w:tc>
          <w:tcPr>
            <w:tcW w:w="140" w:type="dxa"/>
            <w:vAlign w:val="bottom"/>
            <w:tcBorders>
              <w:bottom w:val="single" w:sz="8" w:color="0000EE"/>
            </w:tcBorders>
          </w:tcPr>
          <w:p>
            <w:pPr>
              <w:jc w:val="right"/>
              <w:spacing w:after="0"/>
              <w:rPr>
                <w:rFonts w:ascii="Arial" w:cs="Arial" w:eastAsia="Arial" w:hAnsi="Arial"/>
                <w:sz w:val="14"/>
                <w:szCs w:val="14"/>
                <w:color w:val="0000EE"/>
                <w:w w:val="76"/>
              </w:rPr>
            </w:pPr>
            <w:hyperlink w:anchor="page43">
              <w:r>
                <w:rPr>
                  <w:rFonts w:ascii="Arial" w:cs="Arial" w:eastAsia="Arial" w:hAnsi="Arial"/>
                  <w:sz w:val="14"/>
                  <w:szCs w:val="14"/>
                  <w:color w:val="0000EE"/>
                  <w:w w:val="76"/>
                </w:rPr>
                <w:t>41</w:t>
              </w:r>
            </w:hyperlink>
          </w:p>
        </w:tc>
      </w:tr>
      <w:tr>
        <w:trPr>
          <w:trHeight w:val="192"/>
        </w:trPr>
        <w:tc>
          <w:tcPr>
            <w:tcW w:w="20" w:type="dxa"/>
            <w:vAlign w:val="bottom"/>
          </w:tcPr>
          <w:p>
            <w:pPr>
              <w:spacing w:after="0"/>
              <w:rPr>
                <w:sz w:val="16"/>
                <w:szCs w:val="16"/>
                <w:color w:val="auto"/>
              </w:rPr>
            </w:pPr>
          </w:p>
        </w:tc>
        <w:tc>
          <w:tcPr>
            <w:tcW w:w="9380" w:type="dxa"/>
            <w:vAlign w:val="bottom"/>
            <w:gridSpan w:val="3"/>
          </w:tcPr>
          <w:p>
            <w:pPr>
              <w:spacing w:after="0"/>
              <w:rPr>
                <w:sz w:val="20"/>
                <w:szCs w:val="20"/>
                <w:color w:val="auto"/>
              </w:rPr>
            </w:pPr>
            <w:r>
              <w:rPr>
                <w:rFonts w:ascii="Arial" w:cs="Arial" w:eastAsia="Arial" w:hAnsi="Arial"/>
                <w:sz w:val="14"/>
                <w:szCs w:val="14"/>
                <w:color w:val="auto"/>
              </w:rPr>
              <w:t>Consolidated Balance Sheets at December 31, 2019 and 2018</w:t>
            </w:r>
          </w:p>
        </w:tc>
        <w:tc>
          <w:tcPr>
            <w:tcW w:w="140" w:type="dxa"/>
            <w:vAlign w:val="bottom"/>
            <w:tcBorders>
              <w:bottom w:val="single" w:sz="8" w:color="0000EE"/>
            </w:tcBorders>
          </w:tcPr>
          <w:p>
            <w:pPr>
              <w:jc w:val="right"/>
              <w:spacing w:after="0"/>
              <w:rPr>
                <w:rFonts w:ascii="Arial" w:cs="Arial" w:eastAsia="Arial" w:hAnsi="Arial"/>
                <w:sz w:val="14"/>
                <w:szCs w:val="14"/>
                <w:color w:val="0000EE"/>
                <w:w w:val="76"/>
              </w:rPr>
            </w:pPr>
            <w:hyperlink w:anchor="page45">
              <w:r>
                <w:rPr>
                  <w:rFonts w:ascii="Arial" w:cs="Arial" w:eastAsia="Arial" w:hAnsi="Arial"/>
                  <w:sz w:val="14"/>
                  <w:szCs w:val="14"/>
                  <w:color w:val="0000EE"/>
                  <w:w w:val="76"/>
                </w:rPr>
                <w:t>43</w:t>
              </w:r>
            </w:hyperlink>
          </w:p>
        </w:tc>
      </w:tr>
      <w:tr>
        <w:trPr>
          <w:trHeight w:val="192"/>
        </w:trPr>
        <w:tc>
          <w:tcPr>
            <w:tcW w:w="20" w:type="dxa"/>
            <w:vAlign w:val="bottom"/>
          </w:tcPr>
          <w:p>
            <w:pPr>
              <w:spacing w:after="0"/>
              <w:rPr>
                <w:sz w:val="16"/>
                <w:szCs w:val="16"/>
                <w:color w:val="auto"/>
              </w:rPr>
            </w:pPr>
          </w:p>
        </w:tc>
        <w:tc>
          <w:tcPr>
            <w:tcW w:w="9380" w:type="dxa"/>
            <w:vAlign w:val="bottom"/>
            <w:gridSpan w:val="3"/>
          </w:tcPr>
          <w:p>
            <w:pPr>
              <w:spacing w:after="0"/>
              <w:rPr>
                <w:sz w:val="20"/>
                <w:szCs w:val="20"/>
                <w:color w:val="auto"/>
              </w:rPr>
            </w:pPr>
            <w:r>
              <w:rPr>
                <w:rFonts w:ascii="Arial" w:cs="Arial" w:eastAsia="Arial" w:hAnsi="Arial"/>
                <w:sz w:val="14"/>
                <w:szCs w:val="14"/>
                <w:color w:val="auto"/>
              </w:rPr>
              <w:t>Consolidated Statements of Operations for the years ended December 31, 2019 and 2018</w:t>
            </w:r>
          </w:p>
        </w:tc>
        <w:tc>
          <w:tcPr>
            <w:tcW w:w="140" w:type="dxa"/>
            <w:vAlign w:val="bottom"/>
            <w:tcBorders>
              <w:bottom w:val="single" w:sz="8" w:color="0000EE"/>
            </w:tcBorders>
          </w:tcPr>
          <w:p>
            <w:pPr>
              <w:jc w:val="right"/>
              <w:spacing w:after="0"/>
              <w:rPr>
                <w:rFonts w:ascii="Arial" w:cs="Arial" w:eastAsia="Arial" w:hAnsi="Arial"/>
                <w:sz w:val="14"/>
                <w:szCs w:val="14"/>
                <w:color w:val="0000EE"/>
                <w:w w:val="76"/>
              </w:rPr>
            </w:pPr>
            <w:hyperlink w:anchor="page46">
              <w:r>
                <w:rPr>
                  <w:rFonts w:ascii="Arial" w:cs="Arial" w:eastAsia="Arial" w:hAnsi="Arial"/>
                  <w:sz w:val="14"/>
                  <w:szCs w:val="14"/>
                  <w:color w:val="0000EE"/>
                  <w:w w:val="76"/>
                </w:rPr>
                <w:t>44</w:t>
              </w:r>
            </w:hyperlink>
          </w:p>
        </w:tc>
      </w:tr>
      <w:tr>
        <w:trPr>
          <w:trHeight w:val="192"/>
        </w:trPr>
        <w:tc>
          <w:tcPr>
            <w:tcW w:w="20" w:type="dxa"/>
            <w:vAlign w:val="bottom"/>
          </w:tcPr>
          <w:p>
            <w:pPr>
              <w:spacing w:after="0"/>
              <w:rPr>
                <w:sz w:val="16"/>
                <w:szCs w:val="16"/>
                <w:color w:val="auto"/>
              </w:rPr>
            </w:pPr>
          </w:p>
        </w:tc>
        <w:tc>
          <w:tcPr>
            <w:tcW w:w="9380" w:type="dxa"/>
            <w:vAlign w:val="bottom"/>
            <w:gridSpan w:val="3"/>
          </w:tcPr>
          <w:p>
            <w:pPr>
              <w:spacing w:after="0"/>
              <w:rPr>
                <w:sz w:val="20"/>
                <w:szCs w:val="20"/>
                <w:color w:val="auto"/>
              </w:rPr>
            </w:pPr>
            <w:r>
              <w:rPr>
                <w:rFonts w:ascii="Arial" w:cs="Arial" w:eastAsia="Arial" w:hAnsi="Arial"/>
                <w:sz w:val="14"/>
                <w:szCs w:val="14"/>
                <w:color w:val="auto"/>
              </w:rPr>
              <w:t>Consolidated Statements of Changes in Stockholders' Equity for the years ended December 31, 2019 and 2018</w:t>
            </w:r>
          </w:p>
        </w:tc>
        <w:tc>
          <w:tcPr>
            <w:tcW w:w="140" w:type="dxa"/>
            <w:vAlign w:val="bottom"/>
            <w:tcBorders>
              <w:bottom w:val="single" w:sz="8" w:color="0000EE"/>
            </w:tcBorders>
          </w:tcPr>
          <w:p>
            <w:pPr>
              <w:jc w:val="right"/>
              <w:spacing w:after="0"/>
              <w:rPr>
                <w:rFonts w:ascii="Arial" w:cs="Arial" w:eastAsia="Arial" w:hAnsi="Arial"/>
                <w:sz w:val="14"/>
                <w:szCs w:val="14"/>
                <w:color w:val="0000EE"/>
                <w:w w:val="76"/>
              </w:rPr>
            </w:pPr>
            <w:hyperlink w:anchor="page48">
              <w:r>
                <w:rPr>
                  <w:rFonts w:ascii="Arial" w:cs="Arial" w:eastAsia="Arial" w:hAnsi="Arial"/>
                  <w:sz w:val="14"/>
                  <w:szCs w:val="14"/>
                  <w:color w:val="0000EE"/>
                  <w:w w:val="76"/>
                </w:rPr>
                <w:t>46</w:t>
              </w:r>
            </w:hyperlink>
          </w:p>
        </w:tc>
      </w:tr>
      <w:tr>
        <w:trPr>
          <w:trHeight w:val="192"/>
        </w:trPr>
        <w:tc>
          <w:tcPr>
            <w:tcW w:w="20" w:type="dxa"/>
            <w:vAlign w:val="bottom"/>
          </w:tcPr>
          <w:p>
            <w:pPr>
              <w:spacing w:after="0"/>
              <w:rPr>
                <w:sz w:val="16"/>
                <w:szCs w:val="16"/>
                <w:color w:val="auto"/>
              </w:rPr>
            </w:pPr>
          </w:p>
        </w:tc>
        <w:tc>
          <w:tcPr>
            <w:tcW w:w="9380" w:type="dxa"/>
            <w:vAlign w:val="bottom"/>
            <w:gridSpan w:val="3"/>
          </w:tcPr>
          <w:p>
            <w:pPr>
              <w:spacing w:after="0"/>
              <w:rPr>
                <w:sz w:val="20"/>
                <w:szCs w:val="20"/>
                <w:color w:val="auto"/>
              </w:rPr>
            </w:pPr>
            <w:r>
              <w:rPr>
                <w:rFonts w:ascii="Arial" w:cs="Arial" w:eastAsia="Arial" w:hAnsi="Arial"/>
                <w:sz w:val="14"/>
                <w:szCs w:val="14"/>
                <w:color w:val="auto"/>
              </w:rPr>
              <w:t>Consolidated Statements of Cash Flows for the years ended December 31, 2019 and 2018</w:t>
            </w:r>
          </w:p>
        </w:tc>
        <w:tc>
          <w:tcPr>
            <w:tcW w:w="140" w:type="dxa"/>
            <w:vAlign w:val="bottom"/>
            <w:tcBorders>
              <w:bottom w:val="single" w:sz="8" w:color="0000EE"/>
            </w:tcBorders>
          </w:tcPr>
          <w:p>
            <w:pPr>
              <w:jc w:val="right"/>
              <w:spacing w:after="0"/>
              <w:rPr>
                <w:rFonts w:ascii="Arial" w:cs="Arial" w:eastAsia="Arial" w:hAnsi="Arial"/>
                <w:sz w:val="14"/>
                <w:szCs w:val="14"/>
                <w:color w:val="0000EE"/>
                <w:w w:val="76"/>
              </w:rPr>
            </w:pPr>
            <w:hyperlink w:anchor="page49">
              <w:r>
                <w:rPr>
                  <w:rFonts w:ascii="Arial" w:cs="Arial" w:eastAsia="Arial" w:hAnsi="Arial"/>
                  <w:sz w:val="14"/>
                  <w:szCs w:val="14"/>
                  <w:color w:val="0000EE"/>
                  <w:w w:val="76"/>
                </w:rPr>
                <w:t>47</w:t>
              </w:r>
            </w:hyperlink>
          </w:p>
        </w:tc>
      </w:tr>
      <w:tr>
        <w:trPr>
          <w:trHeight w:val="192"/>
        </w:trPr>
        <w:tc>
          <w:tcPr>
            <w:tcW w:w="20" w:type="dxa"/>
            <w:vAlign w:val="bottom"/>
          </w:tcPr>
          <w:p>
            <w:pPr>
              <w:spacing w:after="0"/>
              <w:rPr>
                <w:sz w:val="16"/>
                <w:szCs w:val="16"/>
                <w:color w:val="auto"/>
              </w:rPr>
            </w:pPr>
          </w:p>
        </w:tc>
        <w:tc>
          <w:tcPr>
            <w:tcW w:w="9380" w:type="dxa"/>
            <w:vAlign w:val="bottom"/>
            <w:gridSpan w:val="3"/>
          </w:tcPr>
          <w:p>
            <w:pPr>
              <w:spacing w:after="0"/>
              <w:rPr>
                <w:rFonts w:ascii="Arial" w:cs="Arial" w:eastAsia="Arial" w:hAnsi="Arial"/>
                <w:sz w:val="14"/>
                <w:szCs w:val="14"/>
                <w:color w:val="0000EE"/>
              </w:rPr>
            </w:pPr>
            <w:hyperlink w:anchor="page51">
              <w:r>
                <w:rPr>
                  <w:rFonts w:ascii="Arial" w:cs="Arial" w:eastAsia="Arial" w:hAnsi="Arial"/>
                  <w:sz w:val="14"/>
                  <w:szCs w:val="14"/>
                  <w:color w:val="0000EE"/>
                </w:rPr>
                <w:t>Notes to Consolidated Financial Statements</w:t>
              </w:r>
            </w:hyperlink>
          </w:p>
        </w:tc>
        <w:tc>
          <w:tcPr>
            <w:tcW w:w="140" w:type="dxa"/>
            <w:vAlign w:val="bottom"/>
          </w:tcPr>
          <w:p>
            <w:pPr>
              <w:jc w:val="right"/>
              <w:spacing w:after="0"/>
              <w:rPr>
                <w:rFonts w:ascii="Arial" w:cs="Arial" w:eastAsia="Arial" w:hAnsi="Arial"/>
                <w:sz w:val="14"/>
                <w:szCs w:val="14"/>
                <w:color w:val="0000EE"/>
                <w:w w:val="76"/>
              </w:rPr>
            </w:pPr>
            <w:hyperlink w:anchor="page51">
              <w:r>
                <w:rPr>
                  <w:rFonts w:ascii="Arial" w:cs="Arial" w:eastAsia="Arial" w:hAnsi="Arial"/>
                  <w:sz w:val="14"/>
                  <w:szCs w:val="14"/>
                  <w:color w:val="0000EE"/>
                  <w:w w:val="76"/>
                </w:rPr>
                <w:t>49</w:t>
              </w:r>
            </w:hyperlink>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0159"/>
          </w:cols>
          <w:pgMar w:left="300" w:top="116"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Board of Directors and Stockholders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Luna Innovations Incorporated</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2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have audited the accompanying consolidated balance sheets of Luna Innovations Incorporated (a Delaware corporation) and subsidiaries (the “Company”) as of December 31, 2019 and 2018, the related consolidated statements of operations, changes in stockholders’ equity, and cash flows for each of the two years in the period ended December 31, 2019, and the related notes and financial statement schedule included under Item 15(a)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w:t>
      </w:r>
    </w:p>
    <w:p>
      <w:pPr>
        <w:spacing w:after="0" w:line="8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Company’s internal control over financial reporting as of December 31, 2019, based on criteria established in the 2013 Internal Control-Integrated Framework issued by the Committee of Sponsoring Organizations of the Treadway Commission (“COSO”), and our report dated March 13, 2020 expressed an unqualified opinion.</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 in accounting principle</w:t>
      </w:r>
    </w:p>
    <w:p>
      <w:pPr>
        <w:spacing w:after="0" w:line="23" w:lineRule="exact"/>
        <w:rPr>
          <w:sz w:val="20"/>
          <w:szCs w:val="20"/>
          <w:color w:val="auto"/>
        </w:rPr>
      </w:pPr>
    </w:p>
    <w:p>
      <w:pPr>
        <w:ind w:right="340"/>
        <w:spacing w:after="0" w:line="266" w:lineRule="auto"/>
        <w:rPr>
          <w:sz w:val="20"/>
          <w:szCs w:val="20"/>
          <w:color w:val="auto"/>
        </w:rPr>
      </w:pPr>
      <w:r>
        <w:rPr>
          <w:rFonts w:ascii="Arial" w:cs="Arial" w:eastAsia="Arial" w:hAnsi="Arial"/>
          <w:sz w:val="14"/>
          <w:szCs w:val="14"/>
          <w:color w:val="auto"/>
        </w:rPr>
        <w:t>As discussed in Note 1 to the financial statements, the Company has changed its method of accounting for leases as of January 1, 2019, in accordance with the adoption of Accounting Standards Codification (ASC) Topic 842, Leases.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23" w:lineRule="exact"/>
        <w:rPr>
          <w:sz w:val="20"/>
          <w:szCs w:val="20"/>
          <w:color w:val="auto"/>
        </w:rPr>
      </w:pPr>
    </w:p>
    <w:p>
      <w:pPr>
        <w:ind w:right="240"/>
        <w:spacing w:after="0" w:line="259"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4"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/s/ GRANT THORNTON LLP</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2005.</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Arlington, Virginia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March 13,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80"/>
          </w:cols>
          <w:pgMar w:left="300" w:top="125" w:right="31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Board of Directors and Stockholders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Luna Innovations Incorporated</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internal control over financial reporting</w:t>
      </w:r>
    </w:p>
    <w:p>
      <w:pPr>
        <w:spacing w:after="0" w:line="23"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have audited the internal control over financial reporting of Luna Innovations Incorporated (a Delaware corporation) and subsidiaries (the “Company”) as of December 31, 2019, based on criteria established in the 2013 Internal Control-Integrated Framework issued by the Committee of Sponsoring Organizations of the Treadway Commission (“COSO”). In our opinion, the Company maintained, in all material respects, effective internal control over financial reporting as of December 31, 2019, based on criteria established in the 2013 Internal Control-Integrated Framework issued by COSO.</w:t>
      </w:r>
    </w:p>
    <w:p>
      <w:pPr>
        <w:spacing w:after="0" w:line="85"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financial statements of the Company as of and for the year ended December 31, 2019 and our report dated March 13, 2020 expressed an unqualified opinion on those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45" w:lineRule="exact"/>
        <w:rPr>
          <w:sz w:val="20"/>
          <w:szCs w:val="20"/>
          <w:color w:val="auto"/>
        </w:rPr>
      </w:pPr>
    </w:p>
    <w:p>
      <w:pPr>
        <w:jc w:val="both"/>
        <w:ind w:right="140"/>
        <w:spacing w:after="0" w:line="288" w:lineRule="auto"/>
        <w:rPr>
          <w:sz w:val="20"/>
          <w:szCs w:val="20"/>
          <w:color w:val="auto"/>
        </w:rPr>
      </w:pPr>
      <w:r>
        <w:rPr>
          <w:rFonts w:ascii="Arial" w:cs="Arial" w:eastAsia="Arial" w:hAnsi="Arial"/>
          <w:sz w:val="13"/>
          <w:szCs w:val="13"/>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2" w:lineRule="exact"/>
        <w:rPr>
          <w:sz w:val="20"/>
          <w:szCs w:val="20"/>
          <w:color w:val="auto"/>
        </w:rPr>
      </w:pPr>
    </w:p>
    <w:p>
      <w:pPr>
        <w:jc w:val="both"/>
        <w:ind w:right="20"/>
        <w:spacing w:after="0" w:line="262" w:lineRule="auto"/>
        <w:rPr>
          <w:sz w:val="20"/>
          <w:szCs w:val="20"/>
          <w:color w:val="auto"/>
        </w:rPr>
      </w:pPr>
      <w:r>
        <w:rPr>
          <w:rFonts w:ascii="Arial" w:cs="Arial" w:eastAsia="Arial" w:hAnsi="Arial"/>
          <w:sz w:val="14"/>
          <w:szCs w:val="14"/>
          <w:color w:val="auto"/>
        </w:rPr>
        <w:t>Our audit of, and opinion on, the Company’s internal control over financial reporting does not include the internal control over financial reporting of General Photonics Corporation, a wholly-owned subsidiary, whose financial statements reflect total assets and revenues constituting 28 and 7 percent, respectively, of the related consolidated financial statement amounts as of and for the year ended December 31, 2019. As indicated in Management’s Report, General Photonics Corporation was acquired during 2019. Management’s assertion on the effectiveness of the Company’s internal control over financial reporting excluded internal control over financial reporting of General Photonics Corporation.</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45" w:lineRule="exact"/>
        <w:rPr>
          <w:sz w:val="20"/>
          <w:szCs w:val="20"/>
          <w:color w:val="auto"/>
        </w:rPr>
      </w:pPr>
    </w:p>
    <w:p>
      <w:pPr>
        <w:ind w:right="60"/>
        <w:spacing w:after="0" w:line="282"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1" w:lineRule="exact"/>
        <w:rPr>
          <w:sz w:val="20"/>
          <w:szCs w:val="20"/>
          <w:color w:val="auto"/>
        </w:rPr>
      </w:pPr>
    </w:p>
    <w:p>
      <w:pPr>
        <w:ind w:right="80"/>
        <w:spacing w:after="0" w:line="321"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auto"/>
        </w:rPr>
        <w:t>/s/ GRANT THORNTON LLP</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Arlington, Virginia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March 13, 2020</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40"/>
          </w:cols>
          <w:pgMar w:left="300" w:top="125" w:right="35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Luna Innovations Incorporated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1"/>
                <w:szCs w:val="11"/>
                <w:b w:val="1"/>
                <w:bCs w:val="1"/>
                <w:color w:val="auto"/>
              </w:rPr>
              <w:t>December 31, 2019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1"/>
                <w:szCs w:val="11"/>
                <w:b w:val="1"/>
                <w:bCs w:val="1"/>
                <w:color w:val="auto"/>
                <w:w w:val="96"/>
              </w:rPr>
              <w:t>December 31, 2018</w:t>
            </w:r>
          </w:p>
        </w:tc>
        <w:tc>
          <w:tcPr>
            <w:tcW w:w="0" w:type="dxa"/>
            <w:vAlign w:val="bottom"/>
          </w:tcPr>
          <w:p>
            <w:pPr>
              <w:spacing w:after="0"/>
              <w:rPr>
                <w:sz w:val="1"/>
                <w:szCs w:val="1"/>
                <w:color w:val="auto"/>
              </w:rPr>
            </w:pPr>
          </w:p>
        </w:tc>
      </w:tr>
      <w:tr>
        <w:trPr>
          <w:trHeight w:val="171"/>
        </w:trPr>
        <w:tc>
          <w:tcPr>
            <w:tcW w:w="8360" w:type="dxa"/>
            <w:vAlign w:val="bottom"/>
          </w:tcPr>
          <w:p>
            <w:pPr>
              <w:ind w:left="400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360" w:type="dxa"/>
            <w:vAlign w:val="bottom"/>
          </w:tcPr>
          <w:p>
            <w:pPr>
              <w:ind w:left="30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25,005,917</w:t>
            </w:r>
          </w:p>
        </w:tc>
        <w:tc>
          <w:tcPr>
            <w:tcW w:w="2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30"/>
              <w:spacing w:after="0"/>
              <w:rPr>
                <w:sz w:val="20"/>
                <w:szCs w:val="20"/>
                <w:color w:val="auto"/>
              </w:rPr>
            </w:pPr>
            <w:r>
              <w:rPr>
                <w:rFonts w:ascii="Arial" w:cs="Arial" w:eastAsia="Arial" w:hAnsi="Arial"/>
                <w:sz w:val="14"/>
                <w:szCs w:val="14"/>
                <w:color w:val="auto"/>
              </w:rPr>
              <w:t>42,460,267</w:t>
            </w:r>
          </w:p>
        </w:tc>
        <w:tc>
          <w:tcPr>
            <w:tcW w:w="0" w:type="dxa"/>
            <w:vAlign w:val="bottom"/>
          </w:tcPr>
          <w:p>
            <w:pPr>
              <w:spacing w:after="0"/>
              <w:rPr>
                <w:sz w:val="1"/>
                <w:szCs w:val="1"/>
                <w:color w:val="auto"/>
              </w:rPr>
            </w:pPr>
          </w:p>
        </w:tc>
      </w:tr>
      <w:tr>
        <w:trPr>
          <w:trHeight w:val="22"/>
        </w:trPr>
        <w:tc>
          <w:tcPr>
            <w:tcW w:w="8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Accounts receivable, net</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16,268,645</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13,037,068</w:t>
            </w:r>
          </w:p>
        </w:tc>
        <w:tc>
          <w:tcPr>
            <w:tcW w:w="0" w:type="dxa"/>
            <w:vAlign w:val="bottom"/>
          </w:tcPr>
          <w:p>
            <w:pPr>
              <w:spacing w:after="0"/>
              <w:rPr>
                <w:sz w:val="1"/>
                <w:szCs w:val="1"/>
                <w:color w:val="auto"/>
              </w:rPr>
            </w:pPr>
          </w:p>
        </w:tc>
      </w:tr>
      <w:tr>
        <w:trPr>
          <w:trHeight w:val="191"/>
        </w:trPr>
        <w:tc>
          <w:tcPr>
            <w:tcW w:w="8360" w:type="dxa"/>
            <w:vAlign w:val="bottom"/>
          </w:tcPr>
          <w:p>
            <w:pPr>
              <w:ind w:left="280"/>
              <w:spacing w:after="0"/>
              <w:rPr>
                <w:sz w:val="20"/>
                <w:szCs w:val="20"/>
                <w:color w:val="auto"/>
              </w:rPr>
            </w:pPr>
            <w:r>
              <w:rPr>
                <w:rFonts w:ascii="Arial" w:cs="Arial" w:eastAsia="Arial" w:hAnsi="Arial"/>
                <w:sz w:val="14"/>
                <w:szCs w:val="14"/>
                <w:color w:val="auto"/>
              </w:rPr>
              <w:t>Receivable from sale of HSOR business</w:t>
            </w:r>
          </w:p>
        </w:tc>
        <w:tc>
          <w:tcPr>
            <w:tcW w:w="160" w:type="dxa"/>
            <w:vAlign w:val="bottom"/>
          </w:tcPr>
          <w:p>
            <w:pPr>
              <w:spacing w:after="0"/>
              <w:rPr>
                <w:sz w:val="16"/>
                <w:szCs w:val="16"/>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2,501,386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30"/>
              <w:spacing w:after="0"/>
              <w:rPr>
                <w:sz w:val="20"/>
                <w:szCs w:val="20"/>
                <w:color w:val="auto"/>
              </w:rPr>
            </w:pPr>
            <w:r>
              <w:rPr>
                <w:rFonts w:ascii="Arial" w:cs="Arial" w:eastAsia="Arial" w:hAnsi="Arial"/>
                <w:sz w:val="14"/>
                <w:szCs w:val="14"/>
                <w:color w:val="auto"/>
              </w:rPr>
              <w:t>2,500,000</w:t>
            </w:r>
          </w:p>
        </w:tc>
        <w:tc>
          <w:tcPr>
            <w:tcW w:w="0" w:type="dxa"/>
            <w:vAlign w:val="bottom"/>
          </w:tcPr>
          <w:p>
            <w:pPr>
              <w:spacing w:after="0"/>
              <w:rPr>
                <w:sz w:val="1"/>
                <w:szCs w:val="1"/>
                <w:color w:val="auto"/>
              </w:rPr>
            </w:pPr>
          </w:p>
        </w:tc>
      </w:tr>
      <w:tr>
        <w:trPr>
          <w:trHeight w:val="22"/>
        </w:trPr>
        <w:tc>
          <w:tcPr>
            <w:tcW w:w="8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Contract assets</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2,758,946</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2,422,495</w:t>
            </w:r>
          </w:p>
        </w:tc>
        <w:tc>
          <w:tcPr>
            <w:tcW w:w="0" w:type="dxa"/>
            <w:vAlign w:val="bottom"/>
          </w:tcPr>
          <w:p>
            <w:pPr>
              <w:spacing w:after="0"/>
              <w:rPr>
                <w:sz w:val="1"/>
                <w:szCs w:val="1"/>
                <w:color w:val="auto"/>
              </w:rPr>
            </w:pPr>
          </w:p>
        </w:tc>
      </w:tr>
      <w:tr>
        <w:trPr>
          <w:trHeight w:val="191"/>
        </w:trPr>
        <w:tc>
          <w:tcPr>
            <w:tcW w:w="8360" w:type="dxa"/>
            <w:vAlign w:val="bottom"/>
          </w:tcPr>
          <w:p>
            <w:pPr>
              <w:ind w:left="300"/>
              <w:spacing w:after="0"/>
              <w:rPr>
                <w:sz w:val="20"/>
                <w:szCs w:val="20"/>
                <w:color w:val="auto"/>
              </w:rPr>
            </w:pPr>
            <w:r>
              <w:rPr>
                <w:rFonts w:ascii="Arial" w:cs="Arial" w:eastAsia="Arial" w:hAnsi="Arial"/>
                <w:sz w:val="14"/>
                <w:szCs w:val="14"/>
                <w:color w:val="auto"/>
              </w:rPr>
              <w:t>Inventory, net</w:t>
            </w:r>
          </w:p>
        </w:tc>
        <w:tc>
          <w:tcPr>
            <w:tcW w:w="160" w:type="dxa"/>
            <w:vAlign w:val="bottom"/>
          </w:tcPr>
          <w:p>
            <w:pPr>
              <w:spacing w:after="0"/>
              <w:rPr>
                <w:sz w:val="16"/>
                <w:szCs w:val="16"/>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10,294,431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30"/>
              <w:spacing w:after="0"/>
              <w:rPr>
                <w:sz w:val="20"/>
                <w:szCs w:val="20"/>
                <w:color w:val="auto"/>
              </w:rPr>
            </w:pPr>
            <w:r>
              <w:rPr>
                <w:rFonts w:ascii="Arial" w:cs="Arial" w:eastAsia="Arial" w:hAnsi="Arial"/>
                <w:sz w:val="14"/>
                <w:szCs w:val="14"/>
                <w:color w:val="auto"/>
              </w:rPr>
              <w:t>6,873,742</w:t>
            </w:r>
          </w:p>
        </w:tc>
        <w:tc>
          <w:tcPr>
            <w:tcW w:w="0" w:type="dxa"/>
            <w:vAlign w:val="bottom"/>
          </w:tcPr>
          <w:p>
            <w:pPr>
              <w:spacing w:after="0"/>
              <w:rPr>
                <w:sz w:val="1"/>
                <w:szCs w:val="1"/>
                <w:color w:val="auto"/>
              </w:rPr>
            </w:pPr>
          </w:p>
        </w:tc>
      </w:tr>
      <w:tr>
        <w:trPr>
          <w:trHeight w:val="22"/>
        </w:trPr>
        <w:tc>
          <w:tcPr>
            <w:tcW w:w="8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1,286,968</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935,185</w:t>
            </w:r>
          </w:p>
        </w:tc>
        <w:tc>
          <w:tcPr>
            <w:tcW w:w="0" w:type="dxa"/>
            <w:vAlign w:val="bottom"/>
          </w:tcPr>
          <w:p>
            <w:pPr>
              <w:spacing w:after="0"/>
              <w:rPr>
                <w:sz w:val="1"/>
                <w:szCs w:val="1"/>
                <w:color w:val="auto"/>
              </w:rPr>
            </w:pPr>
          </w:p>
        </w:tc>
      </w:tr>
      <w:tr>
        <w:trPr>
          <w:trHeight w:val="181"/>
        </w:trPr>
        <w:tc>
          <w:tcPr>
            <w:tcW w:w="8360" w:type="dxa"/>
            <w:vAlign w:val="bottom"/>
          </w:tcPr>
          <w:p>
            <w:pPr>
              <w:ind w:left="560"/>
              <w:spacing w:after="0"/>
              <w:rPr>
                <w:sz w:val="20"/>
                <w:szCs w:val="20"/>
                <w:color w:val="auto"/>
              </w:rPr>
            </w:pPr>
            <w:r>
              <w:rPr>
                <w:rFonts w:ascii="Arial" w:cs="Arial" w:eastAsia="Arial" w:hAnsi="Arial"/>
                <w:sz w:val="14"/>
                <w:szCs w:val="14"/>
                <w:color w:val="auto"/>
              </w:rPr>
              <w:t>Total current assets</w:t>
            </w: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58,116,293</w:t>
            </w: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68,228,757</w:t>
            </w:r>
          </w:p>
        </w:tc>
        <w:tc>
          <w:tcPr>
            <w:tcW w:w="0" w:type="dxa"/>
            <w:vAlign w:val="bottom"/>
          </w:tcPr>
          <w:p>
            <w:pPr>
              <w:spacing w:after="0"/>
              <w:rPr>
                <w:sz w:val="1"/>
                <w:szCs w:val="1"/>
                <w:color w:val="auto"/>
              </w:rPr>
            </w:pPr>
          </w:p>
        </w:tc>
      </w:tr>
      <w:tr>
        <w:trPr>
          <w:trHeight w:val="22"/>
        </w:trPr>
        <w:tc>
          <w:tcPr>
            <w:tcW w:w="8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3,465,612</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3,627,886</w:t>
            </w:r>
          </w:p>
        </w:tc>
        <w:tc>
          <w:tcPr>
            <w:tcW w:w="0" w:type="dxa"/>
            <w:vAlign w:val="bottom"/>
          </w:tcPr>
          <w:p>
            <w:pPr>
              <w:spacing w:after="0"/>
              <w:rPr>
                <w:sz w:val="1"/>
                <w:szCs w:val="1"/>
                <w:color w:val="auto"/>
              </w:rPr>
            </w:pPr>
          </w:p>
        </w:tc>
      </w:tr>
      <w:tr>
        <w:trPr>
          <w:trHeight w:val="191"/>
        </w:trPr>
        <w:tc>
          <w:tcPr>
            <w:tcW w:w="836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16"/>
                <w:szCs w:val="16"/>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10,194,477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30"/>
              <w:spacing w:after="0"/>
              <w:rPr>
                <w:sz w:val="20"/>
                <w:szCs w:val="20"/>
                <w:color w:val="auto"/>
              </w:rPr>
            </w:pPr>
            <w:r>
              <w:rPr>
                <w:rFonts w:ascii="Arial" w:cs="Arial" w:eastAsia="Arial" w:hAnsi="Arial"/>
                <w:sz w:val="14"/>
                <w:szCs w:val="14"/>
                <w:color w:val="auto"/>
              </w:rPr>
              <w:t>3,302,270</w:t>
            </w:r>
          </w:p>
        </w:tc>
        <w:tc>
          <w:tcPr>
            <w:tcW w:w="0" w:type="dxa"/>
            <w:vAlign w:val="bottom"/>
          </w:tcPr>
          <w:p>
            <w:pPr>
              <w:spacing w:after="0"/>
              <w:rPr>
                <w:sz w:val="1"/>
                <w:szCs w:val="1"/>
                <w:color w:val="auto"/>
              </w:rPr>
            </w:pPr>
          </w:p>
        </w:tc>
      </w:tr>
      <w:tr>
        <w:trPr>
          <w:trHeight w:val="22"/>
        </w:trPr>
        <w:tc>
          <w:tcPr>
            <w:tcW w:w="8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10,541,676</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101,008</w:t>
            </w:r>
          </w:p>
        </w:tc>
        <w:tc>
          <w:tcPr>
            <w:tcW w:w="0" w:type="dxa"/>
            <w:vAlign w:val="bottom"/>
          </w:tcPr>
          <w:p>
            <w:pPr>
              <w:spacing w:after="0"/>
              <w:rPr>
                <w:sz w:val="1"/>
                <w:szCs w:val="1"/>
                <w:color w:val="auto"/>
              </w:rPr>
            </w:pPr>
          </w:p>
        </w:tc>
      </w:tr>
      <w:tr>
        <w:trPr>
          <w:trHeight w:val="191"/>
        </w:trPr>
        <w:tc>
          <w:tcPr>
            <w:tcW w:w="8360" w:type="dxa"/>
            <w:vAlign w:val="bottom"/>
          </w:tcPr>
          <w:p>
            <w:pPr>
              <w:ind w:left="20"/>
              <w:spacing w:after="0"/>
              <w:rPr>
                <w:sz w:val="20"/>
                <w:szCs w:val="20"/>
                <w:color w:val="auto"/>
              </w:rPr>
            </w:pPr>
            <w:r>
              <w:rPr>
                <w:rFonts w:ascii="Arial" w:cs="Arial" w:eastAsia="Arial" w:hAnsi="Arial"/>
                <w:sz w:val="14"/>
                <w:szCs w:val="14"/>
                <w:color w:val="auto"/>
              </w:rPr>
              <w:t>Long term contract assets</w:t>
            </w:r>
          </w:p>
        </w:tc>
        <w:tc>
          <w:tcPr>
            <w:tcW w:w="160" w:type="dxa"/>
            <w:vAlign w:val="bottom"/>
          </w:tcPr>
          <w:p>
            <w:pPr>
              <w:spacing w:after="0"/>
              <w:rPr>
                <w:sz w:val="16"/>
                <w:szCs w:val="16"/>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449,260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30"/>
              <w:spacing w:after="0"/>
              <w:rPr>
                <w:sz w:val="20"/>
                <w:szCs w:val="20"/>
                <w:color w:val="auto"/>
              </w:rPr>
            </w:pPr>
            <w:r>
              <w:rPr>
                <w:rFonts w:ascii="Arial" w:cs="Arial" w:eastAsia="Arial" w:hAnsi="Arial"/>
                <w:sz w:val="14"/>
                <w:szCs w:val="14"/>
                <w:color w:val="auto"/>
              </w:rPr>
              <w:t>336,820</w:t>
            </w:r>
          </w:p>
        </w:tc>
        <w:tc>
          <w:tcPr>
            <w:tcW w:w="0" w:type="dxa"/>
            <w:vAlign w:val="bottom"/>
          </w:tcPr>
          <w:p>
            <w:pPr>
              <w:spacing w:after="0"/>
              <w:rPr>
                <w:sz w:val="1"/>
                <w:szCs w:val="1"/>
                <w:color w:val="auto"/>
              </w:rPr>
            </w:pPr>
          </w:p>
        </w:tc>
      </w:tr>
      <w:tr>
        <w:trPr>
          <w:trHeight w:val="22"/>
        </w:trPr>
        <w:tc>
          <w:tcPr>
            <w:tcW w:w="8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2,341,179</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1,995</w:t>
            </w:r>
          </w:p>
        </w:tc>
        <w:tc>
          <w:tcPr>
            <w:tcW w:w="0" w:type="dxa"/>
            <w:vAlign w:val="bottom"/>
          </w:tcPr>
          <w:p>
            <w:pPr>
              <w:spacing w:after="0"/>
              <w:rPr>
                <w:sz w:val="1"/>
                <w:szCs w:val="1"/>
                <w:color w:val="auto"/>
              </w:rPr>
            </w:pPr>
          </w:p>
        </w:tc>
      </w:tr>
      <w:tr>
        <w:trPr>
          <w:trHeight w:val="191"/>
        </w:trPr>
        <w:tc>
          <w:tcPr>
            <w:tcW w:w="8360" w:type="dxa"/>
            <w:vAlign w:val="bottom"/>
          </w:tcPr>
          <w:p>
            <w:pPr>
              <w:ind w:left="20"/>
              <w:spacing w:after="0"/>
              <w:rPr>
                <w:sz w:val="20"/>
                <w:szCs w:val="20"/>
                <w:color w:val="auto"/>
              </w:rPr>
            </w:pPr>
            <w:r>
              <w:rPr>
                <w:rFonts w:ascii="Arial" w:cs="Arial" w:eastAsia="Arial" w:hAnsi="Arial"/>
                <w:sz w:val="14"/>
                <w:szCs w:val="14"/>
                <w:color w:val="auto"/>
              </w:rPr>
              <w:t>Deferred tax asset</w:t>
            </w:r>
          </w:p>
        </w:tc>
        <w:tc>
          <w:tcPr>
            <w:tcW w:w="160" w:type="dxa"/>
            <w:vAlign w:val="bottom"/>
          </w:tcPr>
          <w:p>
            <w:pPr>
              <w:spacing w:after="0"/>
              <w:rPr>
                <w:sz w:val="16"/>
                <w:szCs w:val="16"/>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1,415,563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8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83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86,524,060</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75,598,736</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312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8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360" w:type="dxa"/>
            <w:vAlign w:val="bottom"/>
          </w:tcPr>
          <w:p>
            <w:pPr>
              <w:ind w:left="300"/>
              <w:spacing w:after="0"/>
              <w:rPr>
                <w:sz w:val="20"/>
                <w:szCs w:val="20"/>
                <w:color w:val="auto"/>
              </w:rPr>
            </w:pPr>
            <w:r>
              <w:rPr>
                <w:rFonts w:ascii="Arial" w:cs="Arial" w:eastAsia="Arial" w:hAnsi="Arial"/>
                <w:sz w:val="14"/>
                <w:szCs w:val="14"/>
                <w:color w:val="auto"/>
              </w:rPr>
              <w:t>Current portion of long-term debt obligations</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30"/>
              <w:spacing w:after="0"/>
              <w:rPr>
                <w:sz w:val="20"/>
                <w:szCs w:val="20"/>
                <w:color w:val="auto"/>
              </w:rPr>
            </w:pPr>
            <w:r>
              <w:rPr>
                <w:rFonts w:ascii="Arial" w:cs="Arial" w:eastAsia="Arial" w:hAnsi="Arial"/>
                <w:sz w:val="14"/>
                <w:szCs w:val="14"/>
                <w:color w:val="auto"/>
              </w:rPr>
              <w:t>619,315</w:t>
            </w:r>
          </w:p>
        </w:tc>
        <w:tc>
          <w:tcPr>
            <w:tcW w:w="0" w:type="dxa"/>
            <w:vAlign w:val="bottom"/>
          </w:tcPr>
          <w:p>
            <w:pPr>
              <w:spacing w:after="0"/>
              <w:rPr>
                <w:sz w:val="1"/>
                <w:szCs w:val="1"/>
                <w:color w:val="auto"/>
              </w:rPr>
            </w:pPr>
          </w:p>
        </w:tc>
      </w:tr>
      <w:tr>
        <w:trPr>
          <w:trHeight w:val="22"/>
        </w:trPr>
        <w:tc>
          <w:tcPr>
            <w:tcW w:w="8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Current portion of capital lease obligations</w:t>
            </w: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40,586</w:t>
            </w:r>
          </w:p>
        </w:tc>
        <w:tc>
          <w:tcPr>
            <w:tcW w:w="0" w:type="dxa"/>
            <w:vAlign w:val="bottom"/>
          </w:tcPr>
          <w:p>
            <w:pPr>
              <w:spacing w:after="0"/>
              <w:rPr>
                <w:sz w:val="1"/>
                <w:szCs w:val="1"/>
                <w:color w:val="auto"/>
              </w:rPr>
            </w:pPr>
          </w:p>
        </w:tc>
      </w:tr>
      <w:tr>
        <w:trPr>
          <w:trHeight w:val="191"/>
        </w:trPr>
        <w:tc>
          <w:tcPr>
            <w:tcW w:w="8360" w:type="dxa"/>
            <w:vAlign w:val="bottom"/>
          </w:tcPr>
          <w:p>
            <w:pPr>
              <w:ind w:left="300"/>
              <w:spacing w:after="0"/>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16"/>
                <w:szCs w:val="16"/>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2,786,825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30"/>
              <w:spacing w:after="0"/>
              <w:rPr>
                <w:sz w:val="20"/>
                <w:szCs w:val="20"/>
                <w:color w:val="auto"/>
              </w:rPr>
            </w:pPr>
            <w:r>
              <w:rPr>
                <w:rFonts w:ascii="Arial" w:cs="Arial" w:eastAsia="Arial" w:hAnsi="Arial"/>
                <w:sz w:val="14"/>
                <w:szCs w:val="14"/>
                <w:color w:val="auto"/>
              </w:rPr>
              <w:t>2,395,984</w:t>
            </w:r>
          </w:p>
        </w:tc>
        <w:tc>
          <w:tcPr>
            <w:tcW w:w="0" w:type="dxa"/>
            <w:vAlign w:val="bottom"/>
          </w:tcPr>
          <w:p>
            <w:pPr>
              <w:spacing w:after="0"/>
              <w:rPr>
                <w:sz w:val="1"/>
                <w:szCs w:val="1"/>
                <w:color w:val="auto"/>
              </w:rPr>
            </w:pPr>
          </w:p>
        </w:tc>
      </w:tr>
      <w:tr>
        <w:trPr>
          <w:trHeight w:val="22"/>
        </w:trPr>
        <w:tc>
          <w:tcPr>
            <w:tcW w:w="8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Accrued liabilities</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10,369,545</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6,597,458</w:t>
            </w:r>
          </w:p>
        </w:tc>
        <w:tc>
          <w:tcPr>
            <w:tcW w:w="0" w:type="dxa"/>
            <w:vAlign w:val="bottom"/>
          </w:tcPr>
          <w:p>
            <w:pPr>
              <w:spacing w:after="0"/>
              <w:rPr>
                <w:sz w:val="1"/>
                <w:szCs w:val="1"/>
                <w:color w:val="auto"/>
              </w:rPr>
            </w:pPr>
          </w:p>
        </w:tc>
      </w:tr>
      <w:tr>
        <w:trPr>
          <w:trHeight w:val="191"/>
        </w:trPr>
        <w:tc>
          <w:tcPr>
            <w:tcW w:w="8360" w:type="dxa"/>
            <w:vAlign w:val="bottom"/>
          </w:tcPr>
          <w:p>
            <w:pPr>
              <w:ind w:left="300"/>
              <w:spacing w:after="0"/>
              <w:rPr>
                <w:sz w:val="20"/>
                <w:szCs w:val="20"/>
                <w:color w:val="auto"/>
              </w:rPr>
            </w:pPr>
            <w:r>
              <w:rPr>
                <w:rFonts w:ascii="Arial" w:cs="Arial" w:eastAsia="Arial" w:hAnsi="Arial"/>
                <w:sz w:val="14"/>
                <w:szCs w:val="14"/>
                <w:color w:val="auto"/>
              </w:rPr>
              <w:t>Contract liabilities</w:t>
            </w:r>
          </w:p>
        </w:tc>
        <w:tc>
          <w:tcPr>
            <w:tcW w:w="160" w:type="dxa"/>
            <w:vAlign w:val="bottom"/>
          </w:tcPr>
          <w:p>
            <w:pPr>
              <w:spacing w:after="0"/>
              <w:rPr>
                <w:sz w:val="16"/>
                <w:szCs w:val="16"/>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3,887,685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30"/>
              <w:spacing w:after="0"/>
              <w:rPr>
                <w:sz w:val="20"/>
                <w:szCs w:val="20"/>
                <w:color w:val="auto"/>
              </w:rPr>
            </w:pPr>
            <w:r>
              <w:rPr>
                <w:rFonts w:ascii="Arial" w:cs="Arial" w:eastAsia="Arial" w:hAnsi="Arial"/>
                <w:sz w:val="14"/>
                <w:szCs w:val="14"/>
                <w:color w:val="auto"/>
              </w:rPr>
              <w:t>2,486,111</w:t>
            </w:r>
          </w:p>
        </w:tc>
        <w:tc>
          <w:tcPr>
            <w:tcW w:w="0" w:type="dxa"/>
            <w:vAlign w:val="bottom"/>
          </w:tcPr>
          <w:p>
            <w:pPr>
              <w:spacing w:after="0"/>
              <w:rPr>
                <w:sz w:val="1"/>
                <w:szCs w:val="1"/>
                <w:color w:val="auto"/>
              </w:rPr>
            </w:pPr>
          </w:p>
        </w:tc>
      </w:tr>
      <w:tr>
        <w:trPr>
          <w:trHeight w:val="22"/>
        </w:trPr>
        <w:tc>
          <w:tcPr>
            <w:tcW w:w="8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3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17,044,055</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12,139,454</w:t>
            </w:r>
          </w:p>
        </w:tc>
        <w:tc>
          <w:tcPr>
            <w:tcW w:w="0" w:type="dxa"/>
            <w:vAlign w:val="bottom"/>
          </w:tcPr>
          <w:p>
            <w:pPr>
              <w:spacing w:after="0"/>
              <w:rPr>
                <w:sz w:val="1"/>
                <w:szCs w:val="1"/>
                <w:color w:val="auto"/>
              </w:rPr>
            </w:pPr>
          </w:p>
        </w:tc>
      </w:tr>
      <w:tr>
        <w:trPr>
          <w:trHeight w:val="191"/>
        </w:trPr>
        <w:tc>
          <w:tcPr>
            <w:tcW w:w="8360" w:type="dxa"/>
            <w:vAlign w:val="bottom"/>
          </w:tcPr>
          <w:p>
            <w:pPr>
              <w:ind w:left="20"/>
              <w:spacing w:after="0"/>
              <w:rPr>
                <w:sz w:val="20"/>
                <w:szCs w:val="20"/>
                <w:color w:val="auto"/>
              </w:rPr>
            </w:pPr>
            <w:r>
              <w:rPr>
                <w:rFonts w:ascii="Arial" w:cs="Arial" w:eastAsia="Arial" w:hAnsi="Arial"/>
                <w:sz w:val="14"/>
                <w:szCs w:val="14"/>
                <w:color w:val="auto"/>
              </w:rPr>
              <w:t>Long-term portion of deferred rent</w:t>
            </w:r>
          </w:p>
        </w:tc>
        <w:tc>
          <w:tcPr>
            <w:tcW w:w="160" w:type="dxa"/>
            <w:vAlign w:val="bottom"/>
          </w:tcPr>
          <w:p>
            <w:pPr>
              <w:spacing w:after="0"/>
              <w:rPr>
                <w:sz w:val="16"/>
                <w:szCs w:val="16"/>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ind w:right="30"/>
              <w:spacing w:after="0"/>
              <w:rPr>
                <w:sz w:val="20"/>
                <w:szCs w:val="20"/>
                <w:color w:val="auto"/>
              </w:rPr>
            </w:pPr>
            <w:r>
              <w:rPr>
                <w:rFonts w:ascii="Arial" w:cs="Arial" w:eastAsia="Arial" w:hAnsi="Arial"/>
                <w:sz w:val="14"/>
                <w:szCs w:val="14"/>
                <w:color w:val="auto"/>
              </w:rPr>
              <w:t>1,035,974</w:t>
            </w:r>
          </w:p>
        </w:tc>
        <w:tc>
          <w:tcPr>
            <w:tcW w:w="0" w:type="dxa"/>
            <w:vAlign w:val="bottom"/>
          </w:tcPr>
          <w:p>
            <w:pPr>
              <w:spacing w:after="0"/>
              <w:rPr>
                <w:sz w:val="1"/>
                <w:szCs w:val="1"/>
                <w:color w:val="auto"/>
              </w:rPr>
            </w:pPr>
          </w:p>
        </w:tc>
      </w:tr>
      <w:tr>
        <w:trPr>
          <w:trHeight w:val="22"/>
        </w:trPr>
        <w:tc>
          <w:tcPr>
            <w:tcW w:w="8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2,011,487</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8360" w:type="dxa"/>
            <w:vAlign w:val="bottom"/>
          </w:tcPr>
          <w:p>
            <w:pPr>
              <w:ind w:left="20"/>
              <w:spacing w:after="0"/>
              <w:rPr>
                <w:sz w:val="20"/>
                <w:szCs w:val="20"/>
                <w:color w:val="auto"/>
              </w:rPr>
            </w:pPr>
            <w:r>
              <w:rPr>
                <w:rFonts w:ascii="Arial" w:cs="Arial" w:eastAsia="Arial" w:hAnsi="Arial"/>
                <w:sz w:val="14"/>
                <w:szCs w:val="14"/>
                <w:color w:val="auto"/>
              </w:rPr>
              <w:t>Long-term capital lease obligations</w:t>
            </w:r>
          </w:p>
        </w:tc>
        <w:tc>
          <w:tcPr>
            <w:tcW w:w="160" w:type="dxa"/>
            <w:vAlign w:val="bottom"/>
          </w:tcPr>
          <w:p>
            <w:pPr>
              <w:spacing w:after="0"/>
              <w:rPr>
                <w:sz w:val="16"/>
                <w:szCs w:val="16"/>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ind w:right="30"/>
              <w:spacing w:after="0"/>
              <w:rPr>
                <w:sz w:val="20"/>
                <w:szCs w:val="20"/>
                <w:color w:val="auto"/>
              </w:rPr>
            </w:pPr>
            <w:r>
              <w:rPr>
                <w:rFonts w:ascii="Arial" w:cs="Arial" w:eastAsia="Arial" w:hAnsi="Arial"/>
                <w:sz w:val="14"/>
                <w:szCs w:val="14"/>
                <w:color w:val="auto"/>
              </w:rPr>
              <w:t>68,978</w:t>
            </w:r>
          </w:p>
        </w:tc>
        <w:tc>
          <w:tcPr>
            <w:tcW w:w="0" w:type="dxa"/>
            <w:vAlign w:val="bottom"/>
          </w:tcPr>
          <w:p>
            <w:pPr>
              <w:spacing w:after="0"/>
              <w:rPr>
                <w:sz w:val="1"/>
                <w:szCs w:val="1"/>
                <w:color w:val="auto"/>
              </w:rPr>
            </w:pPr>
          </w:p>
        </w:tc>
      </w:tr>
      <w:tr>
        <w:trPr>
          <w:trHeight w:val="22"/>
        </w:trPr>
        <w:tc>
          <w:tcPr>
            <w:tcW w:w="8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3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19,055,542</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13,244,406</w:t>
            </w:r>
          </w:p>
        </w:tc>
        <w:tc>
          <w:tcPr>
            <w:tcW w:w="0" w:type="dxa"/>
            <w:vAlign w:val="bottom"/>
          </w:tcPr>
          <w:p>
            <w:pPr>
              <w:spacing w:after="0"/>
              <w:rPr>
                <w:sz w:val="1"/>
                <w:szCs w:val="1"/>
                <w:color w:val="auto"/>
              </w:rPr>
            </w:pPr>
          </w:p>
        </w:tc>
      </w:tr>
      <w:tr>
        <w:trPr>
          <w:trHeight w:val="171"/>
        </w:trPr>
        <w:tc>
          <w:tcPr>
            <w:tcW w:w="8360" w:type="dxa"/>
            <w:vAlign w:val="bottom"/>
          </w:tcPr>
          <w:p>
            <w:pPr>
              <w:ind w:left="20"/>
              <w:spacing w:after="0"/>
              <w:rPr>
                <w:sz w:val="20"/>
                <w:szCs w:val="20"/>
                <w:color w:val="auto"/>
              </w:rPr>
            </w:pPr>
            <w:r>
              <w:rPr>
                <w:rFonts w:ascii="Arial" w:cs="Arial" w:eastAsia="Arial" w:hAnsi="Arial"/>
                <w:sz w:val="14"/>
                <w:szCs w:val="14"/>
                <w:color w:val="auto"/>
              </w:rPr>
              <w:t>Commitments and contingencies (Note 14)</w:t>
            </w: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360" w:type="dxa"/>
            <w:vAlign w:val="bottom"/>
          </w:tcPr>
          <w:p>
            <w:pPr>
              <w:ind w:left="300"/>
              <w:spacing w:after="0"/>
              <w:rPr>
                <w:sz w:val="20"/>
                <w:szCs w:val="20"/>
                <w:color w:val="auto"/>
              </w:rPr>
            </w:pPr>
            <w:r>
              <w:rPr>
                <w:rFonts w:ascii="Arial" w:cs="Arial" w:eastAsia="Arial" w:hAnsi="Arial"/>
                <w:sz w:val="14"/>
                <w:szCs w:val="14"/>
                <w:color w:val="auto"/>
                <w:w w:val="92"/>
              </w:rPr>
              <w:t>Preferred stock, par value $0.001, 1,321,514 shares authorized, 0 and 1,321,514 shares issued and outstanding at December 31, 2019 and</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tcPr>
          <w:p>
            <w:pPr>
              <w:ind w:left="300"/>
              <w:spacing w:after="0"/>
              <w:rPr>
                <w:sz w:val="20"/>
                <w:szCs w:val="20"/>
                <w:color w:val="auto"/>
              </w:rPr>
            </w:pPr>
            <w:r>
              <w:rPr>
                <w:rFonts w:ascii="Arial" w:cs="Arial" w:eastAsia="Arial" w:hAnsi="Arial"/>
                <w:sz w:val="14"/>
                <w:szCs w:val="14"/>
                <w:color w:val="auto"/>
              </w:rPr>
              <w:t>2018, respectively</w:t>
            </w:r>
          </w:p>
        </w:tc>
        <w:tc>
          <w:tcPr>
            <w:tcW w:w="160" w:type="dxa"/>
            <w:vAlign w:val="bottom"/>
          </w:tcPr>
          <w:p>
            <w:pPr>
              <w:spacing w:after="0"/>
              <w:rPr>
                <w:sz w:val="15"/>
                <w:szCs w:val="15"/>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80" w:type="dxa"/>
            <w:vAlign w:val="bottom"/>
          </w:tcPr>
          <w:p>
            <w:pPr>
              <w:jc w:val="right"/>
              <w:ind w:right="30"/>
              <w:spacing w:after="0"/>
              <w:rPr>
                <w:sz w:val="20"/>
                <w:szCs w:val="20"/>
                <w:color w:val="auto"/>
              </w:rPr>
            </w:pPr>
            <w:r>
              <w:rPr>
                <w:rFonts w:ascii="Arial" w:cs="Arial" w:eastAsia="Arial" w:hAnsi="Arial"/>
                <w:sz w:val="14"/>
                <w:szCs w:val="14"/>
                <w:color w:val="auto"/>
              </w:rPr>
              <w:t>1,322</w:t>
            </w:r>
          </w:p>
        </w:tc>
        <w:tc>
          <w:tcPr>
            <w:tcW w:w="0" w:type="dxa"/>
            <w:vAlign w:val="bottom"/>
          </w:tcPr>
          <w:p>
            <w:pPr>
              <w:spacing w:after="0"/>
              <w:rPr>
                <w:sz w:val="1"/>
                <w:szCs w:val="1"/>
                <w:color w:val="auto"/>
              </w:rPr>
            </w:pPr>
          </w:p>
        </w:tc>
      </w:tr>
      <w:tr>
        <w:trPr>
          <w:trHeight w:val="22"/>
        </w:trPr>
        <w:tc>
          <w:tcPr>
            <w:tcW w:w="8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36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Common stock, par value $0.001, 100,000,000 shares authorized, 31,788,896 and 29,209,506 shares issued, 30,149,105 and 27,956,401</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shares outstanding at December 31, 2019 and 2018, respectively</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31,849</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30,120</w:t>
            </w:r>
          </w:p>
        </w:tc>
        <w:tc>
          <w:tcPr>
            <w:tcW w:w="0" w:type="dxa"/>
            <w:vAlign w:val="bottom"/>
          </w:tcPr>
          <w:p>
            <w:pPr>
              <w:spacing w:after="0"/>
              <w:rPr>
                <w:sz w:val="1"/>
                <w:szCs w:val="1"/>
                <w:color w:val="auto"/>
              </w:rPr>
            </w:pPr>
          </w:p>
        </w:tc>
      </w:tr>
      <w:tr>
        <w:trPr>
          <w:trHeight w:val="191"/>
        </w:trPr>
        <w:tc>
          <w:tcPr>
            <w:tcW w:w="8360" w:type="dxa"/>
            <w:vAlign w:val="bottom"/>
          </w:tcPr>
          <w:p>
            <w:pPr>
              <w:ind w:left="300"/>
              <w:spacing w:after="0"/>
              <w:rPr>
                <w:sz w:val="20"/>
                <w:szCs w:val="20"/>
                <w:color w:val="auto"/>
              </w:rPr>
            </w:pPr>
            <w:r>
              <w:rPr>
                <w:rFonts w:ascii="Arial" w:cs="Arial" w:eastAsia="Arial" w:hAnsi="Arial"/>
                <w:sz w:val="14"/>
                <w:szCs w:val="14"/>
                <w:color w:val="auto"/>
              </w:rPr>
              <w:t>Treasury stock at cost, 1,639,791 and 1,253,105 shares at December 31, 2019 and 2018, respectively</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(4,337,107)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(2,116,640)</w:t>
            </w:r>
          </w:p>
        </w:tc>
        <w:tc>
          <w:tcPr>
            <w:tcW w:w="0" w:type="dxa"/>
            <w:vAlign w:val="bottom"/>
          </w:tcPr>
          <w:p>
            <w:pPr>
              <w:spacing w:after="0"/>
              <w:rPr>
                <w:sz w:val="1"/>
                <w:szCs w:val="1"/>
                <w:color w:val="auto"/>
              </w:rPr>
            </w:pPr>
          </w:p>
        </w:tc>
      </w:tr>
      <w:tr>
        <w:trPr>
          <w:trHeight w:val="22"/>
        </w:trPr>
        <w:tc>
          <w:tcPr>
            <w:tcW w:w="8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Additional paid-in capital</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88,021,903</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85,744,750</w:t>
            </w:r>
          </w:p>
        </w:tc>
        <w:tc>
          <w:tcPr>
            <w:tcW w:w="0" w:type="dxa"/>
            <w:vAlign w:val="bottom"/>
          </w:tcPr>
          <w:p>
            <w:pPr>
              <w:spacing w:after="0"/>
              <w:rPr>
                <w:sz w:val="1"/>
                <w:szCs w:val="1"/>
                <w:color w:val="auto"/>
              </w:rPr>
            </w:pPr>
          </w:p>
        </w:tc>
      </w:tr>
      <w:tr>
        <w:trPr>
          <w:trHeight w:val="191"/>
        </w:trPr>
        <w:tc>
          <w:tcPr>
            <w:tcW w:w="8360" w:type="dxa"/>
            <w:vAlign w:val="bottom"/>
          </w:tcPr>
          <w:p>
            <w:pPr>
              <w:ind w:left="300"/>
              <w:spacing w:after="0"/>
              <w:rPr>
                <w:sz w:val="20"/>
                <w:szCs w:val="20"/>
                <w:color w:val="auto"/>
              </w:rPr>
            </w:pPr>
            <w:r>
              <w:rPr>
                <w:rFonts w:ascii="Arial" w:cs="Arial" w:eastAsia="Arial" w:hAnsi="Arial"/>
                <w:sz w:val="14"/>
                <w:szCs w:val="14"/>
                <w:color w:val="auto"/>
              </w:rPr>
              <w:t>Accumulated deficit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(16,248,127)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(21,305,222)</w:t>
            </w:r>
          </w:p>
        </w:tc>
        <w:tc>
          <w:tcPr>
            <w:tcW w:w="0" w:type="dxa"/>
            <w:vAlign w:val="bottom"/>
          </w:tcPr>
          <w:p>
            <w:pPr>
              <w:spacing w:after="0"/>
              <w:rPr>
                <w:sz w:val="1"/>
                <w:szCs w:val="1"/>
                <w:color w:val="auto"/>
              </w:rPr>
            </w:pPr>
          </w:p>
        </w:tc>
      </w:tr>
      <w:tr>
        <w:trPr>
          <w:trHeight w:val="22"/>
        </w:trPr>
        <w:tc>
          <w:tcPr>
            <w:tcW w:w="8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3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b w:val="1"/>
                <w:bCs w:val="1"/>
                <w:color w:val="auto"/>
              </w:rPr>
              <w:t>Total stockholders’ equity</w:t>
            </w: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67,468,518</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62,354,330</w:t>
            </w:r>
          </w:p>
        </w:tc>
        <w:tc>
          <w:tcPr>
            <w:tcW w:w="0" w:type="dxa"/>
            <w:vAlign w:val="bottom"/>
          </w:tcPr>
          <w:p>
            <w:pPr>
              <w:spacing w:after="0"/>
              <w:rPr>
                <w:sz w:val="1"/>
                <w:szCs w:val="1"/>
                <w:color w:val="auto"/>
              </w:rPr>
            </w:pPr>
          </w:p>
        </w:tc>
      </w:tr>
      <w:tr>
        <w:trPr>
          <w:trHeight w:val="181"/>
        </w:trPr>
        <w:tc>
          <w:tcPr>
            <w:tcW w:w="8360" w:type="dxa"/>
            <w:vAlign w:val="bottom"/>
          </w:tcPr>
          <w:p>
            <w:pPr>
              <w:ind w:left="900"/>
              <w:spacing w:after="0"/>
              <w:rPr>
                <w:sz w:val="20"/>
                <w:szCs w:val="20"/>
                <w:color w:val="auto"/>
              </w:rPr>
            </w:pPr>
            <w:r>
              <w:rPr>
                <w:rFonts w:ascii="Arial" w:cs="Arial" w:eastAsia="Arial" w:hAnsi="Arial"/>
                <w:sz w:val="14"/>
                <w:szCs w:val="14"/>
                <w:b w:val="1"/>
                <w:bCs w:val="1"/>
                <w:color w:val="auto"/>
              </w:rPr>
              <w:t>Total liabilities and stockholders’ equity</w:t>
            </w:r>
          </w:p>
        </w:tc>
        <w:tc>
          <w:tcPr>
            <w:tcW w:w="1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86,524,060</w:t>
            </w:r>
          </w:p>
        </w:tc>
        <w:tc>
          <w:tcPr>
            <w:tcW w:w="22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75,598,736</w:t>
            </w:r>
          </w:p>
        </w:tc>
        <w:tc>
          <w:tcPr>
            <w:tcW w:w="0" w:type="dxa"/>
            <w:vAlign w:val="bottom"/>
          </w:tcPr>
          <w:p>
            <w:pPr>
              <w:spacing w:after="0"/>
              <w:rPr>
                <w:sz w:val="1"/>
                <w:szCs w:val="1"/>
                <w:color w:val="auto"/>
              </w:rPr>
            </w:pPr>
          </w:p>
        </w:tc>
      </w:tr>
      <w:tr>
        <w:trPr>
          <w:trHeight w:val="22"/>
        </w:trPr>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80"/>
          </w:cols>
          <w:pgMar w:left="300" w:top="125" w:right="31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Luna Innovations Incorporated</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8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b w:val="1"/>
                <w:bCs w:val="1"/>
                <w:color w:val="auto"/>
              </w:rPr>
              <w:t>Years ended December 31,</w:t>
            </w:r>
          </w:p>
        </w:tc>
        <w:tc>
          <w:tcPr>
            <w:tcW w:w="840" w:type="dxa"/>
            <w:vAlign w:val="bottom"/>
            <w:tcBorders>
              <w:bottom w:val="single" w:sz="8" w:color="auto"/>
            </w:tcBorders>
            <w:shd w:val="clear" w:color="auto" w:fill="CCEEFF"/>
          </w:tcPr>
          <w:p>
            <w:pPr>
              <w:spacing w:after="0"/>
              <w:rPr>
                <w:sz w:val="13"/>
                <w:szCs w:val="13"/>
                <w:color w:val="auto"/>
              </w:rPr>
            </w:pPr>
          </w:p>
        </w:tc>
      </w:tr>
      <w:tr>
        <w:trPr>
          <w:trHeight w:val="199"/>
        </w:trPr>
        <w:tc>
          <w:tcPr>
            <w:tcW w:w="5280" w:type="dxa"/>
            <w:vAlign w:val="bottom"/>
            <w:tcBorders>
              <w:bottom w:val="single" w:sz="8" w:color="CCEEFF"/>
            </w:tcBorders>
          </w:tcPr>
          <w:p>
            <w:pPr>
              <w:spacing w:after="0"/>
              <w:rPr>
                <w:sz w:val="17"/>
                <w:szCs w:val="17"/>
                <w:color w:val="auto"/>
              </w:rPr>
            </w:pPr>
          </w:p>
        </w:tc>
        <w:tc>
          <w:tcPr>
            <w:tcW w:w="29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w w:val="89"/>
              </w:rPr>
              <w:t>2018</w:t>
            </w:r>
          </w:p>
        </w:tc>
      </w:tr>
      <w:tr>
        <w:trPr>
          <w:trHeight w:val="187"/>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9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r>
      <w:tr>
        <w:trPr>
          <w:trHeight w:val="191"/>
        </w:trPr>
        <w:tc>
          <w:tcPr>
            <w:tcW w:w="5280" w:type="dxa"/>
            <w:vAlign w:val="bottom"/>
          </w:tcPr>
          <w:p>
            <w:pPr>
              <w:ind w:left="300"/>
              <w:spacing w:after="0"/>
              <w:rPr>
                <w:sz w:val="20"/>
                <w:szCs w:val="20"/>
                <w:color w:val="auto"/>
              </w:rPr>
            </w:pPr>
            <w:r>
              <w:rPr>
                <w:rFonts w:ascii="Arial" w:cs="Arial" w:eastAsia="Arial" w:hAnsi="Arial"/>
                <w:sz w:val="14"/>
                <w:szCs w:val="14"/>
                <w:color w:val="auto"/>
              </w:rPr>
              <w:t>Products and licensing</w:t>
            </w:r>
          </w:p>
        </w:tc>
        <w:tc>
          <w:tcPr>
            <w:tcW w:w="324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44,491,041</w:t>
            </w:r>
          </w:p>
        </w:tc>
        <w:tc>
          <w:tcPr>
            <w:tcW w:w="120" w:type="dxa"/>
            <w:vAlign w:val="bottom"/>
          </w:tcPr>
          <w:p>
            <w:pPr>
              <w:spacing w:after="0"/>
              <w:rPr>
                <w:sz w:val="16"/>
                <w:szCs w:val="16"/>
                <w:color w:val="auto"/>
              </w:rPr>
            </w:pPr>
          </w:p>
        </w:tc>
        <w:tc>
          <w:tcPr>
            <w:tcW w:w="580" w:type="dxa"/>
            <w:vAlign w:val="bottom"/>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21,949,689</w:t>
            </w:r>
          </w:p>
        </w:tc>
      </w:tr>
      <w:tr>
        <w:trPr>
          <w:trHeight w:val="22"/>
        </w:trPr>
        <w:tc>
          <w:tcPr>
            <w:tcW w:w="5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2"/>
        </w:trPr>
        <w:tc>
          <w:tcPr>
            <w:tcW w:w="5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Technology development</w:t>
            </w:r>
          </w:p>
        </w:tc>
        <w:tc>
          <w:tcPr>
            <w:tcW w:w="29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26,024,674</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20,967,556</w:t>
            </w:r>
          </w:p>
        </w:tc>
      </w:tr>
      <w:tr>
        <w:trPr>
          <w:trHeight w:val="181"/>
        </w:trPr>
        <w:tc>
          <w:tcPr>
            <w:tcW w:w="5280" w:type="dxa"/>
            <w:vAlign w:val="bottom"/>
          </w:tcPr>
          <w:p>
            <w:pPr>
              <w:ind w:left="560"/>
              <w:spacing w:after="0"/>
              <w:rPr>
                <w:sz w:val="20"/>
                <w:szCs w:val="20"/>
                <w:color w:val="auto"/>
              </w:rPr>
            </w:pPr>
            <w:r>
              <w:rPr>
                <w:rFonts w:ascii="Arial" w:cs="Arial" w:eastAsia="Arial" w:hAnsi="Arial"/>
                <w:sz w:val="14"/>
                <w:szCs w:val="14"/>
                <w:color w:val="auto"/>
              </w:rPr>
              <w:t>Total revenues</w:t>
            </w:r>
          </w:p>
        </w:tc>
        <w:tc>
          <w:tcPr>
            <w:tcW w:w="29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70,515,715</w:t>
            </w:r>
          </w:p>
        </w:tc>
        <w:tc>
          <w:tcPr>
            <w:tcW w:w="1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42,917,245</w:t>
            </w:r>
          </w:p>
        </w:tc>
      </w:tr>
      <w:tr>
        <w:trPr>
          <w:trHeight w:val="22"/>
        </w:trPr>
        <w:tc>
          <w:tcPr>
            <w:tcW w:w="528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revenues:</w:t>
            </w:r>
          </w:p>
        </w:tc>
        <w:tc>
          <w:tcPr>
            <w:tcW w:w="29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r>
      <w:tr>
        <w:trPr>
          <w:trHeight w:val="191"/>
        </w:trPr>
        <w:tc>
          <w:tcPr>
            <w:tcW w:w="5280" w:type="dxa"/>
            <w:vAlign w:val="bottom"/>
          </w:tcPr>
          <w:p>
            <w:pPr>
              <w:ind w:left="300"/>
              <w:spacing w:after="0"/>
              <w:rPr>
                <w:sz w:val="20"/>
                <w:szCs w:val="20"/>
                <w:color w:val="auto"/>
              </w:rPr>
            </w:pPr>
            <w:r>
              <w:rPr>
                <w:rFonts w:ascii="Arial" w:cs="Arial" w:eastAsia="Arial" w:hAnsi="Arial"/>
                <w:sz w:val="14"/>
                <w:szCs w:val="14"/>
                <w:color w:val="auto"/>
              </w:rPr>
              <w:t>Products and licensing</w:t>
            </w:r>
          </w:p>
        </w:tc>
        <w:tc>
          <w:tcPr>
            <w:tcW w:w="2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16,684,172</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8,078,870</w:t>
            </w:r>
          </w:p>
        </w:tc>
      </w:tr>
      <w:tr>
        <w:trPr>
          <w:trHeight w:val="22"/>
        </w:trPr>
        <w:tc>
          <w:tcPr>
            <w:tcW w:w="5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2"/>
        </w:trPr>
        <w:tc>
          <w:tcPr>
            <w:tcW w:w="5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Technology development</w:t>
            </w:r>
          </w:p>
        </w:tc>
        <w:tc>
          <w:tcPr>
            <w:tcW w:w="29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18,649,161</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15,400,475</w:t>
            </w:r>
          </w:p>
        </w:tc>
      </w:tr>
      <w:tr>
        <w:trPr>
          <w:trHeight w:val="181"/>
        </w:trPr>
        <w:tc>
          <w:tcPr>
            <w:tcW w:w="5280" w:type="dxa"/>
            <w:vAlign w:val="bottom"/>
          </w:tcPr>
          <w:p>
            <w:pPr>
              <w:ind w:left="560"/>
              <w:spacing w:after="0"/>
              <w:rPr>
                <w:sz w:val="20"/>
                <w:szCs w:val="20"/>
                <w:color w:val="auto"/>
              </w:rPr>
            </w:pPr>
            <w:r>
              <w:rPr>
                <w:rFonts w:ascii="Arial" w:cs="Arial" w:eastAsia="Arial" w:hAnsi="Arial"/>
                <w:sz w:val="14"/>
                <w:szCs w:val="14"/>
                <w:color w:val="auto"/>
              </w:rPr>
              <w:t>Total cost of revenues</w:t>
            </w:r>
          </w:p>
        </w:tc>
        <w:tc>
          <w:tcPr>
            <w:tcW w:w="29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35,333,333</w:t>
            </w:r>
          </w:p>
        </w:tc>
        <w:tc>
          <w:tcPr>
            <w:tcW w:w="1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23,479,345</w:t>
            </w:r>
          </w:p>
        </w:tc>
      </w:tr>
      <w:tr>
        <w:trPr>
          <w:trHeight w:val="22"/>
        </w:trPr>
        <w:tc>
          <w:tcPr>
            <w:tcW w:w="528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3"/>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29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35,182,382</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19,437,900</w:t>
            </w:r>
          </w:p>
        </w:tc>
      </w:tr>
      <w:tr>
        <w:trPr>
          <w:trHeight w:val="171"/>
        </w:trPr>
        <w:tc>
          <w:tcPr>
            <w:tcW w:w="5280" w:type="dxa"/>
            <w:vAlign w:val="bottom"/>
          </w:tcPr>
          <w:p>
            <w:pPr>
              <w:ind w:left="20"/>
              <w:spacing w:after="0"/>
              <w:rPr>
                <w:sz w:val="20"/>
                <w:szCs w:val="20"/>
                <w:color w:val="auto"/>
              </w:rPr>
            </w:pPr>
            <w:r>
              <w:rPr>
                <w:rFonts w:ascii="Arial" w:cs="Arial" w:eastAsia="Arial" w:hAnsi="Arial"/>
                <w:sz w:val="14"/>
                <w:szCs w:val="14"/>
                <w:color w:val="auto"/>
              </w:rPr>
              <w:t>Operating expense:</w:t>
            </w:r>
          </w:p>
        </w:tc>
        <w:tc>
          <w:tcPr>
            <w:tcW w:w="29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r>
      <w:tr>
        <w:trPr>
          <w:trHeight w:val="32"/>
        </w:trPr>
        <w:tc>
          <w:tcPr>
            <w:tcW w:w="52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2"/>
        </w:trPr>
        <w:tc>
          <w:tcPr>
            <w:tcW w:w="5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Selling, general and administrative</w:t>
            </w:r>
          </w:p>
        </w:tc>
        <w:tc>
          <w:tcPr>
            <w:tcW w:w="29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24,371,349</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14,794,205</w:t>
            </w:r>
          </w:p>
        </w:tc>
      </w:tr>
      <w:tr>
        <w:trPr>
          <w:trHeight w:val="191"/>
        </w:trPr>
        <w:tc>
          <w:tcPr>
            <w:tcW w:w="5280" w:type="dxa"/>
            <w:vAlign w:val="bottom"/>
          </w:tcPr>
          <w:p>
            <w:pPr>
              <w:ind w:left="300"/>
              <w:spacing w:after="0"/>
              <w:rPr>
                <w:sz w:val="20"/>
                <w:szCs w:val="20"/>
                <w:color w:val="auto"/>
              </w:rPr>
            </w:pPr>
            <w:r>
              <w:rPr>
                <w:rFonts w:ascii="Arial" w:cs="Arial" w:eastAsia="Arial" w:hAnsi="Arial"/>
                <w:sz w:val="14"/>
                <w:szCs w:val="14"/>
                <w:color w:val="auto"/>
              </w:rPr>
              <w:t>Research, development and engineering</w:t>
            </w:r>
          </w:p>
        </w:tc>
        <w:tc>
          <w:tcPr>
            <w:tcW w:w="2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7,496,012</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3,766,160</w:t>
            </w:r>
          </w:p>
        </w:tc>
      </w:tr>
      <w:tr>
        <w:trPr>
          <w:trHeight w:val="22"/>
        </w:trPr>
        <w:tc>
          <w:tcPr>
            <w:tcW w:w="528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3"/>
        </w:trPr>
        <w:tc>
          <w:tcPr>
            <w:tcW w:w="52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Total operating expense</w:t>
            </w:r>
          </w:p>
        </w:tc>
        <w:tc>
          <w:tcPr>
            <w:tcW w:w="29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31,867,361</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18,560,365</w:t>
            </w:r>
          </w:p>
        </w:tc>
      </w:tr>
      <w:tr>
        <w:trPr>
          <w:trHeight w:val="181"/>
        </w:trPr>
        <w:tc>
          <w:tcPr>
            <w:tcW w:w="528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29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3,315,021</w:t>
            </w:r>
          </w:p>
        </w:tc>
        <w:tc>
          <w:tcPr>
            <w:tcW w:w="1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877,535</w:t>
            </w:r>
          </w:p>
        </w:tc>
      </w:tr>
      <w:tr>
        <w:trPr>
          <w:trHeight w:val="22"/>
        </w:trPr>
        <w:tc>
          <w:tcPr>
            <w:tcW w:w="528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income/(expense):</w:t>
            </w:r>
          </w:p>
        </w:tc>
        <w:tc>
          <w:tcPr>
            <w:tcW w:w="29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r>
      <w:tr>
        <w:trPr>
          <w:trHeight w:val="191"/>
        </w:trPr>
        <w:tc>
          <w:tcPr>
            <w:tcW w:w="5280" w:type="dxa"/>
            <w:vAlign w:val="bottom"/>
          </w:tcPr>
          <w:p>
            <w:pPr>
              <w:ind w:left="300"/>
              <w:spacing w:after="0"/>
              <w:rPr>
                <w:sz w:val="20"/>
                <w:szCs w:val="20"/>
                <w:color w:val="auto"/>
              </w:rPr>
            </w:pPr>
            <w:r>
              <w:rPr>
                <w:rFonts w:ascii="Arial" w:cs="Arial" w:eastAsia="Arial" w:hAnsi="Arial"/>
                <w:sz w:val="14"/>
                <w:szCs w:val="14"/>
                <w:color w:val="auto"/>
              </w:rPr>
              <w:t>Other expense, net</w:t>
            </w:r>
          </w:p>
        </w:tc>
        <w:tc>
          <w:tcPr>
            <w:tcW w:w="2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(4,504)</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(17,143)</w:t>
            </w:r>
          </w:p>
        </w:tc>
      </w:tr>
      <w:tr>
        <w:trPr>
          <w:trHeight w:val="22"/>
        </w:trPr>
        <w:tc>
          <w:tcPr>
            <w:tcW w:w="5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2"/>
        </w:trPr>
        <w:tc>
          <w:tcPr>
            <w:tcW w:w="5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Investment income</w:t>
            </w:r>
          </w:p>
        </w:tc>
        <w:tc>
          <w:tcPr>
            <w:tcW w:w="29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393,556</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549,580</w:t>
            </w:r>
          </w:p>
        </w:tc>
      </w:tr>
      <w:tr>
        <w:trPr>
          <w:trHeight w:val="191"/>
        </w:trPr>
        <w:tc>
          <w:tcPr>
            <w:tcW w:w="5280" w:type="dxa"/>
            <w:vAlign w:val="bottom"/>
          </w:tcPr>
          <w:p>
            <w:pPr>
              <w:ind w:left="300"/>
              <w:spacing w:after="0"/>
              <w:rPr>
                <w:sz w:val="20"/>
                <w:szCs w:val="20"/>
                <w:color w:val="auto"/>
              </w:rPr>
            </w:pPr>
            <w:r>
              <w:rPr>
                <w:rFonts w:ascii="Arial" w:cs="Arial" w:eastAsia="Arial" w:hAnsi="Arial"/>
                <w:sz w:val="14"/>
                <w:szCs w:val="14"/>
                <w:color w:val="auto"/>
              </w:rPr>
              <w:t>Interest expense, net</w:t>
            </w:r>
          </w:p>
        </w:tc>
        <w:tc>
          <w:tcPr>
            <w:tcW w:w="2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(15,878)</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(124,344)</w:t>
            </w:r>
          </w:p>
        </w:tc>
      </w:tr>
      <w:tr>
        <w:trPr>
          <w:trHeight w:val="22"/>
        </w:trPr>
        <w:tc>
          <w:tcPr>
            <w:tcW w:w="528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3"/>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income</w:t>
            </w:r>
          </w:p>
        </w:tc>
        <w:tc>
          <w:tcPr>
            <w:tcW w:w="29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373,174</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408,093</w:t>
            </w:r>
          </w:p>
        </w:tc>
      </w:tr>
      <w:tr>
        <w:trPr>
          <w:trHeight w:val="181"/>
        </w:trPr>
        <w:tc>
          <w:tcPr>
            <w:tcW w:w="5280" w:type="dxa"/>
            <w:vAlign w:val="bottom"/>
          </w:tcPr>
          <w:p>
            <w:pPr>
              <w:ind w:left="20"/>
              <w:spacing w:after="0"/>
              <w:rPr>
                <w:sz w:val="20"/>
                <w:szCs w:val="20"/>
                <w:color w:val="auto"/>
              </w:rPr>
            </w:pPr>
            <w:r>
              <w:rPr>
                <w:rFonts w:ascii="Arial" w:cs="Arial" w:eastAsia="Arial" w:hAnsi="Arial"/>
                <w:sz w:val="14"/>
                <w:szCs w:val="14"/>
                <w:color w:val="auto"/>
              </w:rPr>
              <w:t>Income from continuing operations before income taxes</w:t>
            </w:r>
          </w:p>
        </w:tc>
        <w:tc>
          <w:tcPr>
            <w:tcW w:w="29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3,688,195</w:t>
            </w:r>
          </w:p>
        </w:tc>
        <w:tc>
          <w:tcPr>
            <w:tcW w:w="1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1,285,628</w:t>
            </w:r>
          </w:p>
        </w:tc>
      </w:tr>
      <w:tr>
        <w:trPr>
          <w:trHeight w:val="22"/>
        </w:trPr>
        <w:tc>
          <w:tcPr>
            <w:tcW w:w="5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2"/>
        </w:trPr>
        <w:tc>
          <w:tcPr>
            <w:tcW w:w="5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Income tax benefit/(expense)</w:t>
            </w:r>
          </w:p>
        </w:tc>
        <w:tc>
          <w:tcPr>
            <w:tcW w:w="29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1,654,350</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(47,818)</w:t>
            </w:r>
          </w:p>
        </w:tc>
      </w:tr>
      <w:tr>
        <w:trPr>
          <w:trHeight w:val="181"/>
        </w:trPr>
        <w:tc>
          <w:tcPr>
            <w:tcW w:w="5280" w:type="dxa"/>
            <w:vAlign w:val="bottom"/>
          </w:tcPr>
          <w:p>
            <w:pPr>
              <w:ind w:left="20"/>
              <w:spacing w:after="0"/>
              <w:rPr>
                <w:sz w:val="20"/>
                <w:szCs w:val="20"/>
                <w:color w:val="auto"/>
              </w:rPr>
            </w:pPr>
            <w:r>
              <w:rPr>
                <w:rFonts w:ascii="Arial" w:cs="Arial" w:eastAsia="Arial" w:hAnsi="Arial"/>
                <w:sz w:val="14"/>
                <w:szCs w:val="14"/>
                <w:color w:val="auto"/>
              </w:rPr>
              <w:t>Net income from continuing operations</w:t>
            </w:r>
          </w:p>
        </w:tc>
        <w:tc>
          <w:tcPr>
            <w:tcW w:w="29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5,342,545</w:t>
            </w:r>
          </w:p>
        </w:tc>
        <w:tc>
          <w:tcPr>
            <w:tcW w:w="1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1,237,810</w:t>
            </w:r>
          </w:p>
        </w:tc>
      </w:tr>
      <w:tr>
        <w:trPr>
          <w:trHeight w:val="22"/>
        </w:trPr>
        <w:tc>
          <w:tcPr>
            <w:tcW w:w="5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2"/>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6"/>
              </w:rPr>
              <w:t>Operating income from discontinued operations, net of income tax expenses ($183,921)</w:t>
            </w:r>
          </w:p>
        </w:tc>
        <w:tc>
          <w:tcPr>
            <w:tcW w:w="29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1,170,634</w:t>
            </w:r>
          </w:p>
        </w:tc>
      </w:tr>
      <w:tr>
        <w:trPr>
          <w:trHeight w:val="191"/>
        </w:trPr>
        <w:tc>
          <w:tcPr>
            <w:tcW w:w="5280" w:type="dxa"/>
            <w:vAlign w:val="bottom"/>
          </w:tcPr>
          <w:p>
            <w:pPr>
              <w:ind w:left="20"/>
              <w:spacing w:after="0"/>
              <w:rPr>
                <w:sz w:val="20"/>
                <w:szCs w:val="20"/>
                <w:color w:val="auto"/>
              </w:rPr>
            </w:pPr>
            <w:r>
              <w:rPr>
                <w:rFonts w:ascii="Arial" w:cs="Arial" w:eastAsia="Arial" w:hAnsi="Arial"/>
                <w:sz w:val="14"/>
                <w:szCs w:val="14"/>
                <w:color w:val="auto"/>
              </w:rPr>
              <w:t>Gain on sale, net of income tax expenses ($1,572,244)</w:t>
            </w:r>
          </w:p>
        </w:tc>
        <w:tc>
          <w:tcPr>
            <w:tcW w:w="2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8,595,797</w:t>
            </w:r>
          </w:p>
        </w:tc>
      </w:tr>
      <w:tr>
        <w:trPr>
          <w:trHeight w:val="22"/>
        </w:trPr>
        <w:tc>
          <w:tcPr>
            <w:tcW w:w="528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3"/>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from discontinued operations, net of income taxes</w:t>
            </w:r>
          </w:p>
        </w:tc>
        <w:tc>
          <w:tcPr>
            <w:tcW w:w="29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9,766,431</w:t>
            </w:r>
          </w:p>
        </w:tc>
      </w:tr>
      <w:tr>
        <w:trPr>
          <w:trHeight w:val="181"/>
        </w:trPr>
        <w:tc>
          <w:tcPr>
            <w:tcW w:w="52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9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5,342,545</w:t>
            </w:r>
          </w:p>
        </w:tc>
        <w:tc>
          <w:tcPr>
            <w:tcW w:w="1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11,004,241</w:t>
            </w:r>
          </w:p>
        </w:tc>
      </w:tr>
      <w:tr>
        <w:trPr>
          <w:trHeight w:val="22"/>
        </w:trPr>
        <w:tc>
          <w:tcPr>
            <w:tcW w:w="5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2"/>
        </w:trPr>
        <w:tc>
          <w:tcPr>
            <w:tcW w:w="5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Less: Preferred stock dividend</w:t>
            </w:r>
          </w:p>
        </w:tc>
        <w:tc>
          <w:tcPr>
            <w:tcW w:w="29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285,450</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257,302</w:t>
            </w:r>
          </w:p>
        </w:tc>
      </w:tr>
      <w:tr>
        <w:trPr>
          <w:trHeight w:val="181"/>
        </w:trPr>
        <w:tc>
          <w:tcPr>
            <w:tcW w:w="5280" w:type="dxa"/>
            <w:vAlign w:val="bottom"/>
          </w:tcPr>
          <w:p>
            <w:pPr>
              <w:ind w:left="20"/>
              <w:spacing w:after="0"/>
              <w:rPr>
                <w:sz w:val="20"/>
                <w:szCs w:val="20"/>
                <w:color w:val="auto"/>
              </w:rPr>
            </w:pPr>
            <w:r>
              <w:rPr>
                <w:rFonts w:ascii="Arial" w:cs="Arial" w:eastAsia="Arial" w:hAnsi="Arial"/>
                <w:sz w:val="14"/>
                <w:szCs w:val="14"/>
                <w:color w:val="auto"/>
              </w:rPr>
              <w:t>Net income attributable to common stockholders</w:t>
            </w:r>
          </w:p>
        </w:tc>
        <w:tc>
          <w:tcPr>
            <w:tcW w:w="2900" w:type="dxa"/>
            <w:vAlign w:val="bottom"/>
          </w:tcPr>
          <w:p>
            <w:pPr>
              <w:spacing w:after="0"/>
              <w:rPr>
                <w:sz w:val="15"/>
                <w:szCs w:val="15"/>
                <w:color w:val="auto"/>
              </w:rPr>
            </w:pPr>
          </w:p>
        </w:tc>
        <w:tc>
          <w:tcPr>
            <w:tcW w:w="34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5,057,095</w:t>
            </w:r>
          </w:p>
        </w:tc>
        <w:tc>
          <w:tcPr>
            <w:tcW w:w="120" w:type="dxa"/>
            <w:vAlign w:val="bottom"/>
          </w:tcPr>
          <w:p>
            <w:pPr>
              <w:spacing w:after="0"/>
              <w:rPr>
                <w:sz w:val="15"/>
                <w:szCs w:val="15"/>
                <w:color w:val="auto"/>
              </w:rPr>
            </w:pPr>
          </w:p>
        </w:tc>
        <w:tc>
          <w:tcPr>
            <w:tcW w:w="580" w:type="dxa"/>
            <w:vAlign w:val="bottom"/>
            <w:tcBorders>
              <w:top w:val="single" w:sz="8" w:color="auto"/>
            </w:tcBorders>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10,746,939</w:t>
            </w:r>
          </w:p>
        </w:tc>
      </w:tr>
      <w:tr>
        <w:trPr>
          <w:trHeight w:val="62"/>
        </w:trPr>
        <w:tc>
          <w:tcPr>
            <w:tcW w:w="5280" w:type="dxa"/>
            <w:vAlign w:val="bottom"/>
            <w:tcBorders>
              <w:bottom w:val="single" w:sz="8" w:color="CCEEFF"/>
            </w:tcBorders>
          </w:tcPr>
          <w:p>
            <w:pPr>
              <w:spacing w:after="0"/>
              <w:rPr>
                <w:sz w:val="5"/>
                <w:szCs w:val="5"/>
                <w:color w:val="auto"/>
              </w:rPr>
            </w:pPr>
          </w:p>
        </w:tc>
        <w:tc>
          <w:tcPr>
            <w:tcW w:w="29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r>
      <w:tr>
        <w:trPr>
          <w:trHeight w:val="142"/>
        </w:trPr>
        <w:tc>
          <w:tcPr>
            <w:tcW w:w="528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91"/>
        </w:trPr>
        <w:tc>
          <w:tcPr>
            <w:tcW w:w="5280" w:type="dxa"/>
            <w:vAlign w:val="bottom"/>
          </w:tcPr>
          <w:p>
            <w:pPr>
              <w:ind w:left="20"/>
              <w:spacing w:after="0"/>
              <w:rPr>
                <w:sz w:val="20"/>
                <w:szCs w:val="20"/>
                <w:color w:val="auto"/>
              </w:rPr>
            </w:pPr>
            <w:r>
              <w:rPr>
                <w:rFonts w:ascii="Arial" w:cs="Arial" w:eastAsia="Arial" w:hAnsi="Arial"/>
                <w:sz w:val="14"/>
                <w:szCs w:val="14"/>
                <w:color w:val="auto"/>
              </w:rPr>
              <w:t>Net income per share from continuing operations:</w:t>
            </w:r>
          </w:p>
        </w:tc>
        <w:tc>
          <w:tcPr>
            <w:tcW w:w="2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2"/>
        </w:trPr>
        <w:tc>
          <w:tcPr>
            <w:tcW w:w="5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2"/>
        </w:trPr>
        <w:tc>
          <w:tcPr>
            <w:tcW w:w="5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Basic</w:t>
            </w:r>
          </w:p>
        </w:tc>
        <w:tc>
          <w:tcPr>
            <w:tcW w:w="3240" w:type="dxa"/>
            <w:vAlign w:val="bottom"/>
            <w:tcBorders>
              <w:bottom w:val="single" w:sz="8" w:color="CCEEFF"/>
            </w:tcBorders>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0.19</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0.04</w:t>
            </w:r>
          </w:p>
        </w:tc>
      </w:tr>
      <w:tr>
        <w:trPr>
          <w:trHeight w:val="191"/>
        </w:trPr>
        <w:tc>
          <w:tcPr>
            <w:tcW w:w="5280" w:type="dxa"/>
            <w:vAlign w:val="bottom"/>
          </w:tcPr>
          <w:p>
            <w:pPr>
              <w:ind w:left="280"/>
              <w:spacing w:after="0"/>
              <w:rPr>
                <w:sz w:val="20"/>
                <w:szCs w:val="20"/>
                <w:color w:val="auto"/>
              </w:rPr>
            </w:pPr>
            <w:r>
              <w:rPr>
                <w:rFonts w:ascii="Arial" w:cs="Arial" w:eastAsia="Arial" w:hAnsi="Arial"/>
                <w:sz w:val="14"/>
                <w:szCs w:val="14"/>
                <w:color w:val="auto"/>
              </w:rPr>
              <w:t>Diluted</w:t>
            </w:r>
          </w:p>
        </w:tc>
        <w:tc>
          <w:tcPr>
            <w:tcW w:w="324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6"/>
                <w:szCs w:val="16"/>
                <w:color w:val="auto"/>
              </w:rPr>
            </w:pPr>
          </w:p>
        </w:tc>
        <w:tc>
          <w:tcPr>
            <w:tcW w:w="580" w:type="dxa"/>
            <w:vAlign w:val="bottom"/>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0.04</w:t>
            </w:r>
          </w:p>
        </w:tc>
      </w:tr>
      <w:tr>
        <w:trPr>
          <w:trHeight w:val="22"/>
        </w:trPr>
        <w:tc>
          <w:tcPr>
            <w:tcW w:w="5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2"/>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per share from discontinued operations:</w:t>
            </w:r>
          </w:p>
        </w:tc>
        <w:tc>
          <w:tcPr>
            <w:tcW w:w="29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r>
      <w:tr>
        <w:trPr>
          <w:trHeight w:val="191"/>
        </w:trPr>
        <w:tc>
          <w:tcPr>
            <w:tcW w:w="5280" w:type="dxa"/>
            <w:vAlign w:val="bottom"/>
          </w:tcPr>
          <w:p>
            <w:pPr>
              <w:ind w:left="300"/>
              <w:spacing w:after="0"/>
              <w:rPr>
                <w:sz w:val="20"/>
                <w:szCs w:val="20"/>
                <w:color w:val="auto"/>
              </w:rPr>
            </w:pPr>
            <w:r>
              <w:rPr>
                <w:rFonts w:ascii="Arial" w:cs="Arial" w:eastAsia="Arial" w:hAnsi="Arial"/>
                <w:sz w:val="14"/>
                <w:szCs w:val="14"/>
                <w:color w:val="auto"/>
              </w:rPr>
              <w:t>Basic</w:t>
            </w:r>
          </w:p>
        </w:tc>
        <w:tc>
          <w:tcPr>
            <w:tcW w:w="324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0.35</w:t>
            </w:r>
          </w:p>
        </w:tc>
      </w:tr>
      <w:tr>
        <w:trPr>
          <w:trHeight w:val="22"/>
        </w:trPr>
        <w:tc>
          <w:tcPr>
            <w:tcW w:w="5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2"/>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240" w:type="dxa"/>
            <w:vAlign w:val="bottom"/>
            <w:tcBorders>
              <w:bottom w:val="single" w:sz="8" w:color="CCEEFF"/>
            </w:tcBorders>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0.30</w:t>
            </w:r>
          </w:p>
        </w:tc>
      </w:tr>
      <w:tr>
        <w:trPr>
          <w:trHeight w:val="191"/>
        </w:trPr>
        <w:tc>
          <w:tcPr>
            <w:tcW w:w="5280" w:type="dxa"/>
            <w:vAlign w:val="bottom"/>
          </w:tcPr>
          <w:p>
            <w:pPr>
              <w:ind w:left="20"/>
              <w:spacing w:after="0"/>
              <w:rPr>
                <w:sz w:val="20"/>
                <w:szCs w:val="20"/>
                <w:color w:val="auto"/>
              </w:rPr>
            </w:pPr>
            <w:r>
              <w:rPr>
                <w:rFonts w:ascii="Arial" w:cs="Arial" w:eastAsia="Arial" w:hAnsi="Arial"/>
                <w:sz w:val="14"/>
                <w:szCs w:val="14"/>
                <w:color w:val="auto"/>
              </w:rPr>
              <w:t>Net income per share attributable to common stockholders:</w:t>
            </w:r>
          </w:p>
        </w:tc>
        <w:tc>
          <w:tcPr>
            <w:tcW w:w="2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2"/>
        </w:trPr>
        <w:tc>
          <w:tcPr>
            <w:tcW w:w="5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2"/>
        </w:trPr>
        <w:tc>
          <w:tcPr>
            <w:tcW w:w="5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Basic</w:t>
            </w:r>
          </w:p>
        </w:tc>
        <w:tc>
          <w:tcPr>
            <w:tcW w:w="3240" w:type="dxa"/>
            <w:vAlign w:val="bottom"/>
            <w:tcBorders>
              <w:bottom w:val="single" w:sz="8" w:color="CCEEFF"/>
            </w:tcBorders>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0.18</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0.39</w:t>
            </w:r>
          </w:p>
        </w:tc>
      </w:tr>
      <w:tr>
        <w:trPr>
          <w:trHeight w:val="191"/>
        </w:trPr>
        <w:tc>
          <w:tcPr>
            <w:tcW w:w="5280" w:type="dxa"/>
            <w:vAlign w:val="bottom"/>
          </w:tcPr>
          <w:p>
            <w:pPr>
              <w:ind w:left="280"/>
              <w:spacing w:after="0"/>
              <w:rPr>
                <w:sz w:val="20"/>
                <w:szCs w:val="20"/>
                <w:color w:val="auto"/>
              </w:rPr>
            </w:pPr>
            <w:r>
              <w:rPr>
                <w:rFonts w:ascii="Arial" w:cs="Arial" w:eastAsia="Arial" w:hAnsi="Arial"/>
                <w:sz w:val="14"/>
                <w:szCs w:val="14"/>
                <w:color w:val="auto"/>
              </w:rPr>
              <w:t>Diluted</w:t>
            </w:r>
          </w:p>
        </w:tc>
        <w:tc>
          <w:tcPr>
            <w:tcW w:w="324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0.16</w:t>
            </w:r>
          </w:p>
        </w:tc>
        <w:tc>
          <w:tcPr>
            <w:tcW w:w="120" w:type="dxa"/>
            <w:vAlign w:val="bottom"/>
          </w:tcPr>
          <w:p>
            <w:pPr>
              <w:spacing w:after="0"/>
              <w:rPr>
                <w:sz w:val="16"/>
                <w:szCs w:val="16"/>
                <w:color w:val="auto"/>
              </w:rPr>
            </w:pPr>
          </w:p>
        </w:tc>
        <w:tc>
          <w:tcPr>
            <w:tcW w:w="580" w:type="dxa"/>
            <w:vAlign w:val="bottom"/>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0.33</w:t>
            </w:r>
          </w:p>
        </w:tc>
      </w:tr>
      <w:tr>
        <w:trPr>
          <w:trHeight w:val="22"/>
        </w:trPr>
        <w:tc>
          <w:tcPr>
            <w:tcW w:w="5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2"/>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shares:</w:t>
            </w:r>
          </w:p>
        </w:tc>
        <w:tc>
          <w:tcPr>
            <w:tcW w:w="29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r>
      <w:tr>
        <w:trPr>
          <w:trHeight w:val="191"/>
        </w:trPr>
        <w:tc>
          <w:tcPr>
            <w:tcW w:w="5280" w:type="dxa"/>
            <w:vAlign w:val="bottom"/>
          </w:tcPr>
          <w:p>
            <w:pPr>
              <w:ind w:left="300"/>
              <w:spacing w:after="0"/>
              <w:rPr>
                <w:sz w:val="20"/>
                <w:szCs w:val="20"/>
                <w:color w:val="auto"/>
              </w:rPr>
            </w:pPr>
            <w:r>
              <w:rPr>
                <w:rFonts w:ascii="Arial" w:cs="Arial" w:eastAsia="Arial" w:hAnsi="Arial"/>
                <w:sz w:val="14"/>
                <w:szCs w:val="14"/>
                <w:color w:val="auto"/>
              </w:rPr>
              <w:t>Basic</w:t>
            </w:r>
          </w:p>
        </w:tc>
        <w:tc>
          <w:tcPr>
            <w:tcW w:w="2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28,688,867</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27,596,401</w:t>
            </w:r>
          </w:p>
        </w:tc>
      </w:tr>
      <w:tr>
        <w:trPr>
          <w:trHeight w:val="22"/>
        </w:trPr>
        <w:tc>
          <w:tcPr>
            <w:tcW w:w="5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2"/>
        </w:trPr>
        <w:tc>
          <w:tcPr>
            <w:tcW w:w="5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Diluted</w:t>
            </w:r>
          </w:p>
        </w:tc>
        <w:tc>
          <w:tcPr>
            <w:tcW w:w="29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31,840,584</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32,452,228</w:t>
            </w:r>
          </w:p>
        </w:tc>
      </w:tr>
      <w:tr>
        <w:trPr>
          <w:trHeight w:val="509"/>
        </w:trPr>
        <w:tc>
          <w:tcPr>
            <w:tcW w:w="5280" w:type="dxa"/>
            <w:vAlign w:val="bottom"/>
          </w:tcPr>
          <w:p>
            <w:pPr>
              <w:spacing w:after="0"/>
              <w:rPr>
                <w:sz w:val="24"/>
                <w:szCs w:val="24"/>
                <w:color w:val="auto"/>
              </w:rPr>
            </w:pPr>
          </w:p>
        </w:tc>
        <w:tc>
          <w:tcPr>
            <w:tcW w:w="2900" w:type="dxa"/>
            <w:vAlign w:val="bottom"/>
          </w:tcPr>
          <w:p>
            <w:pPr>
              <w:jc w:val="right"/>
              <w:ind w:right="2389"/>
              <w:spacing w:after="0"/>
              <w:rPr>
                <w:sz w:val="20"/>
                <w:szCs w:val="20"/>
                <w:color w:val="auto"/>
              </w:rPr>
            </w:pPr>
            <w:r>
              <w:rPr>
                <w:rFonts w:ascii="Arial" w:cs="Arial" w:eastAsia="Arial" w:hAnsi="Arial"/>
                <w:sz w:val="14"/>
                <w:szCs w:val="14"/>
                <w:color w:val="auto"/>
              </w:rPr>
              <w:t>44</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180"/>
          </w:cols>
          <w:pgMar w:left="300" w:top="125" w:right="41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3"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20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0159"/>
          </w:cols>
          <w:pgMar w:left="300" w:top="125" w:right="1440"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Luna Innovations Incorporated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Changes in Stockholders' Equity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6"/>
              </w:rPr>
              <w:t>Additional</w:t>
            </w:r>
          </w:p>
        </w:tc>
        <w:tc>
          <w:tcPr>
            <w:tcW w:w="180" w:type="dxa"/>
            <w:vAlign w:val="bottom"/>
          </w:tcPr>
          <w:p>
            <w:pPr>
              <w:spacing w:after="0"/>
              <w:rPr>
                <w:sz w:val="10"/>
                <w:szCs w:val="10"/>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2"/>
              </w:rPr>
              <w:t>Accumulated</w:t>
            </w: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240" w:type="dxa"/>
            <w:vAlign w:val="bottom"/>
          </w:tcPr>
          <w:p>
            <w:pPr>
              <w:spacing w:after="0"/>
              <w:rPr>
                <w:sz w:val="10"/>
                <w:szCs w:val="10"/>
                <w:color w:val="auto"/>
              </w:rPr>
            </w:pPr>
          </w:p>
        </w:tc>
        <w:tc>
          <w:tcPr>
            <w:tcW w:w="1600" w:type="dxa"/>
            <w:vAlign w:val="bottom"/>
            <w:gridSpan w:val="3"/>
            <w:vMerge w:val="restart"/>
          </w:tcPr>
          <w:p>
            <w:pPr>
              <w:jc w:val="right"/>
              <w:ind w:right="3"/>
              <w:spacing w:after="0"/>
              <w:rPr>
                <w:sz w:val="20"/>
                <w:szCs w:val="20"/>
                <w:color w:val="auto"/>
              </w:rPr>
            </w:pPr>
            <w:r>
              <w:rPr>
                <w:rFonts w:ascii="Arial" w:cs="Arial" w:eastAsia="Arial" w:hAnsi="Arial"/>
                <w:sz w:val="11"/>
                <w:szCs w:val="11"/>
                <w:b w:val="1"/>
                <w:bCs w:val="1"/>
                <w:color w:val="auto"/>
              </w:rPr>
              <w:t>Preferred Stock</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3"/>
            <w:vMerge w:val="restart"/>
          </w:tcPr>
          <w:p>
            <w:pPr>
              <w:jc w:val="right"/>
              <w:ind w:right="23"/>
              <w:spacing w:after="0"/>
              <w:rPr>
                <w:sz w:val="20"/>
                <w:szCs w:val="20"/>
                <w:color w:val="auto"/>
              </w:rPr>
            </w:pPr>
            <w:r>
              <w:rPr>
                <w:rFonts w:ascii="Arial" w:cs="Arial" w:eastAsia="Arial" w:hAnsi="Arial"/>
                <w:sz w:val="11"/>
                <w:szCs w:val="11"/>
                <w:b w:val="1"/>
                <w:bCs w:val="1"/>
                <w:color w:val="auto"/>
              </w:rPr>
              <w:t>Common Stock</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Treasury Stock</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w w:val="94"/>
              </w:rPr>
              <w:t>Paid in</w:t>
            </w:r>
          </w:p>
        </w:tc>
        <w:tc>
          <w:tcPr>
            <w:tcW w:w="1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jc w:val="right"/>
              <w:ind w:right="38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1"/>
        </w:trPr>
        <w:tc>
          <w:tcPr>
            <w:tcW w:w="1240" w:type="dxa"/>
            <w:vAlign w:val="bottom"/>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Capital</w:t>
            </w:r>
          </w:p>
        </w:tc>
        <w:tc>
          <w:tcPr>
            <w:tcW w:w="18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Deficit</w:t>
            </w:r>
          </w:p>
        </w:tc>
        <w:tc>
          <w:tcPr>
            <w:tcW w:w="2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1140" w:type="dxa"/>
            <w:vAlign w:val="bottom"/>
            <w:tcBorders>
              <w:top w:val="single" w:sz="8" w:color="auto"/>
            </w:tcBorders>
            <w:gridSpan w:val="2"/>
          </w:tcPr>
          <w:p>
            <w:pPr>
              <w:ind w:left="360"/>
              <w:spacing w:after="0"/>
              <w:rPr>
                <w:sz w:val="20"/>
                <w:szCs w:val="20"/>
                <w:color w:val="auto"/>
              </w:rPr>
            </w:pPr>
            <w:r>
              <w:rPr>
                <w:rFonts w:ascii="Arial" w:cs="Arial" w:eastAsia="Arial" w:hAnsi="Arial"/>
                <w:sz w:val="11"/>
                <w:szCs w:val="11"/>
                <w:b w:val="1"/>
                <w:bCs w:val="1"/>
                <w:color w:val="auto"/>
              </w:rPr>
              <w:t>Shares</w:t>
            </w:r>
          </w:p>
        </w:tc>
        <w:tc>
          <w:tcPr>
            <w:tcW w:w="4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7"/>
                <w:szCs w:val="17"/>
                <w:color w:val="auto"/>
              </w:rPr>
            </w:pPr>
          </w:p>
        </w:tc>
        <w:tc>
          <w:tcPr>
            <w:tcW w:w="1240" w:type="dxa"/>
            <w:vAlign w:val="bottom"/>
            <w:tcBorders>
              <w:top w:val="single" w:sz="8" w:color="auto"/>
            </w:tcBorders>
            <w:gridSpan w:val="2"/>
          </w:tcPr>
          <w:p>
            <w:pPr>
              <w:ind w:left="400"/>
              <w:spacing w:after="0"/>
              <w:rPr>
                <w:sz w:val="20"/>
                <w:szCs w:val="20"/>
                <w:color w:val="auto"/>
              </w:rPr>
            </w:pPr>
            <w:r>
              <w:rPr>
                <w:rFonts w:ascii="Arial" w:cs="Arial" w:eastAsia="Arial" w:hAnsi="Arial"/>
                <w:sz w:val="11"/>
                <w:szCs w:val="11"/>
                <w:b w:val="1"/>
                <w:bCs w:val="1"/>
                <w:color w:val="auto"/>
              </w:rPr>
              <w:t>Shares</w:t>
            </w:r>
          </w:p>
        </w:tc>
        <w:tc>
          <w:tcPr>
            <w:tcW w:w="1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7"/>
                <w:szCs w:val="17"/>
                <w:color w:val="auto"/>
              </w:rPr>
            </w:pPr>
          </w:p>
        </w:tc>
        <w:tc>
          <w:tcPr>
            <w:tcW w:w="1020" w:type="dxa"/>
            <w:vAlign w:val="bottom"/>
            <w:tcBorders>
              <w:top w:val="single" w:sz="8" w:color="auto"/>
            </w:tcBorders>
            <w:gridSpan w:val="2"/>
          </w:tcPr>
          <w:p>
            <w:pPr>
              <w:ind w:left="280"/>
              <w:spacing w:after="0"/>
              <w:rPr>
                <w:sz w:val="20"/>
                <w:szCs w:val="20"/>
                <w:color w:val="auto"/>
              </w:rPr>
            </w:pPr>
            <w:r>
              <w:rPr>
                <w:rFonts w:ascii="Arial" w:cs="Arial" w:eastAsia="Arial" w:hAnsi="Arial"/>
                <w:sz w:val="11"/>
                <w:szCs w:val="11"/>
                <w:b w:val="1"/>
                <w:bCs w:val="1"/>
                <w:color w:val="auto"/>
              </w:rPr>
              <w:t>Shares</w:t>
            </w:r>
          </w:p>
        </w:tc>
        <w:tc>
          <w:tcPr>
            <w:tcW w:w="3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w:t>
            </w: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center"/>
              <w:ind w:right="123"/>
              <w:spacing w:after="0"/>
              <w:rPr>
                <w:sz w:val="20"/>
                <w:szCs w:val="20"/>
                <w:color w:val="auto"/>
              </w:rPr>
            </w:pPr>
            <w:r>
              <w:rPr>
                <w:rFonts w:ascii="Arial" w:cs="Arial" w:eastAsia="Arial" w:hAnsi="Arial"/>
                <w:sz w:val="11"/>
                <w:szCs w:val="11"/>
                <w:b w:val="1"/>
                <w:bCs w:val="1"/>
                <w:color w:val="auto"/>
                <w:w w:val="97"/>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23"/>
              <w:spacing w:after="0"/>
              <w:rPr>
                <w:sz w:val="20"/>
                <w:szCs w:val="20"/>
                <w:color w:val="auto"/>
              </w:rPr>
            </w:pPr>
            <w:r>
              <w:rPr>
                <w:rFonts w:ascii="Arial" w:cs="Arial" w:eastAsia="Arial" w:hAnsi="Arial"/>
                <w:sz w:val="11"/>
                <w:szCs w:val="11"/>
                <w:b w:val="1"/>
                <w:bCs w:val="1"/>
                <w:color w:val="auto"/>
                <w:w w:val="97"/>
              </w:rPr>
              <w:t>$</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7"/>
        </w:trPr>
        <w:tc>
          <w:tcPr>
            <w:tcW w:w="1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Adjusted balance as of</w:t>
            </w: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January 1, 2018</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1,321,514</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1,322</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27,283,918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29,186</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1,070,904</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2"/>
              </w:rPr>
              <w:t>(1,649,746)</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83,563,208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(32,052,161)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49,891,809</w:t>
            </w:r>
          </w:p>
        </w:tc>
        <w:tc>
          <w:tcPr>
            <w:tcW w:w="0" w:type="dxa"/>
            <w:vAlign w:val="bottom"/>
          </w:tcPr>
          <w:p>
            <w:pPr>
              <w:spacing w:after="0"/>
              <w:rPr>
                <w:sz w:val="1"/>
                <w:szCs w:val="1"/>
                <w:color w:val="auto"/>
              </w:rPr>
            </w:pPr>
          </w:p>
        </w:tc>
      </w:tr>
      <w:tr>
        <w:trPr>
          <w:trHeight w:val="123"/>
        </w:trPr>
        <w:tc>
          <w:tcPr>
            <w:tcW w:w="1240" w:type="dxa"/>
            <w:vAlign w:val="bottom"/>
          </w:tcPr>
          <w:p>
            <w:pPr>
              <w:ind w:left="20"/>
              <w:spacing w:after="0" w:line="123" w:lineRule="exact"/>
              <w:rPr>
                <w:sz w:val="20"/>
                <w:szCs w:val="20"/>
                <w:color w:val="auto"/>
              </w:rPr>
            </w:pPr>
            <w:r>
              <w:rPr>
                <w:rFonts w:ascii="Arial" w:cs="Arial" w:eastAsia="Arial" w:hAnsi="Arial"/>
                <w:sz w:val="11"/>
                <w:szCs w:val="11"/>
                <w:color w:val="auto"/>
                <w:w w:val="98"/>
              </w:rPr>
              <w:t>Exercise of stock options</w:t>
            </w: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20"/>
              <w:spacing w:after="0"/>
              <w:rPr>
                <w:sz w:val="20"/>
                <w:szCs w:val="20"/>
                <w:color w:val="auto"/>
              </w:rPr>
            </w:pPr>
            <w:r>
              <w:rPr>
                <w:rFonts w:ascii="Arial" w:cs="Arial" w:eastAsia="Arial" w:hAnsi="Arial"/>
                <w:sz w:val="11"/>
                <w:szCs w:val="11"/>
                <w:color w:val="auto"/>
              </w:rPr>
              <w:t>and warrants</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442,425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ind w:right="63"/>
              <w:spacing w:after="0"/>
              <w:rPr>
                <w:sz w:val="20"/>
                <w:szCs w:val="20"/>
                <w:color w:val="auto"/>
              </w:rPr>
            </w:pPr>
            <w:r>
              <w:rPr>
                <w:rFonts w:ascii="Arial" w:cs="Arial" w:eastAsia="Arial" w:hAnsi="Arial"/>
                <w:sz w:val="11"/>
                <w:szCs w:val="11"/>
                <w:color w:val="auto"/>
              </w:rPr>
              <w:t>441</w:t>
            </w:r>
          </w:p>
        </w:tc>
        <w:tc>
          <w:tcPr>
            <w:tcW w:w="12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6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1,096,592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60" w:type="dxa"/>
            <w:vAlign w:val="bottom"/>
          </w:tcPr>
          <w:p>
            <w:pPr>
              <w:jc w:val="right"/>
              <w:ind w:right="63"/>
              <w:spacing w:after="0"/>
              <w:rPr>
                <w:sz w:val="20"/>
                <w:szCs w:val="20"/>
                <w:color w:val="auto"/>
              </w:rPr>
            </w:pPr>
            <w:r>
              <w:rPr>
                <w:rFonts w:ascii="Arial" w:cs="Arial" w:eastAsia="Arial" w:hAnsi="Arial"/>
                <w:sz w:val="11"/>
                <w:szCs w:val="11"/>
                <w:color w:val="auto"/>
              </w:rPr>
              <w:t>1,097,033</w:t>
            </w:r>
          </w:p>
        </w:tc>
        <w:tc>
          <w:tcPr>
            <w:tcW w:w="0" w:type="dxa"/>
            <w:vAlign w:val="bottom"/>
          </w:tcPr>
          <w:p>
            <w:pPr>
              <w:spacing w:after="0"/>
              <w:rPr>
                <w:sz w:val="1"/>
                <w:szCs w:val="1"/>
                <w:color w:val="auto"/>
              </w:rPr>
            </w:pPr>
          </w:p>
        </w:tc>
      </w:tr>
      <w:tr>
        <w:trPr>
          <w:trHeight w:val="127"/>
        </w:trPr>
        <w:tc>
          <w:tcPr>
            <w:tcW w:w="1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w:t>
            </w: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compensation</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282,394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282</w:t>
            </w: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627,857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628,139</w:t>
            </w:r>
          </w:p>
        </w:tc>
        <w:tc>
          <w:tcPr>
            <w:tcW w:w="0" w:type="dxa"/>
            <w:vAlign w:val="bottom"/>
          </w:tcPr>
          <w:p>
            <w:pPr>
              <w:spacing w:after="0"/>
              <w:rPr>
                <w:sz w:val="1"/>
                <w:szCs w:val="1"/>
                <w:color w:val="auto"/>
              </w:rPr>
            </w:pPr>
          </w:p>
        </w:tc>
      </w:tr>
      <w:tr>
        <w:trPr>
          <w:trHeight w:val="208"/>
        </w:trPr>
        <w:tc>
          <w:tcPr>
            <w:tcW w:w="1240" w:type="dxa"/>
            <w:vAlign w:val="bottom"/>
          </w:tcPr>
          <w:p>
            <w:pPr>
              <w:ind w:left="20"/>
              <w:spacing w:after="0"/>
              <w:rPr>
                <w:sz w:val="20"/>
                <w:szCs w:val="20"/>
                <w:color w:val="auto"/>
              </w:rPr>
            </w:pPr>
            <w:r>
              <w:rPr>
                <w:rFonts w:ascii="Arial" w:cs="Arial" w:eastAsia="Arial" w:hAnsi="Arial"/>
                <w:sz w:val="11"/>
                <w:szCs w:val="11"/>
                <w:color w:val="auto"/>
              </w:rPr>
              <w:t>Non-cash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129,865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ind w:right="63"/>
              <w:spacing w:after="0"/>
              <w:rPr>
                <w:sz w:val="20"/>
                <w:szCs w:val="20"/>
                <w:color w:val="auto"/>
              </w:rPr>
            </w:pPr>
            <w:r>
              <w:rPr>
                <w:rFonts w:ascii="Arial" w:cs="Arial" w:eastAsia="Arial" w:hAnsi="Arial"/>
                <w:sz w:val="11"/>
                <w:szCs w:val="11"/>
                <w:color w:val="auto"/>
              </w:rPr>
              <w:t>131</w:t>
            </w: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8"/>
                <w:szCs w:val="18"/>
                <w:color w:val="auto"/>
              </w:rPr>
            </w:pPr>
          </w:p>
        </w:tc>
        <w:tc>
          <w:tcPr>
            <w:tcW w:w="6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199,871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8"/>
                <w:szCs w:val="18"/>
                <w:color w:val="auto"/>
              </w:rPr>
            </w:pPr>
          </w:p>
        </w:tc>
        <w:tc>
          <w:tcPr>
            <w:tcW w:w="860" w:type="dxa"/>
            <w:vAlign w:val="bottom"/>
          </w:tcPr>
          <w:p>
            <w:pPr>
              <w:jc w:val="right"/>
              <w:ind w:right="63"/>
              <w:spacing w:after="0"/>
              <w:rPr>
                <w:sz w:val="20"/>
                <w:szCs w:val="20"/>
                <w:color w:val="auto"/>
              </w:rPr>
            </w:pPr>
            <w:r>
              <w:rPr>
                <w:rFonts w:ascii="Arial" w:cs="Arial" w:eastAsia="Arial" w:hAnsi="Arial"/>
                <w:sz w:val="11"/>
                <w:szCs w:val="11"/>
                <w:color w:val="auto"/>
              </w:rPr>
              <w:t>200,002</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 dividends (1)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257,222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(257,302)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8"/>
        </w:trPr>
        <w:tc>
          <w:tcPr>
            <w:tcW w:w="1240" w:type="dxa"/>
            <w:vAlign w:val="bottom"/>
          </w:tcPr>
          <w:p>
            <w:pPr>
              <w:ind w:left="20"/>
              <w:spacing w:after="0"/>
              <w:rPr>
                <w:sz w:val="20"/>
                <w:szCs w:val="20"/>
                <w:color w:val="auto"/>
              </w:rPr>
            </w:pPr>
            <w:r>
              <w:rPr>
                <w:rFonts w:ascii="Arial" w:cs="Arial" w:eastAsia="Arial" w:hAnsi="Arial"/>
                <w:sz w:val="11"/>
                <w:szCs w:val="11"/>
                <w:color w:val="auto"/>
                <w:w w:val="92"/>
              </w:rPr>
              <w:t>Purchase of treasury stock</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3"/>
              <w:spacing w:after="0"/>
              <w:rPr>
                <w:sz w:val="20"/>
                <w:szCs w:val="20"/>
                <w:color w:val="auto"/>
              </w:rPr>
            </w:pPr>
            <w:r>
              <w:rPr>
                <w:rFonts w:ascii="Arial" w:cs="Arial" w:eastAsia="Arial" w:hAnsi="Arial"/>
                <w:sz w:val="11"/>
                <w:szCs w:val="11"/>
                <w:color w:val="auto"/>
              </w:rPr>
              <w:t>(182,201)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63"/>
              <w:spacing w:after="0"/>
              <w:rPr>
                <w:sz w:val="20"/>
                <w:szCs w:val="20"/>
                <w:color w:val="auto"/>
              </w:rPr>
            </w:pPr>
            <w:r>
              <w:rPr>
                <w:rFonts w:ascii="Arial" w:cs="Arial" w:eastAsia="Arial" w:hAnsi="Arial"/>
                <w:sz w:val="11"/>
                <w:szCs w:val="11"/>
                <w:color w:val="auto"/>
              </w:rPr>
              <w:t>182,201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(466,894)</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1"/>
                <w:szCs w:val="11"/>
                <w:color w:val="auto"/>
              </w:rPr>
              <w:t>(466,894)</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11,004,241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11,004,241</w:t>
            </w:r>
          </w:p>
        </w:tc>
        <w:tc>
          <w:tcPr>
            <w:tcW w:w="0" w:type="dxa"/>
            <w:vAlign w:val="bottom"/>
          </w:tcPr>
          <w:p>
            <w:pPr>
              <w:spacing w:after="0"/>
              <w:rPr>
                <w:sz w:val="1"/>
                <w:szCs w:val="1"/>
                <w:color w:val="auto"/>
              </w:rPr>
            </w:pPr>
          </w:p>
        </w:tc>
      </w:tr>
      <w:tr>
        <w:trPr>
          <w:trHeight w:val="103"/>
        </w:trPr>
        <w:tc>
          <w:tcPr>
            <w:tcW w:w="1240" w:type="dxa"/>
            <w:vAlign w:val="bottom"/>
          </w:tcPr>
          <w:p>
            <w:pPr>
              <w:ind w:left="20"/>
              <w:spacing w:after="0" w:line="103" w:lineRule="exact"/>
              <w:rPr>
                <w:sz w:val="20"/>
                <w:szCs w:val="20"/>
                <w:color w:val="auto"/>
              </w:rPr>
            </w:pPr>
            <w:r>
              <w:rPr>
                <w:rFonts w:ascii="Arial" w:cs="Arial" w:eastAsia="Arial" w:hAnsi="Arial"/>
                <w:sz w:val="11"/>
                <w:szCs w:val="11"/>
                <w:color w:val="auto"/>
              </w:rPr>
              <w:t>Balance—December 31,</w:t>
            </w:r>
          </w:p>
        </w:tc>
        <w:tc>
          <w:tcPr>
            <w:tcW w:w="102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1"/>
                <w:szCs w:val="11"/>
                <w:color w:val="auto"/>
              </w:rPr>
              <w:t>1,321,514</w:t>
            </w:r>
          </w:p>
        </w:tc>
        <w:tc>
          <w:tcPr>
            <w:tcW w:w="120" w:type="dxa"/>
            <w:vAlign w:val="bottom"/>
          </w:tcPr>
          <w:p>
            <w:pPr>
              <w:spacing w:after="0"/>
              <w:rPr>
                <w:sz w:val="8"/>
                <w:szCs w:val="8"/>
                <w:color w:val="auto"/>
              </w:rPr>
            </w:pPr>
          </w:p>
        </w:tc>
        <w:tc>
          <w:tcPr>
            <w:tcW w:w="460" w:type="dxa"/>
            <w:vAlign w:val="bottom"/>
            <w:tcBorders>
              <w:top w:val="single" w:sz="8" w:color="auto"/>
            </w:tcBorders>
            <w:vMerge w:val="restart"/>
          </w:tcPr>
          <w:p>
            <w:pPr>
              <w:jc w:val="right"/>
              <w:ind w:right="323"/>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1"/>
                <w:szCs w:val="11"/>
                <w:color w:val="auto"/>
              </w:rPr>
              <w:t>1,322</w:t>
            </w:r>
          </w:p>
        </w:tc>
        <w:tc>
          <w:tcPr>
            <w:tcW w:w="120" w:type="dxa"/>
            <w:vAlign w:val="bottom"/>
          </w:tcPr>
          <w:p>
            <w:pPr>
              <w:spacing w:after="0"/>
              <w:rPr>
                <w:sz w:val="8"/>
                <w:szCs w:val="8"/>
                <w:color w:val="auto"/>
              </w:rPr>
            </w:pPr>
          </w:p>
        </w:tc>
        <w:tc>
          <w:tcPr>
            <w:tcW w:w="112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1"/>
                <w:szCs w:val="11"/>
                <w:color w:val="auto"/>
              </w:rPr>
              <w:t>27,956,401</w:t>
            </w:r>
          </w:p>
        </w:tc>
        <w:tc>
          <w:tcPr>
            <w:tcW w:w="120" w:type="dxa"/>
            <w:vAlign w:val="bottom"/>
          </w:tcPr>
          <w:p>
            <w:pPr>
              <w:spacing w:after="0"/>
              <w:rPr>
                <w:sz w:val="8"/>
                <w:szCs w:val="8"/>
                <w:color w:val="auto"/>
              </w:rPr>
            </w:pPr>
          </w:p>
        </w:tc>
        <w:tc>
          <w:tcPr>
            <w:tcW w:w="18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1"/>
                <w:szCs w:val="11"/>
                <w:color w:val="auto"/>
              </w:rPr>
              <w:t>30,120</w:t>
            </w:r>
          </w:p>
        </w:tc>
        <w:tc>
          <w:tcPr>
            <w:tcW w:w="120" w:type="dxa"/>
            <w:vAlign w:val="bottom"/>
          </w:tcPr>
          <w:p>
            <w:pPr>
              <w:spacing w:after="0"/>
              <w:rPr>
                <w:sz w:val="8"/>
                <w:szCs w:val="8"/>
                <w:color w:val="auto"/>
              </w:rPr>
            </w:pPr>
          </w:p>
        </w:tc>
        <w:tc>
          <w:tcPr>
            <w:tcW w:w="90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1"/>
                <w:szCs w:val="11"/>
                <w:color w:val="auto"/>
              </w:rPr>
              <w:t>1,253,105</w:t>
            </w:r>
          </w:p>
        </w:tc>
        <w:tc>
          <w:tcPr>
            <w:tcW w:w="120" w:type="dxa"/>
            <w:vAlign w:val="bottom"/>
          </w:tcPr>
          <w:p>
            <w:pPr>
              <w:spacing w:after="0"/>
              <w:rPr>
                <w:sz w:val="8"/>
                <w:szCs w:val="8"/>
                <w:color w:val="auto"/>
              </w:rPr>
            </w:pPr>
          </w:p>
        </w:tc>
        <w:tc>
          <w:tcPr>
            <w:tcW w:w="380" w:type="dxa"/>
            <w:vAlign w:val="bottom"/>
            <w:tcBorders>
              <w:top w:val="single" w:sz="8" w:color="auto"/>
            </w:tcBorders>
            <w:vMerge w:val="restart"/>
          </w:tcPr>
          <w:p>
            <w:pPr>
              <w:jc w:val="right"/>
              <w:ind w:right="243"/>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1"/>
                <w:szCs w:val="11"/>
                <w:color w:val="auto"/>
                <w:w w:val="92"/>
              </w:rPr>
              <w:t>(2,116,640)</w:t>
            </w:r>
          </w:p>
        </w:tc>
        <w:tc>
          <w:tcPr>
            <w:tcW w:w="18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1"/>
                <w:szCs w:val="11"/>
                <w:color w:val="auto"/>
              </w:rPr>
              <w:t>$</w:t>
            </w:r>
          </w:p>
        </w:tc>
        <w:tc>
          <w:tcPr>
            <w:tcW w:w="84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1"/>
                <w:szCs w:val="11"/>
                <w:color w:val="auto"/>
              </w:rPr>
              <w:t>85,744,750</w:t>
            </w:r>
          </w:p>
        </w:tc>
        <w:tc>
          <w:tcPr>
            <w:tcW w:w="100" w:type="dxa"/>
            <w:vAlign w:val="bottom"/>
          </w:tcPr>
          <w:p>
            <w:pPr>
              <w:spacing w:after="0"/>
              <w:rPr>
                <w:sz w:val="8"/>
                <w:szCs w:val="8"/>
                <w:color w:val="auto"/>
              </w:rPr>
            </w:pPr>
          </w:p>
        </w:tc>
        <w:tc>
          <w:tcPr>
            <w:tcW w:w="18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1"/>
                <w:szCs w:val="11"/>
                <w:color w:val="auto"/>
              </w:rPr>
              <w:t>(21,305,222)</w:t>
            </w:r>
          </w:p>
        </w:tc>
        <w:tc>
          <w:tcPr>
            <w:tcW w:w="100" w:type="dxa"/>
            <w:vAlign w:val="bottom"/>
          </w:tcPr>
          <w:p>
            <w:pPr>
              <w:spacing w:after="0"/>
              <w:rPr>
                <w:sz w:val="8"/>
                <w:szCs w:val="8"/>
                <w:color w:val="auto"/>
              </w:rPr>
            </w:pPr>
          </w:p>
        </w:tc>
        <w:tc>
          <w:tcPr>
            <w:tcW w:w="260" w:type="dxa"/>
            <w:vAlign w:val="bottom"/>
            <w:tcBorders>
              <w:top w:val="single" w:sz="8" w:color="auto"/>
            </w:tcBorders>
            <w:vMerge w:val="restart"/>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1"/>
                <w:szCs w:val="11"/>
                <w:color w:val="auto"/>
              </w:rPr>
              <w:t>62,354,330</w:t>
            </w:r>
          </w:p>
        </w:tc>
        <w:tc>
          <w:tcPr>
            <w:tcW w:w="0" w:type="dxa"/>
            <w:vAlign w:val="bottom"/>
          </w:tcPr>
          <w:p>
            <w:pPr>
              <w:spacing w:after="0"/>
              <w:rPr>
                <w:sz w:val="1"/>
                <w:szCs w:val="1"/>
                <w:color w:val="auto"/>
              </w:rPr>
            </w:pPr>
          </w:p>
        </w:tc>
      </w:tr>
      <w:tr>
        <w:trPr>
          <w:trHeight w:val="183"/>
        </w:trPr>
        <w:tc>
          <w:tcPr>
            <w:tcW w:w="12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2018</w:t>
            </w: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1240" w:type="dxa"/>
            <w:vAlign w:val="bottom"/>
            <w:shd w:val="clear" w:color="auto" w:fill="CCEEFF"/>
          </w:tcPr>
          <w:p>
            <w:pPr>
              <w:ind w:left="20"/>
              <w:spacing w:after="0" w:line="74" w:lineRule="exact"/>
              <w:rPr>
                <w:sz w:val="20"/>
                <w:szCs w:val="20"/>
                <w:color w:val="auto"/>
              </w:rPr>
            </w:pPr>
            <w:r>
              <w:rPr>
                <w:rFonts w:ascii="Arial" w:cs="Arial" w:eastAsia="Arial" w:hAnsi="Arial"/>
                <w:sz w:val="8"/>
                <w:szCs w:val="8"/>
                <w:color w:val="auto"/>
              </w:rPr>
              <w:t>Exercise of stock options</w:t>
            </w: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and warrants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487,802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488</w:t>
            </w: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447,466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447,954</w:t>
            </w:r>
          </w:p>
        </w:tc>
        <w:tc>
          <w:tcPr>
            <w:tcW w:w="0" w:type="dxa"/>
            <w:vAlign w:val="bottom"/>
          </w:tcPr>
          <w:p>
            <w:pPr>
              <w:spacing w:after="0"/>
              <w:rPr>
                <w:sz w:val="1"/>
                <w:szCs w:val="1"/>
                <w:color w:val="auto"/>
              </w:rPr>
            </w:pPr>
          </w:p>
        </w:tc>
      </w:tr>
      <w:tr>
        <w:trPr>
          <w:trHeight w:val="123"/>
        </w:trPr>
        <w:tc>
          <w:tcPr>
            <w:tcW w:w="1240" w:type="dxa"/>
            <w:vAlign w:val="bottom"/>
          </w:tcPr>
          <w:p>
            <w:pPr>
              <w:ind w:left="20"/>
              <w:spacing w:after="0" w:line="123" w:lineRule="exact"/>
              <w:rPr>
                <w:sz w:val="20"/>
                <w:szCs w:val="20"/>
                <w:color w:val="auto"/>
              </w:rPr>
            </w:pPr>
            <w:r>
              <w:rPr>
                <w:rFonts w:ascii="Arial" w:cs="Arial" w:eastAsia="Arial" w:hAnsi="Arial"/>
                <w:sz w:val="11"/>
                <w:szCs w:val="11"/>
                <w:color w:val="auto"/>
              </w:rPr>
              <w:t>Stock-based</w:t>
            </w: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20"/>
              <w:spacing w:after="0"/>
              <w:rPr>
                <w:sz w:val="20"/>
                <w:szCs w:val="20"/>
                <w:color w:val="auto"/>
              </w:rPr>
            </w:pPr>
            <w:r>
              <w:rPr>
                <w:rFonts w:ascii="Arial" w:cs="Arial" w:eastAsia="Arial" w:hAnsi="Arial"/>
                <w:sz w:val="11"/>
                <w:szCs w:val="11"/>
                <w:color w:val="auto"/>
              </w:rPr>
              <w:t>compensation</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16,286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ind w:right="63"/>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6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1,544,140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60" w:type="dxa"/>
            <w:vAlign w:val="bottom"/>
          </w:tcPr>
          <w:p>
            <w:pPr>
              <w:jc w:val="right"/>
              <w:ind w:right="63"/>
              <w:spacing w:after="0"/>
              <w:rPr>
                <w:sz w:val="20"/>
                <w:szCs w:val="20"/>
                <w:color w:val="auto"/>
              </w:rPr>
            </w:pPr>
            <w:r>
              <w:rPr>
                <w:rFonts w:ascii="Arial" w:cs="Arial" w:eastAsia="Arial" w:hAnsi="Arial"/>
                <w:sz w:val="11"/>
                <w:szCs w:val="11"/>
                <w:color w:val="auto"/>
              </w:rPr>
              <w:t>1,544,156</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 dividends (1)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770,454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285,390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(285,450)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1240" w:type="dxa"/>
            <w:vAlign w:val="bottom"/>
          </w:tcPr>
          <w:p>
            <w:pPr>
              <w:ind w:left="20"/>
              <w:spacing w:after="0" w:line="123" w:lineRule="exact"/>
              <w:rPr>
                <w:sz w:val="20"/>
                <w:szCs w:val="20"/>
                <w:color w:val="auto"/>
              </w:rPr>
            </w:pPr>
            <w:r>
              <w:rPr>
                <w:rFonts w:ascii="Arial" w:cs="Arial" w:eastAsia="Arial" w:hAnsi="Arial"/>
                <w:sz w:val="11"/>
                <w:szCs w:val="11"/>
                <w:color w:val="auto"/>
              </w:rPr>
              <w:t>Preferred stock to</w:t>
            </w: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20"/>
              <w:spacing w:after="0"/>
              <w:rPr>
                <w:sz w:val="20"/>
                <w:szCs w:val="20"/>
                <w:color w:val="auto"/>
              </w:rPr>
            </w:pPr>
            <w:r>
              <w:rPr>
                <w:rFonts w:ascii="Arial" w:cs="Arial" w:eastAsia="Arial" w:hAnsi="Arial"/>
                <w:sz w:val="11"/>
                <w:szCs w:val="11"/>
                <w:color w:val="auto"/>
                <w:w w:val="94"/>
              </w:rPr>
              <w:t>common stock conversion</w:t>
            </w: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(1,321,514)</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(1,322)</w:t>
            </w:r>
          </w:p>
        </w:tc>
        <w:tc>
          <w:tcPr>
            <w:tcW w:w="120" w:type="dxa"/>
            <w:vAlign w:val="bottom"/>
          </w:tcPr>
          <w:p>
            <w:pPr>
              <w:spacing w:after="0"/>
              <w:rPr>
                <w:sz w:val="12"/>
                <w:szCs w:val="12"/>
                <w:color w:val="auto"/>
              </w:rPr>
            </w:pPr>
          </w:p>
        </w:tc>
        <w:tc>
          <w:tcPr>
            <w:tcW w:w="1120" w:type="dxa"/>
            <w:vAlign w:val="bottom"/>
          </w:tcPr>
          <w:p>
            <w:pPr>
              <w:jc w:val="right"/>
              <w:ind w:right="43"/>
              <w:spacing w:after="0"/>
              <w:rPr>
                <w:sz w:val="20"/>
                <w:szCs w:val="20"/>
                <w:color w:val="auto"/>
              </w:rPr>
            </w:pPr>
            <w:r>
              <w:rPr>
                <w:rFonts w:ascii="Arial" w:cs="Arial" w:eastAsia="Arial" w:hAnsi="Arial"/>
                <w:sz w:val="11"/>
                <w:szCs w:val="11"/>
                <w:color w:val="auto"/>
              </w:rPr>
              <w:t>1,321,514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ind w:right="63"/>
              <w:spacing w:after="0"/>
              <w:rPr>
                <w:sz w:val="20"/>
                <w:szCs w:val="20"/>
                <w:color w:val="auto"/>
              </w:rPr>
            </w:pPr>
            <w:r>
              <w:rPr>
                <w:rFonts w:ascii="Arial" w:cs="Arial" w:eastAsia="Arial" w:hAnsi="Arial"/>
                <w:sz w:val="11"/>
                <w:szCs w:val="11"/>
                <w:color w:val="auto"/>
              </w:rPr>
              <w:t>1,322</w:t>
            </w:r>
          </w:p>
        </w:tc>
        <w:tc>
          <w:tcPr>
            <w:tcW w:w="12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6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6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7"/>
        </w:trPr>
        <w:tc>
          <w:tcPr>
            <w:tcW w:w="1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Forfeitures of restricted</w:t>
            </w: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 grants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(16,666)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(157)</w:t>
            </w: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157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8"/>
        </w:trPr>
        <w:tc>
          <w:tcPr>
            <w:tcW w:w="1240" w:type="dxa"/>
            <w:vAlign w:val="bottom"/>
          </w:tcPr>
          <w:p>
            <w:pPr>
              <w:ind w:left="20"/>
              <w:spacing w:after="0"/>
              <w:rPr>
                <w:sz w:val="20"/>
                <w:szCs w:val="20"/>
                <w:color w:val="auto"/>
              </w:rPr>
            </w:pPr>
            <w:r>
              <w:rPr>
                <w:rFonts w:ascii="Arial" w:cs="Arial" w:eastAsia="Arial" w:hAnsi="Arial"/>
                <w:sz w:val="11"/>
                <w:szCs w:val="11"/>
                <w:color w:val="auto"/>
                <w:w w:val="92"/>
              </w:rPr>
              <w:t>Purchase of treasury stock</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3"/>
              <w:spacing w:after="0"/>
              <w:rPr>
                <w:sz w:val="20"/>
                <w:szCs w:val="20"/>
                <w:color w:val="auto"/>
              </w:rPr>
            </w:pPr>
            <w:r>
              <w:rPr>
                <w:rFonts w:ascii="Arial" w:cs="Arial" w:eastAsia="Arial" w:hAnsi="Arial"/>
                <w:sz w:val="11"/>
                <w:szCs w:val="11"/>
                <w:color w:val="auto"/>
              </w:rPr>
              <w:t>(386,686)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63"/>
              <w:spacing w:after="0"/>
              <w:rPr>
                <w:sz w:val="20"/>
                <w:szCs w:val="20"/>
                <w:color w:val="auto"/>
              </w:rPr>
            </w:pPr>
            <w:r>
              <w:rPr>
                <w:rFonts w:ascii="Arial" w:cs="Arial" w:eastAsia="Arial" w:hAnsi="Arial"/>
                <w:sz w:val="11"/>
                <w:szCs w:val="11"/>
                <w:color w:val="auto"/>
              </w:rPr>
              <w:t>386,686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w w:val="92"/>
              </w:rPr>
              <w:t>(2,220,467)</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1"/>
                <w:szCs w:val="11"/>
                <w:color w:val="auto"/>
              </w:rPr>
              <w:t>(2,220,467)</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5,342,545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5,342,545</w:t>
            </w:r>
          </w:p>
        </w:tc>
        <w:tc>
          <w:tcPr>
            <w:tcW w:w="0" w:type="dxa"/>
            <w:vAlign w:val="bottom"/>
          </w:tcPr>
          <w:p>
            <w:pPr>
              <w:spacing w:after="0"/>
              <w:rPr>
                <w:sz w:val="1"/>
                <w:szCs w:val="1"/>
                <w:color w:val="auto"/>
              </w:rPr>
            </w:pPr>
          </w:p>
        </w:tc>
      </w:tr>
      <w:tr>
        <w:trPr>
          <w:trHeight w:val="103"/>
        </w:trPr>
        <w:tc>
          <w:tcPr>
            <w:tcW w:w="1240" w:type="dxa"/>
            <w:vAlign w:val="bottom"/>
          </w:tcPr>
          <w:p>
            <w:pPr>
              <w:ind w:left="20"/>
              <w:spacing w:after="0" w:line="103" w:lineRule="exact"/>
              <w:rPr>
                <w:sz w:val="20"/>
                <w:szCs w:val="20"/>
                <w:color w:val="auto"/>
              </w:rPr>
            </w:pPr>
            <w:r>
              <w:rPr>
                <w:rFonts w:ascii="Arial" w:cs="Arial" w:eastAsia="Arial" w:hAnsi="Arial"/>
                <w:sz w:val="11"/>
                <w:szCs w:val="11"/>
                <w:color w:val="auto"/>
              </w:rPr>
              <w:t>Balance—December 31,</w:t>
            </w: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460" w:type="dxa"/>
            <w:vAlign w:val="bottom"/>
            <w:vMerge w:val="restart"/>
          </w:tcPr>
          <w:p>
            <w:pPr>
              <w:jc w:val="right"/>
              <w:ind w:right="323"/>
              <w:spacing w:after="0"/>
              <w:rPr>
                <w:sz w:val="20"/>
                <w:szCs w:val="20"/>
                <w:color w:val="auto"/>
              </w:rPr>
            </w:pPr>
            <w:r>
              <w:rPr>
                <w:rFonts w:ascii="Arial" w:cs="Arial" w:eastAsia="Arial" w:hAnsi="Arial"/>
                <w:sz w:val="11"/>
                <w:szCs w:val="11"/>
                <w:color w:val="auto"/>
                <w:w w:val="97"/>
              </w:rPr>
              <w:t>$</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120" w:type="dxa"/>
            <w:vAlign w:val="bottom"/>
            <w:vMerge w:val="restart"/>
          </w:tcPr>
          <w:p>
            <w:pPr>
              <w:jc w:val="right"/>
              <w:ind w:right="43"/>
              <w:spacing w:after="0"/>
              <w:rPr>
                <w:sz w:val="20"/>
                <w:szCs w:val="20"/>
                <w:color w:val="auto"/>
              </w:rPr>
            </w:pPr>
            <w:r>
              <w:rPr>
                <w:rFonts w:ascii="Arial" w:cs="Arial" w:eastAsia="Arial" w:hAnsi="Arial"/>
                <w:sz w:val="11"/>
                <w:szCs w:val="11"/>
                <w:color w:val="auto"/>
              </w:rPr>
              <w:t>30,149,105</w:t>
            </w:r>
          </w:p>
        </w:tc>
        <w:tc>
          <w:tcPr>
            <w:tcW w:w="120" w:type="dxa"/>
            <w:vAlign w:val="bottom"/>
          </w:tcPr>
          <w:p>
            <w:pPr>
              <w:spacing w:after="0"/>
              <w:rPr>
                <w:sz w:val="8"/>
                <w:szCs w:val="8"/>
                <w:color w:val="auto"/>
              </w:rPr>
            </w:pPr>
          </w:p>
        </w:tc>
        <w:tc>
          <w:tcPr>
            <w:tcW w:w="180" w:type="dxa"/>
            <w:vAlign w:val="bottom"/>
            <w:vMerge w:val="restart"/>
          </w:tcPr>
          <w:p>
            <w:pPr>
              <w:jc w:val="right"/>
              <w:ind w:right="43"/>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ind w:right="63"/>
              <w:spacing w:after="0"/>
              <w:rPr>
                <w:sz w:val="20"/>
                <w:szCs w:val="20"/>
                <w:color w:val="auto"/>
              </w:rPr>
            </w:pPr>
            <w:r>
              <w:rPr>
                <w:rFonts w:ascii="Arial" w:cs="Arial" w:eastAsia="Arial" w:hAnsi="Arial"/>
                <w:sz w:val="11"/>
                <w:szCs w:val="11"/>
                <w:color w:val="auto"/>
              </w:rPr>
              <w:t>31,849</w:t>
            </w:r>
          </w:p>
        </w:tc>
        <w:tc>
          <w:tcPr>
            <w:tcW w:w="120" w:type="dxa"/>
            <w:vAlign w:val="bottom"/>
          </w:tcPr>
          <w:p>
            <w:pPr>
              <w:spacing w:after="0"/>
              <w:rPr>
                <w:sz w:val="8"/>
                <w:szCs w:val="8"/>
                <w:color w:val="auto"/>
              </w:rPr>
            </w:pPr>
          </w:p>
        </w:tc>
        <w:tc>
          <w:tcPr>
            <w:tcW w:w="900" w:type="dxa"/>
            <w:vAlign w:val="bottom"/>
            <w:vMerge w:val="restart"/>
          </w:tcPr>
          <w:p>
            <w:pPr>
              <w:jc w:val="right"/>
              <w:ind w:right="63"/>
              <w:spacing w:after="0"/>
              <w:rPr>
                <w:sz w:val="20"/>
                <w:szCs w:val="20"/>
                <w:color w:val="auto"/>
              </w:rPr>
            </w:pPr>
            <w:r>
              <w:rPr>
                <w:rFonts w:ascii="Arial" w:cs="Arial" w:eastAsia="Arial" w:hAnsi="Arial"/>
                <w:sz w:val="11"/>
                <w:szCs w:val="11"/>
                <w:color w:val="auto"/>
              </w:rPr>
              <w:t>1,639,791</w:t>
            </w:r>
          </w:p>
        </w:tc>
        <w:tc>
          <w:tcPr>
            <w:tcW w:w="120" w:type="dxa"/>
            <w:vAlign w:val="bottom"/>
          </w:tcPr>
          <w:p>
            <w:pPr>
              <w:spacing w:after="0"/>
              <w:rPr>
                <w:sz w:val="8"/>
                <w:szCs w:val="8"/>
                <w:color w:val="auto"/>
              </w:rPr>
            </w:pPr>
          </w:p>
        </w:tc>
        <w:tc>
          <w:tcPr>
            <w:tcW w:w="380" w:type="dxa"/>
            <w:vAlign w:val="bottom"/>
            <w:vMerge w:val="restart"/>
          </w:tcPr>
          <w:p>
            <w:pPr>
              <w:jc w:val="right"/>
              <w:ind w:right="243"/>
              <w:spacing w:after="0"/>
              <w:rPr>
                <w:sz w:val="20"/>
                <w:szCs w:val="20"/>
                <w:color w:val="auto"/>
              </w:rPr>
            </w:pPr>
            <w:r>
              <w:rPr>
                <w:rFonts w:ascii="Arial" w:cs="Arial" w:eastAsia="Arial" w:hAnsi="Arial"/>
                <w:sz w:val="11"/>
                <w:szCs w:val="11"/>
                <w:color w:val="auto"/>
                <w:w w:val="97"/>
              </w:rPr>
              <w:t>$</w:t>
            </w:r>
          </w:p>
        </w:tc>
        <w:tc>
          <w:tcPr>
            <w:tcW w:w="600" w:type="dxa"/>
            <w:vAlign w:val="bottom"/>
            <w:vMerge w:val="restart"/>
          </w:tcPr>
          <w:p>
            <w:pPr>
              <w:jc w:val="right"/>
              <w:ind w:right="3"/>
              <w:spacing w:after="0"/>
              <w:rPr>
                <w:sz w:val="20"/>
                <w:szCs w:val="20"/>
                <w:color w:val="auto"/>
              </w:rPr>
            </w:pPr>
            <w:r>
              <w:rPr>
                <w:rFonts w:ascii="Arial" w:cs="Arial" w:eastAsia="Arial" w:hAnsi="Arial"/>
                <w:sz w:val="11"/>
                <w:szCs w:val="11"/>
                <w:color w:val="auto"/>
                <w:w w:val="92"/>
              </w:rPr>
              <w:t>(4,337,107)</w:t>
            </w:r>
          </w:p>
        </w:tc>
        <w:tc>
          <w:tcPr>
            <w:tcW w:w="18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840" w:type="dxa"/>
            <w:vAlign w:val="bottom"/>
            <w:vMerge w:val="restart"/>
          </w:tcPr>
          <w:p>
            <w:pPr>
              <w:jc w:val="right"/>
              <w:ind w:right="63"/>
              <w:spacing w:after="0"/>
              <w:rPr>
                <w:sz w:val="20"/>
                <w:szCs w:val="20"/>
                <w:color w:val="auto"/>
              </w:rPr>
            </w:pPr>
            <w:r>
              <w:rPr>
                <w:rFonts w:ascii="Arial" w:cs="Arial" w:eastAsia="Arial" w:hAnsi="Arial"/>
                <w:sz w:val="11"/>
                <w:szCs w:val="11"/>
                <w:color w:val="auto"/>
              </w:rPr>
              <w:t>88,021,903</w:t>
            </w:r>
          </w:p>
        </w:tc>
        <w:tc>
          <w:tcPr>
            <w:tcW w:w="100" w:type="dxa"/>
            <w:vAlign w:val="bottom"/>
          </w:tcPr>
          <w:p>
            <w:pPr>
              <w:spacing w:after="0"/>
              <w:rPr>
                <w:sz w:val="8"/>
                <w:szCs w:val="8"/>
                <w:color w:val="auto"/>
              </w:rPr>
            </w:pPr>
          </w:p>
        </w:tc>
        <w:tc>
          <w:tcPr>
            <w:tcW w:w="180" w:type="dxa"/>
            <w:vAlign w:val="bottom"/>
            <w:vMerge w:val="restart"/>
          </w:tcPr>
          <w:p>
            <w:pPr>
              <w:jc w:val="right"/>
              <w:ind w:right="43"/>
              <w:spacing w:after="0"/>
              <w:rPr>
                <w:sz w:val="20"/>
                <w:szCs w:val="20"/>
                <w:color w:val="auto"/>
              </w:rPr>
            </w:pPr>
            <w:r>
              <w:rPr>
                <w:rFonts w:ascii="Arial" w:cs="Arial" w:eastAsia="Arial" w:hAnsi="Arial"/>
                <w:sz w:val="11"/>
                <w:szCs w:val="11"/>
                <w:color w:val="auto"/>
                <w:w w:val="97"/>
              </w:rPr>
              <w:t>$</w:t>
            </w:r>
          </w:p>
        </w:tc>
        <w:tc>
          <w:tcPr>
            <w:tcW w:w="1040" w:type="dxa"/>
            <w:vAlign w:val="bottom"/>
            <w:vMerge w:val="restart"/>
          </w:tcPr>
          <w:p>
            <w:pPr>
              <w:jc w:val="right"/>
              <w:ind w:right="3"/>
              <w:spacing w:after="0"/>
              <w:rPr>
                <w:sz w:val="20"/>
                <w:szCs w:val="20"/>
                <w:color w:val="auto"/>
              </w:rPr>
            </w:pPr>
            <w:r>
              <w:rPr>
                <w:rFonts w:ascii="Arial" w:cs="Arial" w:eastAsia="Arial" w:hAnsi="Arial"/>
                <w:sz w:val="11"/>
                <w:szCs w:val="11"/>
                <w:color w:val="auto"/>
              </w:rPr>
              <w:t>(16,248,127)</w:t>
            </w:r>
          </w:p>
        </w:tc>
        <w:tc>
          <w:tcPr>
            <w:tcW w:w="100" w:type="dxa"/>
            <w:vAlign w:val="bottom"/>
          </w:tcPr>
          <w:p>
            <w:pPr>
              <w:spacing w:after="0"/>
              <w:rPr>
                <w:sz w:val="8"/>
                <w:szCs w:val="8"/>
                <w:color w:val="auto"/>
              </w:rPr>
            </w:pPr>
          </w:p>
        </w:tc>
        <w:tc>
          <w:tcPr>
            <w:tcW w:w="260" w:type="dxa"/>
            <w:vAlign w:val="bottom"/>
            <w:vMerge w:val="restart"/>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vMerge w:val="restart"/>
          </w:tcPr>
          <w:p>
            <w:pPr>
              <w:jc w:val="right"/>
              <w:ind w:right="63"/>
              <w:spacing w:after="0"/>
              <w:rPr>
                <w:sz w:val="20"/>
                <w:szCs w:val="20"/>
                <w:color w:val="auto"/>
              </w:rPr>
            </w:pPr>
            <w:r>
              <w:rPr>
                <w:rFonts w:ascii="Arial" w:cs="Arial" w:eastAsia="Arial" w:hAnsi="Arial"/>
                <w:sz w:val="11"/>
                <w:szCs w:val="11"/>
                <w:color w:val="auto"/>
              </w:rPr>
              <w:t>67,468,518</w:t>
            </w:r>
          </w:p>
        </w:tc>
        <w:tc>
          <w:tcPr>
            <w:tcW w:w="0" w:type="dxa"/>
            <w:vAlign w:val="bottom"/>
          </w:tcPr>
          <w:p>
            <w:pPr>
              <w:spacing w:after="0"/>
              <w:rPr>
                <w:sz w:val="1"/>
                <w:szCs w:val="1"/>
                <w:color w:val="auto"/>
              </w:rPr>
            </w:pPr>
          </w:p>
        </w:tc>
      </w:tr>
      <w:tr>
        <w:trPr>
          <w:trHeight w:val="143"/>
        </w:trPr>
        <w:tc>
          <w:tcPr>
            <w:tcW w:w="1240" w:type="dxa"/>
            <w:vAlign w:val="bottom"/>
          </w:tcPr>
          <w:p>
            <w:pPr>
              <w:ind w:left="20"/>
              <w:spacing w:after="0"/>
              <w:rPr>
                <w:sz w:val="20"/>
                <w:szCs w:val="20"/>
                <w:color w:val="auto"/>
              </w:rPr>
            </w:pPr>
            <w:r>
              <w:rPr>
                <w:rFonts w:ascii="Arial" w:cs="Arial" w:eastAsia="Arial" w:hAnsi="Arial"/>
                <w:sz w:val="11"/>
                <w:szCs w:val="11"/>
                <w:color w:val="auto"/>
              </w:rPr>
              <w:t>2019</w:t>
            </w:r>
          </w:p>
        </w:tc>
        <w:tc>
          <w:tcPr>
            <w:tcW w:w="114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left="3320" w:right="400" w:hanging="3220"/>
        <w:spacing w:after="0" w:line="506" w:lineRule="auto"/>
        <w:tabs>
          <w:tab w:leader="none" w:pos="351"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The stock dividends payable in connection with the Series A Convertible Preferred Stock were issued at the request of Carilion. See Note 11 - Stockholders' Equity for more information. </w:t>
      </w:r>
      <w:r>
        <w:rPr>
          <w:rFonts w:ascii="Arial" w:cs="Arial" w:eastAsia="Arial" w:hAnsi="Arial"/>
          <w:sz w:val="14"/>
          <w:szCs w:val="14"/>
          <w:i w:val="1"/>
          <w:iCs w:val="1"/>
          <w:color w:val="auto"/>
        </w:rPr>
        <w:t>The accompanying notes are an integral part of these consolidated financial statements.</w:t>
      </w:r>
    </w:p>
    <w:p>
      <w:pPr>
        <w:jc w:val="center"/>
        <w:ind w:right="-1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60"/>
          </w:cols>
          <w:pgMar w:left="300" w:top="125"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Luna Innovations Incorporated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5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b w:val="1"/>
                <w:bCs w:val="1"/>
                <w:color w:val="auto"/>
              </w:rPr>
              <w:t>Years ended December 31,</w:t>
            </w:r>
          </w:p>
        </w:tc>
        <w:tc>
          <w:tcPr>
            <w:tcW w:w="8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00" w:type="dxa"/>
            <w:vAlign w:val="bottom"/>
            <w:tcBorders>
              <w:bottom w:val="single" w:sz="8" w:color="CCEEFF"/>
            </w:tcBorders>
          </w:tcPr>
          <w:p>
            <w:pPr>
              <w:spacing w:after="0"/>
              <w:rPr>
                <w:sz w:val="17"/>
                <w:szCs w:val="17"/>
                <w:color w:val="auto"/>
              </w:rPr>
            </w:pPr>
          </w:p>
        </w:tc>
        <w:tc>
          <w:tcPr>
            <w:tcW w:w="27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w w:val="89"/>
              </w:rPr>
              <w:t>2018</w:t>
            </w:r>
          </w:p>
        </w:tc>
        <w:tc>
          <w:tcPr>
            <w:tcW w:w="0" w:type="dxa"/>
            <w:vAlign w:val="bottom"/>
          </w:tcPr>
          <w:p>
            <w:pPr>
              <w:spacing w:after="0"/>
              <w:rPr>
                <w:sz w:val="1"/>
                <w:szCs w:val="1"/>
                <w:color w:val="auto"/>
              </w:rPr>
            </w:pPr>
          </w:p>
        </w:tc>
      </w:tr>
      <w:tr>
        <w:trPr>
          <w:trHeight w:val="187"/>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provided by/(used in) operating activities:</w:t>
            </w:r>
          </w:p>
        </w:tc>
        <w:tc>
          <w:tcPr>
            <w:tcW w:w="27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300"/>
              <w:spacing w:after="0"/>
              <w:rPr>
                <w:sz w:val="20"/>
                <w:szCs w:val="20"/>
                <w:color w:val="auto"/>
              </w:rPr>
            </w:pPr>
            <w:r>
              <w:rPr>
                <w:rFonts w:ascii="Arial" w:cs="Arial" w:eastAsia="Arial" w:hAnsi="Arial"/>
                <w:sz w:val="14"/>
                <w:szCs w:val="14"/>
                <w:color w:val="auto"/>
              </w:rPr>
              <w:t>Net income</w:t>
            </w:r>
          </w:p>
        </w:tc>
        <w:tc>
          <w:tcPr>
            <w:tcW w:w="3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5,342,545</w:t>
            </w:r>
          </w:p>
        </w:tc>
        <w:tc>
          <w:tcPr>
            <w:tcW w:w="100" w:type="dxa"/>
            <w:vAlign w:val="bottom"/>
          </w:tcPr>
          <w:p>
            <w:pPr>
              <w:spacing w:after="0"/>
              <w:rPr>
                <w:sz w:val="16"/>
                <w:szCs w:val="16"/>
                <w:color w:val="auto"/>
              </w:rPr>
            </w:pPr>
          </w:p>
        </w:tc>
        <w:tc>
          <w:tcPr>
            <w:tcW w:w="600" w:type="dxa"/>
            <w:vAlign w:val="bottom"/>
          </w:tcPr>
          <w:p>
            <w:pPr>
              <w:jc w:val="right"/>
              <w:ind w:right="42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11,004,241</w:t>
            </w: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w w:val="93"/>
              </w:rPr>
              <w:t>Adjustments to reconcile net income to net cash provided by/(used in) operating activities:</w:t>
            </w:r>
          </w:p>
        </w:tc>
        <w:tc>
          <w:tcPr>
            <w:tcW w:w="27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560"/>
              <w:spacing w:after="0"/>
              <w:rPr>
                <w:sz w:val="20"/>
                <w:szCs w:val="20"/>
                <w:color w:val="auto"/>
              </w:rPr>
            </w:pPr>
            <w:r>
              <w:rPr>
                <w:rFonts w:ascii="Arial" w:cs="Arial" w:eastAsia="Arial" w:hAnsi="Arial"/>
                <w:sz w:val="14"/>
                <w:szCs w:val="14"/>
                <w:color w:val="auto"/>
              </w:rPr>
              <w:t>Depreciation and amortization</w:t>
            </w:r>
          </w:p>
        </w:tc>
        <w:tc>
          <w:tcPr>
            <w:tcW w:w="2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2,503,291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1,218,559</w:t>
            </w: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Stock-based compensation</w:t>
            </w:r>
          </w:p>
        </w:tc>
        <w:tc>
          <w:tcPr>
            <w:tcW w:w="27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1,544,156</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627,856</w:t>
            </w:r>
          </w:p>
        </w:tc>
        <w:tc>
          <w:tcPr>
            <w:tcW w:w="0" w:type="dxa"/>
            <w:vAlign w:val="bottom"/>
          </w:tcPr>
          <w:p>
            <w:pPr>
              <w:spacing w:after="0"/>
              <w:rPr>
                <w:sz w:val="1"/>
                <w:szCs w:val="1"/>
                <w:color w:val="auto"/>
              </w:rPr>
            </w:pPr>
          </w:p>
        </w:tc>
      </w:tr>
      <w:tr>
        <w:trPr>
          <w:trHeight w:val="191"/>
        </w:trPr>
        <w:tc>
          <w:tcPr>
            <w:tcW w:w="5500" w:type="dxa"/>
            <w:vAlign w:val="bottom"/>
          </w:tcPr>
          <w:p>
            <w:pPr>
              <w:ind w:left="560"/>
              <w:spacing w:after="0"/>
              <w:rPr>
                <w:sz w:val="20"/>
                <w:szCs w:val="20"/>
                <w:color w:val="auto"/>
              </w:rPr>
            </w:pPr>
            <w:r>
              <w:rPr>
                <w:rFonts w:ascii="Arial" w:cs="Arial" w:eastAsia="Arial" w:hAnsi="Arial"/>
                <w:sz w:val="14"/>
                <w:szCs w:val="14"/>
                <w:color w:val="auto"/>
              </w:rPr>
              <w:t>Loss on disposal of fixed assets</w:t>
            </w:r>
          </w:p>
        </w:tc>
        <w:tc>
          <w:tcPr>
            <w:tcW w:w="2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Gain on sale of discontinued operations, net of income taxes</w:t>
            </w:r>
          </w:p>
        </w:tc>
        <w:tc>
          <w:tcPr>
            <w:tcW w:w="27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(8,595,798)</w:t>
            </w:r>
          </w:p>
        </w:tc>
        <w:tc>
          <w:tcPr>
            <w:tcW w:w="0" w:type="dxa"/>
            <w:vAlign w:val="bottom"/>
          </w:tcPr>
          <w:p>
            <w:pPr>
              <w:spacing w:after="0"/>
              <w:rPr>
                <w:sz w:val="1"/>
                <w:szCs w:val="1"/>
                <w:color w:val="auto"/>
              </w:rPr>
            </w:pPr>
          </w:p>
        </w:tc>
      </w:tr>
      <w:tr>
        <w:trPr>
          <w:trHeight w:val="191"/>
        </w:trPr>
        <w:tc>
          <w:tcPr>
            <w:tcW w:w="5500" w:type="dxa"/>
            <w:vAlign w:val="bottom"/>
          </w:tcPr>
          <w:p>
            <w:pPr>
              <w:ind w:left="560"/>
              <w:spacing w:after="0"/>
              <w:rPr>
                <w:sz w:val="20"/>
                <w:szCs w:val="20"/>
                <w:color w:val="auto"/>
              </w:rPr>
            </w:pPr>
            <w:r>
              <w:rPr>
                <w:rFonts w:ascii="Arial" w:cs="Arial" w:eastAsia="Arial" w:hAnsi="Arial"/>
                <w:sz w:val="14"/>
                <w:szCs w:val="14"/>
                <w:color w:val="auto"/>
              </w:rPr>
              <w:t>Tax benefit from release of valuation allowance</w:t>
            </w:r>
          </w:p>
        </w:tc>
        <w:tc>
          <w:tcPr>
            <w:tcW w:w="2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(3,349,032)</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Bad debt</w:t>
            </w:r>
          </w:p>
        </w:tc>
        <w:tc>
          <w:tcPr>
            <w:tcW w:w="27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538,298</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191"/>
        </w:trPr>
        <w:tc>
          <w:tcPr>
            <w:tcW w:w="5500" w:type="dxa"/>
            <w:vAlign w:val="bottom"/>
          </w:tcPr>
          <w:p>
            <w:pPr>
              <w:ind w:left="300"/>
              <w:spacing w:after="0"/>
              <w:rPr>
                <w:sz w:val="20"/>
                <w:szCs w:val="20"/>
                <w:color w:val="auto"/>
              </w:rPr>
            </w:pPr>
            <w:r>
              <w:rPr>
                <w:rFonts w:ascii="Arial" w:cs="Arial" w:eastAsia="Arial" w:hAnsi="Arial"/>
                <w:sz w:val="14"/>
                <w:szCs w:val="14"/>
                <w:color w:val="auto"/>
              </w:rPr>
              <w:t>Changes in operating assets and liabilities:</w:t>
            </w:r>
          </w:p>
        </w:tc>
        <w:tc>
          <w:tcPr>
            <w:tcW w:w="2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Accounts receivable</w:t>
            </w:r>
          </w:p>
        </w:tc>
        <w:tc>
          <w:tcPr>
            <w:tcW w:w="27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(2,248,925)</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(6,240,377)</w:t>
            </w:r>
          </w:p>
        </w:tc>
        <w:tc>
          <w:tcPr>
            <w:tcW w:w="0" w:type="dxa"/>
            <w:vAlign w:val="bottom"/>
          </w:tcPr>
          <w:p>
            <w:pPr>
              <w:spacing w:after="0"/>
              <w:rPr>
                <w:sz w:val="1"/>
                <w:szCs w:val="1"/>
                <w:color w:val="auto"/>
              </w:rPr>
            </w:pPr>
          </w:p>
        </w:tc>
      </w:tr>
      <w:tr>
        <w:trPr>
          <w:trHeight w:val="191"/>
        </w:trPr>
        <w:tc>
          <w:tcPr>
            <w:tcW w:w="5500" w:type="dxa"/>
            <w:vAlign w:val="bottom"/>
          </w:tcPr>
          <w:p>
            <w:pPr>
              <w:ind w:left="560"/>
              <w:spacing w:after="0"/>
              <w:rPr>
                <w:sz w:val="20"/>
                <w:szCs w:val="20"/>
                <w:color w:val="auto"/>
              </w:rPr>
            </w:pPr>
            <w:r>
              <w:rPr>
                <w:rFonts w:ascii="Arial" w:cs="Arial" w:eastAsia="Arial" w:hAnsi="Arial"/>
                <w:sz w:val="14"/>
                <w:szCs w:val="14"/>
                <w:color w:val="auto"/>
              </w:rPr>
              <w:t>Contract assets</w:t>
            </w:r>
          </w:p>
        </w:tc>
        <w:tc>
          <w:tcPr>
            <w:tcW w:w="2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(448,891)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(761,714)</w:t>
            </w: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Inventory</w:t>
            </w:r>
          </w:p>
        </w:tc>
        <w:tc>
          <w:tcPr>
            <w:tcW w:w="27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(722,690)</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(967,797)</w:t>
            </w:r>
          </w:p>
        </w:tc>
        <w:tc>
          <w:tcPr>
            <w:tcW w:w="0" w:type="dxa"/>
            <w:vAlign w:val="bottom"/>
          </w:tcPr>
          <w:p>
            <w:pPr>
              <w:spacing w:after="0"/>
              <w:rPr>
                <w:sz w:val="1"/>
                <w:szCs w:val="1"/>
                <w:color w:val="auto"/>
              </w:rPr>
            </w:pPr>
          </w:p>
        </w:tc>
      </w:tr>
      <w:tr>
        <w:trPr>
          <w:trHeight w:val="191"/>
        </w:trPr>
        <w:tc>
          <w:tcPr>
            <w:tcW w:w="5500" w:type="dxa"/>
            <w:vAlign w:val="bottom"/>
          </w:tcPr>
          <w:p>
            <w:pPr>
              <w:ind w:left="560"/>
              <w:spacing w:after="0"/>
              <w:rPr>
                <w:sz w:val="20"/>
                <w:szCs w:val="20"/>
                <w:color w:val="auto"/>
              </w:rPr>
            </w:pPr>
            <w:r>
              <w:rPr>
                <w:rFonts w:ascii="Arial" w:cs="Arial" w:eastAsia="Arial" w:hAnsi="Arial"/>
                <w:sz w:val="14"/>
                <w:szCs w:val="14"/>
                <w:color w:val="auto"/>
              </w:rPr>
              <w:t>Other assets</w:t>
            </w:r>
          </w:p>
        </w:tc>
        <w:tc>
          <w:tcPr>
            <w:tcW w:w="2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(242,112)</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1,849,629</w:t>
            </w: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Other long-term assets</w:t>
            </w:r>
          </w:p>
        </w:tc>
        <w:tc>
          <w:tcPr>
            <w:tcW w:w="27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44,976</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5500" w:type="dxa"/>
            <w:vAlign w:val="bottom"/>
          </w:tcPr>
          <w:p>
            <w:pPr>
              <w:ind w:left="560"/>
              <w:spacing w:after="0"/>
              <w:rPr>
                <w:sz w:val="20"/>
                <w:szCs w:val="20"/>
                <w:color w:val="auto"/>
              </w:rPr>
            </w:pPr>
            <w:r>
              <w:rPr>
                <w:rFonts w:ascii="Arial" w:cs="Arial" w:eastAsia="Arial" w:hAnsi="Arial"/>
                <w:sz w:val="14"/>
                <w:szCs w:val="14"/>
                <w:color w:val="auto"/>
              </w:rPr>
              <w:t>Accounts payable and accrued expenses</w:t>
            </w:r>
          </w:p>
        </w:tc>
        <w:tc>
          <w:tcPr>
            <w:tcW w:w="2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591,585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(461,927)</w:t>
            </w: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Contract liabilities</w:t>
            </w:r>
          </w:p>
        </w:tc>
        <w:tc>
          <w:tcPr>
            <w:tcW w:w="27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1,245,000</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(986,498)</w:t>
            </w:r>
          </w:p>
        </w:tc>
        <w:tc>
          <w:tcPr>
            <w:tcW w:w="0" w:type="dxa"/>
            <w:vAlign w:val="bottom"/>
          </w:tcPr>
          <w:p>
            <w:pPr>
              <w:spacing w:after="0"/>
              <w:rPr>
                <w:sz w:val="1"/>
                <w:szCs w:val="1"/>
                <w:color w:val="auto"/>
              </w:rPr>
            </w:pPr>
          </w:p>
        </w:tc>
      </w:tr>
      <w:tr>
        <w:trPr>
          <w:trHeight w:val="181"/>
        </w:trPr>
        <w:tc>
          <w:tcPr>
            <w:tcW w:w="5500" w:type="dxa"/>
            <w:vAlign w:val="bottom"/>
          </w:tcPr>
          <w:p>
            <w:pPr>
              <w:ind w:left="900"/>
              <w:spacing w:after="0"/>
              <w:rPr>
                <w:sz w:val="20"/>
                <w:szCs w:val="20"/>
                <w:color w:val="auto"/>
              </w:rPr>
            </w:pPr>
            <w:r>
              <w:rPr>
                <w:rFonts w:ascii="Arial" w:cs="Arial" w:eastAsia="Arial" w:hAnsi="Arial"/>
                <w:sz w:val="14"/>
                <w:szCs w:val="14"/>
                <w:color w:val="auto"/>
              </w:rPr>
              <w:t>Net cash provided by/(used in) operating activities</w:t>
            </w:r>
          </w:p>
        </w:tc>
        <w:tc>
          <w:tcPr>
            <w:tcW w:w="27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4,798,201</w:t>
            </w:r>
          </w:p>
        </w:tc>
        <w:tc>
          <w:tcPr>
            <w:tcW w:w="1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(3,308,826)</w:t>
            </w:r>
          </w:p>
        </w:tc>
        <w:tc>
          <w:tcPr>
            <w:tcW w:w="0" w:type="dxa"/>
            <w:vAlign w:val="bottom"/>
          </w:tcPr>
          <w:p>
            <w:pPr>
              <w:spacing w:after="0"/>
              <w:rPr>
                <w:sz w:val="1"/>
                <w:szCs w:val="1"/>
                <w:color w:val="auto"/>
              </w:rPr>
            </w:pPr>
          </w:p>
        </w:tc>
      </w:tr>
      <w:tr>
        <w:trPr>
          <w:trHeight w:val="22"/>
        </w:trPr>
        <w:tc>
          <w:tcPr>
            <w:tcW w:w="550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(used in)/provided by investing activities:</w:t>
            </w:r>
          </w:p>
        </w:tc>
        <w:tc>
          <w:tcPr>
            <w:tcW w:w="27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300"/>
              <w:spacing w:after="0"/>
              <w:rPr>
                <w:sz w:val="20"/>
                <w:szCs w:val="20"/>
                <w:color w:val="auto"/>
              </w:rPr>
            </w:pPr>
            <w:r>
              <w:rPr>
                <w:rFonts w:ascii="Arial" w:cs="Arial" w:eastAsia="Arial" w:hAnsi="Arial"/>
                <w:sz w:val="14"/>
                <w:szCs w:val="14"/>
                <w:color w:val="auto"/>
              </w:rPr>
              <w:t>Acquisition of property and equipment</w:t>
            </w:r>
          </w:p>
        </w:tc>
        <w:tc>
          <w:tcPr>
            <w:tcW w:w="2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(540,635)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(386,890)</w:t>
            </w: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Proceeds from sale of property and equipment</w:t>
            </w:r>
          </w:p>
        </w:tc>
        <w:tc>
          <w:tcPr>
            <w:tcW w:w="27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91"/>
        </w:trPr>
        <w:tc>
          <w:tcPr>
            <w:tcW w:w="5500" w:type="dxa"/>
            <w:vAlign w:val="bottom"/>
          </w:tcPr>
          <w:p>
            <w:pPr>
              <w:ind w:left="300"/>
              <w:spacing w:after="0"/>
              <w:rPr>
                <w:sz w:val="20"/>
                <w:szCs w:val="20"/>
                <w:color w:val="auto"/>
              </w:rPr>
            </w:pPr>
            <w:r>
              <w:rPr>
                <w:rFonts w:ascii="Arial" w:cs="Arial" w:eastAsia="Arial" w:hAnsi="Arial"/>
                <w:sz w:val="14"/>
                <w:szCs w:val="14"/>
                <w:color w:val="auto"/>
              </w:rPr>
              <w:t>Intangible property costs</w:t>
            </w:r>
          </w:p>
        </w:tc>
        <w:tc>
          <w:tcPr>
            <w:tcW w:w="2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(270,106)</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(374,766)</w:t>
            </w: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Acquisition of Micron Optics, net</w:t>
            </w:r>
          </w:p>
        </w:tc>
        <w:tc>
          <w:tcPr>
            <w:tcW w:w="27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(5,001,750)</w:t>
            </w:r>
          </w:p>
        </w:tc>
        <w:tc>
          <w:tcPr>
            <w:tcW w:w="0" w:type="dxa"/>
            <w:vAlign w:val="bottom"/>
          </w:tcPr>
          <w:p>
            <w:pPr>
              <w:spacing w:after="0"/>
              <w:rPr>
                <w:sz w:val="1"/>
                <w:szCs w:val="1"/>
                <w:color w:val="auto"/>
              </w:rPr>
            </w:pPr>
          </w:p>
        </w:tc>
      </w:tr>
      <w:tr>
        <w:trPr>
          <w:trHeight w:val="191"/>
        </w:trPr>
        <w:tc>
          <w:tcPr>
            <w:tcW w:w="5500" w:type="dxa"/>
            <w:vAlign w:val="bottom"/>
          </w:tcPr>
          <w:p>
            <w:pPr>
              <w:ind w:left="300"/>
              <w:spacing w:after="0"/>
              <w:rPr>
                <w:sz w:val="20"/>
                <w:szCs w:val="20"/>
                <w:color w:val="auto"/>
              </w:rPr>
            </w:pPr>
            <w:r>
              <w:rPr>
                <w:rFonts w:ascii="Arial" w:cs="Arial" w:eastAsia="Arial" w:hAnsi="Arial"/>
                <w:sz w:val="14"/>
                <w:szCs w:val="14"/>
                <w:color w:val="auto"/>
              </w:rPr>
              <w:t>Acquisition of General Photonics Corporation, net</w:t>
            </w:r>
          </w:p>
        </w:tc>
        <w:tc>
          <w:tcPr>
            <w:tcW w:w="2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(19,004,250)</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Proceeds from sale of discontinued operations, net</w:t>
            </w:r>
          </w:p>
        </w:tc>
        <w:tc>
          <w:tcPr>
            <w:tcW w:w="27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15,799,529</w:t>
            </w:r>
          </w:p>
        </w:tc>
        <w:tc>
          <w:tcPr>
            <w:tcW w:w="0" w:type="dxa"/>
            <w:vAlign w:val="bottom"/>
          </w:tcPr>
          <w:p>
            <w:pPr>
              <w:spacing w:after="0"/>
              <w:rPr>
                <w:sz w:val="1"/>
                <w:szCs w:val="1"/>
                <w:color w:val="auto"/>
              </w:rPr>
            </w:pPr>
          </w:p>
        </w:tc>
      </w:tr>
      <w:tr>
        <w:trPr>
          <w:trHeight w:val="181"/>
        </w:trPr>
        <w:tc>
          <w:tcPr>
            <w:tcW w:w="5500" w:type="dxa"/>
            <w:vAlign w:val="bottom"/>
          </w:tcPr>
          <w:p>
            <w:pPr>
              <w:ind w:left="900"/>
              <w:spacing w:after="0"/>
              <w:rPr>
                <w:sz w:val="20"/>
                <w:szCs w:val="20"/>
                <w:color w:val="auto"/>
              </w:rPr>
            </w:pPr>
            <w:r>
              <w:rPr>
                <w:rFonts w:ascii="Arial" w:cs="Arial" w:eastAsia="Arial" w:hAnsi="Arial"/>
                <w:sz w:val="14"/>
                <w:szCs w:val="14"/>
                <w:color w:val="auto"/>
              </w:rPr>
              <w:t>Net cash (used in)/provided by investing activities</w:t>
            </w:r>
          </w:p>
        </w:tc>
        <w:tc>
          <w:tcPr>
            <w:tcW w:w="27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(19,814,991)</w:t>
            </w:r>
          </w:p>
        </w:tc>
        <w:tc>
          <w:tcPr>
            <w:tcW w:w="1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10,037,123</w:t>
            </w:r>
          </w:p>
        </w:tc>
        <w:tc>
          <w:tcPr>
            <w:tcW w:w="0" w:type="dxa"/>
            <w:vAlign w:val="bottom"/>
          </w:tcPr>
          <w:p>
            <w:pPr>
              <w:spacing w:after="0"/>
              <w:rPr>
                <w:sz w:val="1"/>
                <w:szCs w:val="1"/>
                <w:color w:val="auto"/>
              </w:rPr>
            </w:pPr>
          </w:p>
        </w:tc>
      </w:tr>
      <w:tr>
        <w:trPr>
          <w:trHeight w:val="22"/>
        </w:trPr>
        <w:tc>
          <w:tcPr>
            <w:tcW w:w="550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used in financing activities:</w:t>
            </w:r>
          </w:p>
        </w:tc>
        <w:tc>
          <w:tcPr>
            <w:tcW w:w="27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300"/>
              <w:spacing w:after="0"/>
              <w:rPr>
                <w:sz w:val="20"/>
                <w:szCs w:val="20"/>
                <w:color w:val="auto"/>
              </w:rPr>
            </w:pPr>
            <w:r>
              <w:rPr>
                <w:rFonts w:ascii="Arial" w:cs="Arial" w:eastAsia="Arial" w:hAnsi="Arial"/>
                <w:sz w:val="14"/>
                <w:szCs w:val="14"/>
                <w:color w:val="auto"/>
              </w:rPr>
              <w:t>Payments on debt obligations</w:t>
            </w:r>
          </w:p>
        </w:tc>
        <w:tc>
          <w:tcPr>
            <w:tcW w:w="2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(625,000)</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(1,833,333)</w:t>
            </w: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Payments on finance lease obligations</w:t>
            </w:r>
          </w:p>
        </w:tc>
        <w:tc>
          <w:tcPr>
            <w:tcW w:w="27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(40,047)</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(46,653)</w:t>
            </w:r>
          </w:p>
        </w:tc>
        <w:tc>
          <w:tcPr>
            <w:tcW w:w="0" w:type="dxa"/>
            <w:vAlign w:val="bottom"/>
          </w:tcPr>
          <w:p>
            <w:pPr>
              <w:spacing w:after="0"/>
              <w:rPr>
                <w:sz w:val="1"/>
                <w:szCs w:val="1"/>
                <w:color w:val="auto"/>
              </w:rPr>
            </w:pPr>
          </w:p>
        </w:tc>
      </w:tr>
      <w:tr>
        <w:trPr>
          <w:trHeight w:val="191"/>
        </w:trPr>
        <w:tc>
          <w:tcPr>
            <w:tcW w:w="5500" w:type="dxa"/>
            <w:vAlign w:val="bottom"/>
          </w:tcPr>
          <w:p>
            <w:pPr>
              <w:ind w:left="300"/>
              <w:spacing w:after="0"/>
              <w:rPr>
                <w:sz w:val="20"/>
                <w:szCs w:val="20"/>
                <w:color w:val="auto"/>
              </w:rPr>
            </w:pPr>
            <w:r>
              <w:rPr>
                <w:rFonts w:ascii="Arial" w:cs="Arial" w:eastAsia="Arial" w:hAnsi="Arial"/>
                <w:sz w:val="14"/>
                <w:szCs w:val="14"/>
                <w:color w:val="auto"/>
              </w:rPr>
              <w:t>Purchase of treasury stock</w:t>
            </w:r>
          </w:p>
        </w:tc>
        <w:tc>
          <w:tcPr>
            <w:tcW w:w="2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(2,220,467)</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(466,894)</w:t>
            </w: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Proceeds from the exercise of options and warrants</w:t>
            </w:r>
          </w:p>
        </w:tc>
        <w:tc>
          <w:tcPr>
            <w:tcW w:w="27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447,954</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1,097,316</w:t>
            </w:r>
          </w:p>
        </w:tc>
        <w:tc>
          <w:tcPr>
            <w:tcW w:w="0" w:type="dxa"/>
            <w:vAlign w:val="bottom"/>
          </w:tcPr>
          <w:p>
            <w:pPr>
              <w:spacing w:after="0"/>
              <w:rPr>
                <w:sz w:val="1"/>
                <w:szCs w:val="1"/>
                <w:color w:val="auto"/>
              </w:rPr>
            </w:pPr>
          </w:p>
        </w:tc>
      </w:tr>
      <w:tr>
        <w:trPr>
          <w:trHeight w:val="181"/>
        </w:trPr>
        <w:tc>
          <w:tcPr>
            <w:tcW w:w="5500" w:type="dxa"/>
            <w:vAlign w:val="bottom"/>
          </w:tcPr>
          <w:p>
            <w:pPr>
              <w:ind w:left="900"/>
              <w:spacing w:after="0"/>
              <w:rPr>
                <w:sz w:val="20"/>
                <w:szCs w:val="20"/>
                <w:color w:val="auto"/>
              </w:rPr>
            </w:pPr>
            <w:r>
              <w:rPr>
                <w:rFonts w:ascii="Arial" w:cs="Arial" w:eastAsia="Arial" w:hAnsi="Arial"/>
                <w:sz w:val="14"/>
                <w:szCs w:val="14"/>
                <w:color w:val="auto"/>
              </w:rPr>
              <w:t>Net cash used in financing activities</w:t>
            </w:r>
          </w:p>
        </w:tc>
        <w:tc>
          <w:tcPr>
            <w:tcW w:w="27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(2,437,560)</w:t>
            </w:r>
          </w:p>
        </w:tc>
        <w:tc>
          <w:tcPr>
            <w:tcW w:w="1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(1,249,564)</w:t>
            </w:r>
          </w:p>
        </w:tc>
        <w:tc>
          <w:tcPr>
            <w:tcW w:w="0" w:type="dxa"/>
            <w:vAlign w:val="bottom"/>
          </w:tcPr>
          <w:p>
            <w:pPr>
              <w:spacing w:after="0"/>
              <w:rPr>
                <w:sz w:val="1"/>
                <w:szCs w:val="1"/>
                <w:color w:val="auto"/>
              </w:rPr>
            </w:pPr>
          </w:p>
        </w:tc>
      </w:tr>
      <w:tr>
        <w:trPr>
          <w:trHeight w:val="22"/>
        </w:trPr>
        <w:tc>
          <w:tcPr>
            <w:tcW w:w="550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27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(17,454,350)</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5,478,733</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Arial" w:cs="Arial" w:eastAsia="Arial" w:hAnsi="Arial"/>
                <w:sz w:val="14"/>
                <w:szCs w:val="14"/>
                <w:color w:val="auto"/>
              </w:rPr>
              <w:t>Cash and cash equivalents—beginning of period</w:t>
            </w:r>
          </w:p>
        </w:tc>
        <w:tc>
          <w:tcPr>
            <w:tcW w:w="2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42,460,267</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36,981,534</w:t>
            </w:r>
          </w:p>
        </w:tc>
        <w:tc>
          <w:tcPr>
            <w:tcW w:w="0" w:type="dxa"/>
            <w:vAlign w:val="bottom"/>
          </w:tcPr>
          <w:p>
            <w:pPr>
              <w:spacing w:after="0"/>
              <w:rPr>
                <w:sz w:val="1"/>
                <w:szCs w:val="1"/>
                <w:color w:val="auto"/>
              </w:rPr>
            </w:pPr>
          </w:p>
        </w:tc>
      </w:tr>
      <w:tr>
        <w:trPr>
          <w:trHeight w:val="22"/>
        </w:trPr>
        <w:tc>
          <w:tcPr>
            <w:tcW w:w="550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equivalents—end of period</w:t>
            </w:r>
          </w:p>
        </w:tc>
        <w:tc>
          <w:tcPr>
            <w:tcW w:w="3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25,005,917</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42,460,267</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500" w:type="dxa"/>
            <w:vAlign w:val="bottom"/>
            <w:vMerge w:val="continue"/>
          </w:tcPr>
          <w:p>
            <w:pPr>
              <w:spacing w:after="0"/>
              <w:rPr>
                <w:sz w:val="12"/>
                <w:szCs w:val="12"/>
                <w:color w:val="auto"/>
              </w:rPr>
            </w:pPr>
          </w:p>
        </w:tc>
        <w:tc>
          <w:tcPr>
            <w:tcW w:w="2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5500" w:type="dxa"/>
            <w:vAlign w:val="bottom"/>
          </w:tcPr>
          <w:p>
            <w:pPr>
              <w:spacing w:after="0"/>
              <w:rPr>
                <w:sz w:val="3"/>
                <w:szCs w:val="3"/>
                <w:color w:val="auto"/>
              </w:rPr>
            </w:pPr>
          </w:p>
        </w:tc>
        <w:tc>
          <w:tcPr>
            <w:tcW w:w="2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3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18,359</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117,616</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Arial" w:cs="Arial" w:eastAsia="Arial" w:hAnsi="Arial"/>
                <w:sz w:val="14"/>
                <w:szCs w:val="14"/>
                <w:color w:val="auto"/>
              </w:rPr>
              <w:t>Cash paid for income taxes</w:t>
            </w:r>
          </w:p>
        </w:tc>
        <w:tc>
          <w:tcPr>
            <w:tcW w:w="3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1,160,276</w:t>
            </w:r>
          </w:p>
        </w:tc>
        <w:tc>
          <w:tcPr>
            <w:tcW w:w="100" w:type="dxa"/>
            <w:vAlign w:val="bottom"/>
          </w:tcPr>
          <w:p>
            <w:pPr>
              <w:spacing w:after="0"/>
              <w:rPr>
                <w:sz w:val="16"/>
                <w:szCs w:val="16"/>
                <w:color w:val="auto"/>
              </w:rPr>
            </w:pPr>
          </w:p>
        </w:tc>
        <w:tc>
          <w:tcPr>
            <w:tcW w:w="600" w:type="dxa"/>
            <w:vAlign w:val="bottom"/>
          </w:tcPr>
          <w:p>
            <w:pPr>
              <w:jc w:val="right"/>
              <w:ind w:right="42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1,828,203</w:t>
            </w: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Non-cash investing and financing activity:</w:t>
            </w:r>
          </w:p>
        </w:tc>
        <w:tc>
          <w:tcPr>
            <w:tcW w:w="27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Arial" w:cs="Arial" w:eastAsia="Arial" w:hAnsi="Arial"/>
                <w:sz w:val="14"/>
                <w:szCs w:val="14"/>
                <w:color w:val="auto"/>
              </w:rPr>
              <w:t>Contingent liability for business combination</w:t>
            </w:r>
          </w:p>
        </w:tc>
        <w:tc>
          <w:tcPr>
            <w:tcW w:w="3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900,000</w:t>
            </w:r>
          </w:p>
        </w:tc>
        <w:tc>
          <w:tcPr>
            <w:tcW w:w="100" w:type="dxa"/>
            <w:vAlign w:val="bottom"/>
          </w:tcPr>
          <w:p>
            <w:pPr>
              <w:spacing w:after="0"/>
              <w:rPr>
                <w:sz w:val="16"/>
                <w:szCs w:val="16"/>
                <w:color w:val="auto"/>
              </w:rPr>
            </w:pPr>
          </w:p>
        </w:tc>
        <w:tc>
          <w:tcPr>
            <w:tcW w:w="600" w:type="dxa"/>
            <w:vAlign w:val="bottom"/>
          </w:tcPr>
          <w:p>
            <w:pPr>
              <w:jc w:val="right"/>
              <w:ind w:right="42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stock issued pursuant to restricted stock vesting</w:t>
            </w:r>
          </w:p>
        </w:tc>
        <w:tc>
          <w:tcPr>
            <w:tcW w:w="3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200,202</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Arial" w:cs="Arial" w:eastAsia="Arial" w:hAnsi="Arial"/>
                <w:sz w:val="14"/>
                <w:szCs w:val="14"/>
                <w:color w:val="auto"/>
              </w:rPr>
              <w:t>Dividend on preferred stock</w:t>
            </w:r>
          </w:p>
        </w:tc>
        <w:tc>
          <w:tcPr>
            <w:tcW w:w="3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285,450</w:t>
            </w:r>
          </w:p>
        </w:tc>
        <w:tc>
          <w:tcPr>
            <w:tcW w:w="100" w:type="dxa"/>
            <w:vAlign w:val="bottom"/>
          </w:tcPr>
          <w:p>
            <w:pPr>
              <w:spacing w:after="0"/>
              <w:rPr>
                <w:sz w:val="16"/>
                <w:szCs w:val="16"/>
                <w:color w:val="auto"/>
              </w:rPr>
            </w:pPr>
          </w:p>
        </w:tc>
        <w:tc>
          <w:tcPr>
            <w:tcW w:w="600" w:type="dxa"/>
            <w:vAlign w:val="bottom"/>
          </w:tcPr>
          <w:p>
            <w:pPr>
              <w:jc w:val="right"/>
              <w:ind w:right="42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257,302</w:t>
            </w:r>
          </w:p>
        </w:tc>
        <w:tc>
          <w:tcPr>
            <w:tcW w:w="0" w:type="dxa"/>
            <w:vAlign w:val="bottom"/>
          </w:tcPr>
          <w:p>
            <w:pPr>
              <w:spacing w:after="0"/>
              <w:rPr>
                <w:sz w:val="1"/>
                <w:szCs w:val="1"/>
                <w:color w:val="auto"/>
              </w:rPr>
            </w:pPr>
          </w:p>
        </w:tc>
      </w:tr>
      <w:tr>
        <w:trPr>
          <w:trHeight w:val="361"/>
        </w:trPr>
        <w:tc>
          <w:tcPr>
            <w:tcW w:w="5500" w:type="dxa"/>
            <w:vAlign w:val="bottom"/>
          </w:tcPr>
          <w:p>
            <w:pPr>
              <w:spacing w:after="0"/>
              <w:rPr>
                <w:sz w:val="24"/>
                <w:szCs w:val="24"/>
                <w:color w:val="auto"/>
              </w:rPr>
            </w:pPr>
          </w:p>
        </w:tc>
        <w:tc>
          <w:tcPr>
            <w:tcW w:w="2740" w:type="dxa"/>
            <w:vAlign w:val="bottom"/>
          </w:tcPr>
          <w:p>
            <w:pPr>
              <w:jc w:val="right"/>
              <w:ind w:right="2449"/>
              <w:spacing w:after="0"/>
              <w:rPr>
                <w:sz w:val="20"/>
                <w:szCs w:val="20"/>
                <w:color w:val="auto"/>
              </w:rPr>
            </w:pPr>
            <w:r>
              <w:rPr>
                <w:rFonts w:ascii="Arial" w:cs="Arial" w:eastAsia="Arial" w:hAnsi="Arial"/>
                <w:sz w:val="14"/>
                <w:szCs w:val="14"/>
                <w:color w:val="auto"/>
              </w:rPr>
              <w:t>47</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2"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20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0159"/>
          </w:cols>
          <w:pgMar w:left="300" w:top="125" w:right="1440"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79"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57"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2"/>
          <w:szCs w:val="12"/>
          <w:b w:val="1"/>
          <w:bCs w:val="1"/>
          <w:color w:val="auto"/>
        </w:rPr>
        <w:t>Organization and Summary of Significant Accounting Policies</w:t>
      </w:r>
    </w:p>
    <w:p>
      <w:pPr>
        <w:spacing w:after="0" w:line="76" w:lineRule="exact"/>
        <w:rPr>
          <w:sz w:val="20"/>
          <w:szCs w:val="20"/>
          <w:color w:val="auto"/>
        </w:rPr>
      </w:pPr>
    </w:p>
    <w:p>
      <w:pPr>
        <w:ind w:right="240" w:firstLine="340"/>
        <w:spacing w:after="0" w:line="281" w:lineRule="auto"/>
        <w:rPr>
          <w:sz w:val="20"/>
          <w:szCs w:val="20"/>
          <w:color w:val="auto"/>
        </w:rPr>
      </w:pPr>
      <w:r>
        <w:rPr>
          <w:rFonts w:ascii="Arial" w:cs="Arial" w:eastAsia="Arial" w:hAnsi="Arial"/>
          <w:sz w:val="14"/>
          <w:szCs w:val="14"/>
          <w:color w:val="auto"/>
        </w:rPr>
        <w:t>Luna Innovations Incorporated (“we” or the "Company”), headquartered in Roanoke, Virginia, was incorporated in the Commonwealth of Virginia in 1990 and reincorporated in the State of Delaware in April 2003.</w:t>
      </w:r>
    </w:p>
    <w:p>
      <w:pPr>
        <w:spacing w:after="0" w:line="132" w:lineRule="exact"/>
        <w:rPr>
          <w:sz w:val="20"/>
          <w:szCs w:val="20"/>
          <w:color w:val="auto"/>
        </w:rPr>
      </w:pPr>
    </w:p>
    <w:p>
      <w:pPr>
        <w:ind w:right="520" w:firstLine="340"/>
        <w:spacing w:after="0" w:line="321" w:lineRule="auto"/>
        <w:rPr>
          <w:sz w:val="20"/>
          <w:szCs w:val="20"/>
          <w:color w:val="auto"/>
        </w:rPr>
      </w:pPr>
      <w:r>
        <w:rPr>
          <w:rFonts w:ascii="Arial" w:cs="Arial" w:eastAsia="Arial" w:hAnsi="Arial"/>
          <w:sz w:val="13"/>
          <w:szCs w:val="13"/>
          <w:color w:val="auto"/>
        </w:rPr>
        <w:t>We are a leader in advanced optical technology, providing high performance fiber optic test, measurement and control products for the telecommunications and photonics industries and distributed fiber optic sensing products for industries utilizing composite and other advanced materials, such as the automotive, aerospace, energy and infrastructure industries.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Consolidation Policy</w:t>
      </w:r>
    </w:p>
    <w:p>
      <w:pPr>
        <w:spacing w:after="0" w:line="136" w:lineRule="exact"/>
        <w:rPr>
          <w:sz w:val="20"/>
          <w:szCs w:val="20"/>
          <w:color w:val="auto"/>
        </w:rPr>
      </w:pPr>
    </w:p>
    <w:p>
      <w:pPr>
        <w:ind w:right="40" w:firstLine="340"/>
        <w:spacing w:after="0" w:line="281" w:lineRule="auto"/>
        <w:rPr>
          <w:sz w:val="20"/>
          <w:szCs w:val="20"/>
          <w:color w:val="auto"/>
        </w:rPr>
      </w:pPr>
      <w:r>
        <w:rPr>
          <w:rFonts w:ascii="Arial" w:cs="Arial" w:eastAsia="Arial" w:hAnsi="Arial"/>
          <w:sz w:val="14"/>
          <w:szCs w:val="14"/>
          <w:color w:val="auto"/>
        </w:rPr>
        <w:t>Our consolidated financial statements are prepared in accordance with accounting principles generally accepted in the United States ("GAAP") and include our accounts and the accounts of our wholly owned subsidiaries. We eliminate from our financial results all intercompany transactions.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Use of Estimates</w:t>
      </w:r>
    </w:p>
    <w:p>
      <w:pPr>
        <w:spacing w:after="0" w:line="72" w:lineRule="exact"/>
        <w:rPr>
          <w:sz w:val="20"/>
          <w:szCs w:val="20"/>
          <w:color w:val="auto"/>
        </w:rPr>
      </w:pPr>
    </w:p>
    <w:p>
      <w:pPr>
        <w:ind w:right="20" w:firstLine="340"/>
        <w:spacing w:after="0" w:line="281" w:lineRule="auto"/>
        <w:rPr>
          <w:sz w:val="20"/>
          <w:szCs w:val="20"/>
          <w:color w:val="auto"/>
        </w:rPr>
      </w:pPr>
      <w:r>
        <w:rPr>
          <w:rFonts w:ascii="Arial" w:cs="Arial" w:eastAsia="Arial" w:hAnsi="Arial"/>
          <w:sz w:val="14"/>
          <w:szCs w:val="14"/>
          <w:color w:val="auto"/>
        </w:rPr>
        <w:t>The preparation of our consolidated financial statements in accordance with GAAP requires us to make estimates and assumptions that affect the reported amounts of assets, liabilities, revenues and expenses and the disclosure of contingent assets and liabilities in our consolidated financial statements and accompanying notes.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Although these estimates are based on our knowledge of current events and actions we may undertake in the future, actual results may differ from such estimates and assumptions.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Recognition</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Products and Licensing Revenues</w:t>
      </w:r>
    </w:p>
    <w:p>
      <w:pPr>
        <w:spacing w:after="0" w:line="72" w:lineRule="exact"/>
        <w:rPr>
          <w:sz w:val="20"/>
          <w:szCs w:val="20"/>
          <w:color w:val="auto"/>
        </w:rPr>
      </w:pPr>
    </w:p>
    <w:p>
      <w:pPr>
        <w:jc w:val="both"/>
        <w:ind w:right="160" w:firstLine="340"/>
        <w:spacing w:after="0" w:line="267" w:lineRule="auto"/>
        <w:rPr>
          <w:sz w:val="20"/>
          <w:szCs w:val="20"/>
          <w:color w:val="auto"/>
        </w:rPr>
      </w:pPr>
      <w:r>
        <w:rPr>
          <w:rFonts w:ascii="Arial" w:cs="Arial" w:eastAsia="Arial" w:hAnsi="Arial"/>
          <w:sz w:val="14"/>
          <w:szCs w:val="14"/>
          <w:color w:val="auto"/>
        </w:rPr>
        <w:t>Revenues from product sales are generated by the sale of commercial products and services under various sales programs to the end user and through distribution channels. We sell fiber optic test and sensing systems to end users for use in numerous fiber optic-based measurement applications. Revenues are recorded net of applicable sales taxes collected from customers and payable to state or local governmental entities.</w:t>
      </w:r>
    </w:p>
    <w:p>
      <w:pPr>
        <w:spacing w:after="0" w:line="205" w:lineRule="exact"/>
        <w:rPr>
          <w:sz w:val="20"/>
          <w:szCs w:val="20"/>
          <w:color w:val="auto"/>
        </w:rPr>
      </w:pPr>
    </w:p>
    <w:p>
      <w:pPr>
        <w:ind w:firstLine="318"/>
        <w:spacing w:after="0" w:line="276" w:lineRule="auto"/>
        <w:rPr>
          <w:sz w:val="20"/>
          <w:szCs w:val="20"/>
          <w:color w:val="auto"/>
        </w:rPr>
      </w:pPr>
      <w:r>
        <w:rPr>
          <w:rFonts w:ascii="Arial" w:cs="Arial" w:eastAsia="Arial" w:hAnsi="Arial"/>
          <w:sz w:val="13"/>
          <w:szCs w:val="13"/>
          <w:color w:val="auto"/>
        </w:rPr>
        <w:t>For Products and Licensing contracts, we evaluate whether two or more contracts should be combined and accounted for as one single contract and whether the combined or single contract should be accounted for as more than one performance obligation. We recognize revenue when the performance obligation has been satisfied by transferring the control of the product or service to the customer. For tangible products that contain software that is essential to the tangible product’s functionality, we consider the product and software to be a single performance obligation. For contracts with multiple performance obligations, we allocate the contract’s transaction price to each performance obligation based on their relative stand-alone selling prices. In such circumstances, we use the observable price of goods or services which are sold separately in similar circumstances to similar customers. If these prices are not observable, then we will estimate the stand-alone selling price using information that is reasonably available. For the majority of our standard products and services, price list and discount structures related to customer type are available. For products and services that do not have price list and discount structures, we may use one or more of the following: (i) adjusted market assessment approach, (ii) expected cost-plus a margin approach, and (iii) residual approach. The adjusted market approach requires us to evaluate the market in which we sell goods or services and estimate the price that a customer in that market would be willing to pay for those goods or services. The expected cost plus margin approach requires us to forecast our expected costs of satisfying the performance obligation and then add a reasonable margin for that good or service. The residual approach decreases the total transaction price by the sum of the observable standalone selling prices if either the company sells the same good or services to different customers for a broad range of amounts or the company has not established a price for the good or service and that good or service has not been sold on a standalone basis. Shipping and handling activities primarily occur after a customer obtains control and are considered fulfillment cost rather than separate performance obligations. Similarly, sales and similar taxes assessed by a governmental authority that are both imposed on and concurrent with a specific revenue-producing transaction and collected by the entity from a customer are excluded from the measurement of the transaction price.</w:t>
      </w:r>
    </w:p>
    <w:p>
      <w:pPr>
        <w:spacing w:after="0" w:line="140" w:lineRule="exact"/>
        <w:rPr>
          <w:sz w:val="20"/>
          <w:szCs w:val="20"/>
          <w:color w:val="auto"/>
        </w:rPr>
      </w:pPr>
    </w:p>
    <w:p>
      <w:pPr>
        <w:ind w:right="380" w:firstLine="318"/>
        <w:spacing w:after="0" w:line="368" w:lineRule="auto"/>
        <w:rPr>
          <w:sz w:val="20"/>
          <w:szCs w:val="20"/>
          <w:color w:val="auto"/>
        </w:rPr>
      </w:pPr>
      <w:r>
        <w:rPr>
          <w:rFonts w:ascii="Arial" w:cs="Arial" w:eastAsia="Arial" w:hAnsi="Arial"/>
          <w:sz w:val="12"/>
          <w:szCs w:val="12"/>
          <w:color w:val="auto"/>
        </w:rPr>
        <w:t>For standard products, we recognize revenue at a point in time when control passes to the customer. Absent substantial product acceptance clauses, this is based on the shipping terms. For custom products that require engineering and development based on customer requirements, we will recognize revenue over time using the output method for any items shipped and any</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80"/>
          </w:cols>
          <w:pgMar w:left="300" w:top="125" w:right="31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3"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finished goods or work in process that is produced for balances of open sales orders. For any finished goods or work in process that has been produced for the balance of open sales orders we recognize revenue by applying the average selling price for such open order to the lesser of the on-hand balance in finished goods or open sales order quantity which we present as a contract asset on the balance sheet. Cost of sales is recognized based on the standard cost of the finished goods and work in process associated with this revenue and inventory balances are reduced accordingly. For extended warranties and product rentals, revenue is recognized over time using the output method based on the time elapsed for the warranty or service period. In the case of warranties, we record a contract liability for amounts billed but that are not recognized until subsequent periods. A separate contract liability is recorded for the cost associated with warranty repairs based on our estimate of future expense. For testing services where we are performing testing on an asset the customer controls, revenue is recognized over time by the output method using the performance to date. For training where the customer is receiving the benefit of training as it is occurring and for repairs to a customer-controlled asset, revenue is recognized over time by the output method using the performance to date. For royalty revenue, we apply the practical expedient “royalty exception” recognizing revenue based on the royalty agreement which specifies an amount based on sales or minimum amount, whichever is greater.</w:t>
      </w:r>
    </w:p>
    <w:p>
      <w:pPr>
        <w:spacing w:after="0" w:line="173" w:lineRule="exact"/>
        <w:rPr>
          <w:sz w:val="20"/>
          <w:szCs w:val="20"/>
          <w:color w:val="auto"/>
        </w:rPr>
      </w:pPr>
    </w:p>
    <w:p>
      <w:pPr>
        <w:jc w:val="both"/>
        <w:ind w:right="20" w:firstLine="318"/>
        <w:spacing w:after="0" w:line="267" w:lineRule="auto"/>
        <w:rPr>
          <w:sz w:val="20"/>
          <w:szCs w:val="20"/>
          <w:color w:val="auto"/>
        </w:rPr>
      </w:pPr>
      <w:r>
        <w:rPr>
          <w:rFonts w:ascii="Arial" w:cs="Arial" w:eastAsia="Arial" w:hAnsi="Arial"/>
          <w:sz w:val="14"/>
          <w:szCs w:val="14"/>
          <w:color w:val="auto"/>
        </w:rPr>
        <w:t>In some product rental contracts, a customer may be offered a discount on the purchase of an item that would provide for a material right. When a material right has been provided to a customer, a separate performance obligation is established, and a portion of the rental revenue will be deferred until the future product is purchased or the option expires. This deferred revenue is recognized as a contract liability on the balance sheet.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Technology Development Revenues</w:t>
      </w:r>
    </w:p>
    <w:p>
      <w:pPr>
        <w:spacing w:after="0" w:line="179" w:lineRule="exact"/>
        <w:rPr>
          <w:sz w:val="20"/>
          <w:szCs w:val="20"/>
          <w:color w:val="auto"/>
        </w:rPr>
      </w:pPr>
    </w:p>
    <w:p>
      <w:pPr>
        <w:ind w:right="160" w:firstLine="318"/>
        <w:spacing w:after="0" w:line="267" w:lineRule="auto"/>
        <w:rPr>
          <w:sz w:val="20"/>
          <w:szCs w:val="20"/>
          <w:color w:val="auto"/>
        </w:rPr>
      </w:pPr>
      <w:r>
        <w:rPr>
          <w:rFonts w:ascii="Arial" w:cs="Arial" w:eastAsia="Arial" w:hAnsi="Arial"/>
          <w:sz w:val="14"/>
          <w:szCs w:val="14"/>
          <w:color w:val="auto"/>
        </w:rPr>
        <w:t>We perform research and development for U.S. Federal government agencies, educational institutions and commercial organizations. We account for a research contract when a contract has been executed, the rights of the parties are identified, payment terms are identified, the contract has commercial substance, and collectability of the contract price is considered probable. Revenue is earned under cost reimbursable, time and materials and fixed price contracts. Direct contract costs are expensed as incurred.</w:t>
      </w:r>
    </w:p>
    <w:p>
      <w:pPr>
        <w:spacing w:after="0" w:line="142" w:lineRule="exact"/>
        <w:rPr>
          <w:sz w:val="20"/>
          <w:szCs w:val="20"/>
          <w:color w:val="auto"/>
        </w:rPr>
      </w:pPr>
    </w:p>
    <w:p>
      <w:pPr>
        <w:ind w:right="80" w:firstLine="318"/>
        <w:spacing w:after="0" w:line="262" w:lineRule="auto"/>
        <w:rPr>
          <w:sz w:val="20"/>
          <w:szCs w:val="20"/>
          <w:color w:val="auto"/>
        </w:rPr>
      </w:pPr>
      <w:r>
        <w:rPr>
          <w:rFonts w:ascii="Arial" w:cs="Arial" w:eastAsia="Arial" w:hAnsi="Arial"/>
          <w:sz w:val="14"/>
          <w:szCs w:val="14"/>
          <w:color w:val="auto"/>
        </w:rPr>
        <w:t>Our contracts with agencies of the U.S. government are subject to periodic funding by the respective contracting agency. Funding for a contract may be provided in full at inception of the contract or ratably throughout the contract as the services are provided. In evaluating the probability of funding for purposes of assessing collectability of the contract price, we consider our previous experience with our customers, communication with our customers regarding funding status and our knowledge of available funding for the contract or program. If funding is not assessed as probable, revenue recognition is deferred until realization is reasonably assured.</w:t>
      </w:r>
    </w:p>
    <w:p>
      <w:pPr>
        <w:spacing w:after="0" w:line="146"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Under the typical payment terms of our U.S. government contracts, the customer pays us either performance-based payments ("PBPs") or progress payments. PBPs, which are typically used in the firm fixed price contracts, are interim payments based on quantifiable measures of performance or on the achievement of specified events or milestones. Progress payments, which are typically used in our cost type contracts, are interim payments based on costs incurred as the work progresses. For our U.S. government cost-type contracts, the customer generally pays us during the performance period for 80% to 90% of our actual costs incurred. Because the customer retains a small portion of the contract price until completion of the contract and audit of allowable costs, cost type contracts generally result in revenue recognized in excess of billings which we present as contract assets on the balance sheet. Amounts billed and due from our customers are classified as receivables on the balance sheet. For non-U.S. government contracts, we typically receive interim payments as work progresses, although for some contracts, we may be entitled to receive an advance payment. We recognize a liability for these advance payments and PBPs paid in advance which are in excess of the revenue recognized and present these amounts as contract liabilities on the balance sheet.</w:t>
      </w:r>
    </w:p>
    <w:p>
      <w:pPr>
        <w:spacing w:after="0" w:line="149" w:lineRule="exact"/>
        <w:rPr>
          <w:sz w:val="20"/>
          <w:szCs w:val="20"/>
          <w:color w:val="auto"/>
        </w:rPr>
      </w:pPr>
    </w:p>
    <w:p>
      <w:pPr>
        <w:ind w:right="180" w:firstLine="318"/>
        <w:spacing w:after="0" w:line="313" w:lineRule="auto"/>
        <w:rPr>
          <w:sz w:val="20"/>
          <w:szCs w:val="20"/>
          <w:color w:val="auto"/>
        </w:rPr>
      </w:pPr>
      <w:r>
        <w:rPr>
          <w:rFonts w:ascii="Arial" w:cs="Arial" w:eastAsia="Arial" w:hAnsi="Arial"/>
          <w:sz w:val="12"/>
          <w:szCs w:val="12"/>
          <w:color w:val="auto"/>
        </w:rPr>
        <w:t>To determine the proper revenue recognition method for research and development contracts, we evaluate whether two or more contracts should be combined and accounted for as one single modified contract and whether the combined or single contract should be accounted for as more than one performance obligation. For instances where a contract has options that were bid with the initial contract and awarded at a later date, we combine the options with the original contract when options are awarded. For most of our contracts, the customer contracts for research with multiple milestones that are interdependent. Consequently, the entire contract is accounted for as one performance obligation. The effect of the combined or modified contract on the transaction price and measure of progress for the performance obligation to which it relates, is recognized as an adjustment to revenue (either as an increase in or a reduction of revenue) on a cumulative catch-up basis.</w:t>
      </w:r>
    </w:p>
    <w:p>
      <w:pPr>
        <w:spacing w:after="0" w:line="119" w:lineRule="exact"/>
        <w:rPr>
          <w:sz w:val="20"/>
          <w:szCs w:val="20"/>
          <w:color w:val="auto"/>
        </w:rPr>
      </w:pPr>
    </w:p>
    <w:p>
      <w:pPr>
        <w:ind w:right="220" w:firstLine="318"/>
        <w:spacing w:after="0" w:line="281" w:lineRule="auto"/>
        <w:rPr>
          <w:sz w:val="20"/>
          <w:szCs w:val="20"/>
          <w:color w:val="auto"/>
        </w:rPr>
      </w:pPr>
      <w:r>
        <w:rPr>
          <w:rFonts w:ascii="Arial" w:cs="Arial" w:eastAsia="Arial" w:hAnsi="Arial"/>
          <w:sz w:val="14"/>
          <w:szCs w:val="14"/>
          <w:color w:val="auto"/>
        </w:rPr>
        <w:t>Contract revenue recognition is measured over time as we perform because of continuous transfer of control to the customer. For U.S. government contracts which are typically subject to the Federal Acquisition Regulation, this continuous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80"/>
          </w:cols>
          <w:pgMar w:left="300" w:top="125" w:right="31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3"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transfer of control to the customer is supported by clauses in the contract that allow the customer to unilaterally terminate the contract for convenience, pay us for cost incurred plus a reasonable profit and take control of any work in process. From time to time, as part of normal management processes, facts may change, causing revisions to estimated total costs or revenues expected. The cumulative impact of any revisions to estimates and the full impact of anticipated losses on any type of contract are recognized in the period in which they become known.</w:t>
      </w:r>
    </w:p>
    <w:p>
      <w:pPr>
        <w:spacing w:after="0" w:line="124" w:lineRule="exact"/>
        <w:rPr>
          <w:sz w:val="20"/>
          <w:szCs w:val="20"/>
          <w:color w:val="auto"/>
        </w:rPr>
      </w:pPr>
    </w:p>
    <w:p>
      <w:pPr>
        <w:ind w:right="20" w:firstLine="318"/>
        <w:spacing w:after="0" w:line="305" w:lineRule="auto"/>
        <w:rPr>
          <w:sz w:val="20"/>
          <w:szCs w:val="20"/>
          <w:color w:val="auto"/>
        </w:rPr>
      </w:pPr>
      <w:r>
        <w:rPr>
          <w:rFonts w:ascii="Arial" w:cs="Arial" w:eastAsia="Arial" w:hAnsi="Arial"/>
          <w:sz w:val="12"/>
          <w:szCs w:val="12"/>
          <w:color w:val="auto"/>
        </w:rPr>
        <w:t>Because of control transferring over time, revenue is recognized based on the extent of progress towards completion of the performance obligation. The selection of the method to measure progress towards completion requires judgment and is based on the nature of the services to be provided. We generally use the input method, more specifically the cost-to-cost measure of progress for our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The underlying bases for estimating our contract research revenues are measurable expenses, such as labor, subcontractor costs and materials, and data that are updated on a regular basis for purposes of preparing our cost estimates. Our research contracts generally have a period of performance of six months to three years, and our estimates of contract costs have historically been consistent with actual results. Revisions in these estimates between accounting periods to reflect changing facts and circumstances have not had a material impact on our operating results, and we do not expect future changes in these estimates to be material. The cumulative impact of any revisions to estimates and the full impact of anticipated losses on any type of contract are recognized in the period in which they become known.</w:t>
      </w:r>
    </w:p>
    <w:p>
      <w:pPr>
        <w:spacing w:after="0" w:line="125" w:lineRule="exact"/>
        <w:rPr>
          <w:sz w:val="20"/>
          <w:szCs w:val="20"/>
          <w:color w:val="auto"/>
        </w:rPr>
      </w:pPr>
    </w:p>
    <w:p>
      <w:pPr>
        <w:ind w:right="300" w:firstLine="318"/>
        <w:spacing w:after="0" w:line="267" w:lineRule="auto"/>
        <w:rPr>
          <w:sz w:val="20"/>
          <w:szCs w:val="20"/>
          <w:color w:val="auto"/>
        </w:rPr>
      </w:pPr>
      <w:r>
        <w:rPr>
          <w:rFonts w:ascii="Arial" w:cs="Arial" w:eastAsia="Arial" w:hAnsi="Arial"/>
          <w:sz w:val="14"/>
          <w:szCs w:val="14"/>
          <w:color w:val="auto"/>
        </w:rPr>
        <w:t>Under cost reimbursable contracts, we are reimbursed for costs that are determined to be reasonable, allowable and allocable to the contract and paid a fixed fee representing the profit negotiated between us and the contracting agency. Revenue from cost reimbursable contracts is recognized as costs are incurred plus an estimate of applicable fees earned. We consider fixed fees under cost reimbursable contracts to be earned in proportion to the allowable costs incurred in performance of the contract.</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Revenue from time and materials contracts is recognized based on direct labor hours expended at contract billing rates plus other billable direct costs.</w:t>
      </w:r>
    </w:p>
    <w:p>
      <w:pPr>
        <w:spacing w:after="0" w:line="179"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Fixed price contracts may include either a product delivery or specific service performance throughout a period. For fixed price contracts that are based on the proportional performance method and involve a specified number of deliverables, we recognize revenue based on the proportion of the cost of the deliverables compared to the cost of all deliverables included in the contract as this method more accurately measures performance under these arrangements. For fixed price contracts that provide for the development and delivery of a specific prototype or product, revenue is recognized based upon the percentage of completion method.</w:t>
      </w:r>
    </w:p>
    <w:p>
      <w:pPr>
        <w:spacing w:after="0" w:line="146"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Whether certain costs under government contracts are allowable is subject to audit by the government. Certain indirect costs are charged to contracts using provisional or estimated indirect rates, which are subject to later revision based on government audits of those costs. Management is of the opinion that costs subsequently disallowed, if any, would not likely have a significant impact on revenues recognized for those contracts.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Allowance for Uncollectible Receivables</w:t>
      </w:r>
    </w:p>
    <w:p>
      <w:pPr>
        <w:spacing w:after="0" w:line="72" w:lineRule="exact"/>
        <w:rPr>
          <w:sz w:val="20"/>
          <w:szCs w:val="20"/>
          <w:color w:val="auto"/>
        </w:rPr>
      </w:pPr>
    </w:p>
    <w:p>
      <w:pPr>
        <w:ind w:right="160" w:firstLine="340"/>
        <w:spacing w:after="0" w:line="267" w:lineRule="auto"/>
        <w:rPr>
          <w:sz w:val="20"/>
          <w:szCs w:val="20"/>
          <w:color w:val="auto"/>
        </w:rPr>
      </w:pPr>
      <w:r>
        <w:rPr>
          <w:rFonts w:ascii="Arial" w:cs="Arial" w:eastAsia="Arial" w:hAnsi="Arial"/>
          <w:sz w:val="14"/>
          <w:szCs w:val="14"/>
          <w:color w:val="auto"/>
        </w:rPr>
        <w:t>Accounts receivable are recorded at their face amount, less an allowance for doubtful accounts. We review the status of our uncollected receivables on a regular basis. In determining the need for an allowance for uncollectible receivables, we consider our customers’ financial stability, past payment history and other factors that bare on the ultimate collection of such amounts. The allowance was $0.9 million and $0.3 million at each of December 31, 2019 and 2018,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Equivalents</w:t>
      </w:r>
    </w:p>
    <w:p>
      <w:pPr>
        <w:spacing w:after="0" w:line="136" w:lineRule="exact"/>
        <w:rPr>
          <w:sz w:val="20"/>
          <w:szCs w:val="20"/>
          <w:color w:val="auto"/>
        </w:rPr>
      </w:pPr>
    </w:p>
    <w:p>
      <w:pPr>
        <w:ind w:right="20" w:firstLine="340"/>
        <w:spacing w:after="0" w:line="260" w:lineRule="auto"/>
        <w:rPr>
          <w:sz w:val="20"/>
          <w:szCs w:val="20"/>
          <w:color w:val="auto"/>
        </w:rPr>
      </w:pPr>
      <w:r>
        <w:rPr>
          <w:rFonts w:ascii="Arial" w:cs="Arial" w:eastAsia="Arial" w:hAnsi="Arial"/>
          <w:sz w:val="14"/>
          <w:szCs w:val="14"/>
          <w:color w:val="auto"/>
        </w:rPr>
        <w:t>We consider all highly liquid investments with maturities of three months or less when purchased to be cash equivalents. To date, we have not incurred losses related to cash and cash equivalents. Cash equivalents at December 31, 2019 and 2018 included $19.8 million and $38.3 million, respectively, invested in U.S. Treasury obligations through a sweep account with our bank. The full value of amounts invested through the sweep account are convertible to cash on a daily basis. Our cash transactions are processed through reputable commercial banks. We regularly maintain cash balances with financial institutions which exceed Federal Deposit Insurance Corporation (“FDIC”) insurance limits. At December 31, 2019 and 2018, we had approximately $5.0 million and $4.0 million, respectively, in excess of FDIC insured limits.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Fair Value Measurements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80"/>
          </w:cols>
          <w:pgMar w:left="300" w:top="125" w:right="31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jc w:val="both"/>
        <w:ind w:right="60" w:firstLine="340"/>
        <w:spacing w:after="0" w:line="267" w:lineRule="auto"/>
        <w:rPr>
          <w:sz w:val="20"/>
          <w:szCs w:val="20"/>
          <w:color w:val="auto"/>
        </w:rPr>
      </w:pPr>
      <w:r>
        <w:rPr>
          <w:rFonts w:ascii="Arial" w:cs="Arial" w:eastAsia="Arial" w:hAnsi="Arial"/>
          <w:sz w:val="14"/>
          <w:szCs w:val="14"/>
          <w:color w:val="auto"/>
        </w:rPr>
        <w:t>Our financial assets and liabilities are measured at fair value, which is defined as the price that would be received to sell an asset, or paid to transfer a liability, in an orderly transaction between market participants. Valuation techniques are based on observable or unobservable inputs. Observable inputs reflect market data obtained from independent sources, while unobservable inputs reflect our market assumptions. These two types of inputs have created the following fair value hierarchy:</w:t>
      </w:r>
    </w:p>
    <w:p>
      <w:pPr>
        <w:spacing w:after="0" w:line="57" w:lineRule="exact"/>
        <w:rPr>
          <w:sz w:val="20"/>
          <w:szCs w:val="20"/>
          <w:color w:val="auto"/>
        </w:rPr>
      </w:pPr>
    </w:p>
    <w:p>
      <w:pPr>
        <w:ind w:left="420" w:hanging="245"/>
        <w:spacing w:after="0"/>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Level 1—Quoted prices for identical instruments in active markets.</w:t>
      </w:r>
    </w:p>
    <w:p>
      <w:pPr>
        <w:spacing w:after="0" w:line="93" w:lineRule="exact"/>
        <w:rPr>
          <w:rFonts w:ascii="Arial" w:cs="Arial" w:eastAsia="Arial" w:hAnsi="Arial"/>
          <w:sz w:val="14"/>
          <w:szCs w:val="14"/>
          <w:color w:val="auto"/>
        </w:rPr>
      </w:pPr>
    </w:p>
    <w:p>
      <w:pPr>
        <w:ind w:left="420" w:right="380" w:hanging="245"/>
        <w:spacing w:after="0" w:line="281" w:lineRule="auto"/>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Level 2—Quoted prices for similar instruments in active markets; quoted prices for identical or similar instruments in markets that are not active; and model-derived valuations in which significant value drivers are observable.</w:t>
      </w:r>
    </w:p>
    <w:p>
      <w:pPr>
        <w:spacing w:after="0" w:line="47" w:lineRule="exact"/>
        <w:rPr>
          <w:rFonts w:ascii="Arial" w:cs="Arial" w:eastAsia="Arial" w:hAnsi="Arial"/>
          <w:sz w:val="14"/>
          <w:szCs w:val="14"/>
          <w:color w:val="auto"/>
        </w:rPr>
      </w:pPr>
    </w:p>
    <w:p>
      <w:pPr>
        <w:ind w:left="420" w:hanging="245"/>
        <w:spacing w:after="0"/>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Level 3—Valuations derived from valuation techniques in which significant value drivers are unobservable.</w:t>
      </w:r>
    </w:p>
    <w:p>
      <w:pPr>
        <w:spacing w:after="0" w:line="136" w:lineRule="exact"/>
        <w:rPr>
          <w:sz w:val="20"/>
          <w:szCs w:val="20"/>
          <w:color w:val="auto"/>
        </w:rPr>
      </w:pPr>
    </w:p>
    <w:p>
      <w:pPr>
        <w:ind w:right="20" w:firstLine="340"/>
        <w:spacing w:after="0" w:line="262" w:lineRule="auto"/>
        <w:rPr>
          <w:sz w:val="20"/>
          <w:szCs w:val="20"/>
          <w:color w:val="auto"/>
        </w:rPr>
      </w:pPr>
      <w:r>
        <w:rPr>
          <w:rFonts w:ascii="Arial" w:cs="Arial" w:eastAsia="Arial" w:hAnsi="Arial"/>
          <w:sz w:val="14"/>
          <w:szCs w:val="14"/>
          <w:color w:val="auto"/>
        </w:rPr>
        <w:t>The carrying values of cash and cash equivalents, accounts receivable, accounts payable and accrued liabilities approximate fair value because of the short-term nature of these instruments. The carrying amount of lease liabilities approximate fair value because these financial instruments bear interest at rates that approximate current market rates for similar agreements with similar maturities and credit. We consider the terms of the Silicon Valley Bank ("SVB") debt facility including its interest rate of prime plus 1%, to be at market based upon similar instruments that would be available to us.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Property and Equipment, net</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Property and equipment are stated at cost less accumulated depreciation. We record depreciation using the straight-line method over the following estimated useful lives: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Equipment</w:t>
            </w:r>
          </w:p>
        </w:tc>
        <w:tc>
          <w:tcPr>
            <w:tcW w:w="7660" w:type="dxa"/>
            <w:vAlign w:val="bottom"/>
            <w:shd w:val="clear" w:color="auto" w:fill="CCEEFF"/>
          </w:tcPr>
          <w:p>
            <w:pPr>
              <w:ind w:left="2160"/>
              <w:spacing w:after="0"/>
              <w:rPr>
                <w:sz w:val="20"/>
                <w:szCs w:val="20"/>
                <w:color w:val="auto"/>
              </w:rPr>
            </w:pPr>
            <w:r>
              <w:rPr>
                <w:rFonts w:ascii="Arial" w:cs="Arial" w:eastAsia="Arial" w:hAnsi="Arial"/>
                <w:sz w:val="14"/>
                <w:szCs w:val="14"/>
                <w:color w:val="auto"/>
              </w:rPr>
              <w:t>3 – 7 years</w:t>
            </w: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7660" w:type="dxa"/>
            <w:vAlign w:val="bottom"/>
          </w:tcPr>
          <w:p>
            <w:pPr>
              <w:ind w:left="2160"/>
              <w:spacing w:after="0"/>
              <w:rPr>
                <w:sz w:val="20"/>
                <w:szCs w:val="20"/>
                <w:color w:val="auto"/>
              </w:rPr>
            </w:pPr>
            <w:r>
              <w:rPr>
                <w:rFonts w:ascii="Arial" w:cs="Arial" w:eastAsia="Arial" w:hAnsi="Arial"/>
                <w:sz w:val="14"/>
                <w:szCs w:val="14"/>
                <w:color w:val="auto"/>
              </w:rPr>
              <w:t>7 years</w:t>
            </w:r>
          </w:p>
        </w:tc>
      </w:tr>
      <w:tr>
        <w:trPr>
          <w:trHeight w:val="22"/>
        </w:trPr>
        <w:tc>
          <w:tcPr>
            <w:tcW w:w="36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Software</w:t>
            </w:r>
          </w:p>
        </w:tc>
        <w:tc>
          <w:tcPr>
            <w:tcW w:w="766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4"/>
                <w:szCs w:val="14"/>
                <w:color w:val="auto"/>
              </w:rPr>
              <w:t>3 years</w:t>
            </w: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7660" w:type="dxa"/>
            <w:vAlign w:val="bottom"/>
          </w:tcPr>
          <w:p>
            <w:pPr>
              <w:ind w:left="2160"/>
              <w:spacing w:after="0"/>
              <w:rPr>
                <w:sz w:val="20"/>
                <w:szCs w:val="20"/>
                <w:color w:val="auto"/>
              </w:rPr>
            </w:pPr>
            <w:r>
              <w:rPr>
                <w:rFonts w:ascii="Arial" w:cs="Arial" w:eastAsia="Arial" w:hAnsi="Arial"/>
                <w:sz w:val="14"/>
                <w:szCs w:val="14"/>
                <w:color w:val="auto"/>
              </w:rPr>
              <w:t>Lesser of lease term or life of improvements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Intangible Assets</w:t>
      </w:r>
    </w:p>
    <w:p>
      <w:pPr>
        <w:spacing w:after="0" w:line="72" w:lineRule="exact"/>
        <w:rPr>
          <w:sz w:val="20"/>
          <w:szCs w:val="20"/>
          <w:color w:val="auto"/>
        </w:rPr>
      </w:pPr>
    </w:p>
    <w:p>
      <w:pPr>
        <w:ind w:right="20" w:firstLine="340"/>
        <w:spacing w:after="0" w:line="262" w:lineRule="auto"/>
        <w:rPr>
          <w:sz w:val="20"/>
          <w:szCs w:val="20"/>
          <w:color w:val="auto"/>
        </w:rPr>
      </w:pPr>
      <w:r>
        <w:rPr>
          <w:rFonts w:ascii="Arial" w:cs="Arial" w:eastAsia="Arial" w:hAnsi="Arial"/>
          <w:sz w:val="14"/>
          <w:szCs w:val="14"/>
          <w:color w:val="auto"/>
        </w:rPr>
        <w:t>Intangible assets consist of patents related to certain intellectual property that we have developed or acquired, and identifiable intangible assets recognized in connection with our merger with Advanced Photonix, Inc. ("API"), Micron Optics, Inc. ("MOI"), and General Photonics, Inc. ("GP"). We amortize our identified intangible assets over their estimated useful lives ranging between one and fifteen years and analyze the reasonableness of the remaining useful life whenever events or circumstances indicate that the carrying amount may not be recoverable to determine whether their carrying value has been impaired.</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w:t>
      </w:r>
    </w:p>
    <w:p>
      <w:pPr>
        <w:spacing w:after="0" w:line="72" w:lineRule="exact"/>
        <w:rPr>
          <w:sz w:val="20"/>
          <w:szCs w:val="20"/>
          <w:color w:val="auto"/>
        </w:rPr>
      </w:pPr>
    </w:p>
    <w:p>
      <w:pPr>
        <w:ind w:right="80" w:firstLine="340"/>
        <w:spacing w:after="0" w:line="260" w:lineRule="auto"/>
        <w:rPr>
          <w:sz w:val="20"/>
          <w:szCs w:val="20"/>
          <w:color w:val="auto"/>
        </w:rPr>
      </w:pPr>
      <w:r>
        <w:rPr>
          <w:rFonts w:ascii="Arial" w:cs="Arial" w:eastAsia="Arial" w:hAnsi="Arial"/>
          <w:sz w:val="14"/>
          <w:szCs w:val="14"/>
          <w:color w:val="auto"/>
        </w:rPr>
        <w:t>Goodwill is tested annually for impairment in the fourth quarter (October 1st) and whenever events or changes in circumstances indicate the carrying value of goodwill may not be recoverable. Goodwill is tested for impairment at the reporting unit level. A qualitative assessment can be performed to determine whether it is more likely than not the fair value of the reporting unit is less than its carrying value. If the reporting unit does not pass the qualitative assessment, we compare the fair value of each reporting unit to its carrying value using a quantitative assessment. If the fair value of the reporting unit exceeds its carrying value, goodwill is considered not impaired. If the fair value of the reporting unit is less than the carrying value, the difference is recorded as an impairment loss.</w:t>
      </w:r>
    </w:p>
    <w:p>
      <w:pPr>
        <w:spacing w:after="0" w:line="40" w:lineRule="exact"/>
        <w:rPr>
          <w:sz w:val="20"/>
          <w:szCs w:val="20"/>
          <w:color w:val="auto"/>
        </w:rPr>
      </w:pPr>
    </w:p>
    <w:p>
      <w:pPr>
        <w:ind w:right="20" w:firstLine="340"/>
        <w:spacing w:after="0" w:line="284" w:lineRule="auto"/>
        <w:rPr>
          <w:sz w:val="20"/>
          <w:szCs w:val="20"/>
          <w:color w:val="auto"/>
        </w:rPr>
      </w:pPr>
      <w:r>
        <w:rPr>
          <w:rFonts w:ascii="Arial" w:cs="Arial" w:eastAsia="Arial" w:hAnsi="Arial"/>
          <w:sz w:val="13"/>
          <w:szCs w:val="13"/>
          <w:color w:val="auto"/>
        </w:rPr>
        <w:t>For the quantitative assessment, we estimate the fair value of each reporting unit using a combination of an income approach using a discounted cash flow ("DCF") analysis and a market-based valuation approach based on comparable public company trading values. Determining the fair value of a reporting unit requires the exercise of significant management judgments, including the amount and timing of projected future revenues, earnings and cash flows after considering factors such as recent operating performance, general market and industry conditions, existing and expected future contracts, changes in working capital and long-term business plans and growth initiatives. The carrying value of each reporting unit includes the assets and liabilities employed in its operations and goodwill. There are no significant allocations of amounts held at the corporate level to the reporting units.</w:t>
      </w:r>
    </w:p>
    <w:p>
      <w:pPr>
        <w:spacing w:after="0" w:line="2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Based on our annual goodwill impairment analysis we performed in the fourth quarter of 2019, the fair value of our reporting units more likely than not exceed the carrying values.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Development and Engineering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80"/>
          </w:cols>
          <w:pgMar w:left="300" w:top="125" w:right="31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right="340" w:firstLine="340"/>
        <w:spacing w:after="0" w:line="281" w:lineRule="auto"/>
        <w:rPr>
          <w:sz w:val="20"/>
          <w:szCs w:val="20"/>
          <w:color w:val="auto"/>
        </w:rPr>
      </w:pPr>
      <w:r>
        <w:rPr>
          <w:rFonts w:ascii="Arial" w:cs="Arial" w:eastAsia="Arial" w:hAnsi="Arial"/>
          <w:sz w:val="14"/>
          <w:szCs w:val="14"/>
          <w:color w:val="auto"/>
        </w:rPr>
        <w:t>Research, development and engineering expense not related to contract performance are expensed as incurred. We expensed $7.5 million and $3.8 million of non-contract related research, development and engineering expense for the year ended December 31, 2019 and 2018,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Impairment of Long-Lived Assets</w:t>
      </w:r>
    </w:p>
    <w:p>
      <w:pPr>
        <w:spacing w:after="0" w:line="72" w:lineRule="exact"/>
        <w:rPr>
          <w:sz w:val="20"/>
          <w:szCs w:val="20"/>
          <w:color w:val="auto"/>
        </w:rPr>
      </w:pPr>
    </w:p>
    <w:p>
      <w:pPr>
        <w:ind w:right="20" w:firstLine="340"/>
        <w:spacing w:after="0" w:line="262" w:lineRule="auto"/>
        <w:rPr>
          <w:sz w:val="20"/>
          <w:szCs w:val="20"/>
          <w:color w:val="auto"/>
        </w:rPr>
      </w:pPr>
      <w:r>
        <w:rPr>
          <w:rFonts w:ascii="Arial" w:cs="Arial" w:eastAsia="Arial" w:hAnsi="Arial"/>
          <w:sz w:val="14"/>
          <w:szCs w:val="14"/>
          <w:color w:val="auto"/>
        </w:rPr>
        <w:t>We review our long-lived assets for impairment whenever events or changes in circumstances indicate that the carrying amount of an asset may not be recoverable. Recoverability of assets is measured by comparing the carrying amount of an asset to future undiscounted net cash flows expected to be generated by the asset. If such assets are considered to be impaired, the impairment to be recognized is measured by the amount by which the carrying amount of the assets exceeds their fair value. Assets to be disposed of by sale are reflected at the lower of their carrying amount or fair value less cost to sell.</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Inventory</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Inventory consists of finished goods, work in process and raw materials valued at the lower of cost (determined on the first-in, first-out basis) or net realizable value.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Income per Share</w:t>
      </w:r>
    </w:p>
    <w:p>
      <w:pPr>
        <w:spacing w:after="0" w:line="72" w:lineRule="exact"/>
        <w:rPr>
          <w:sz w:val="20"/>
          <w:szCs w:val="20"/>
          <w:color w:val="auto"/>
        </w:rPr>
      </w:pPr>
    </w:p>
    <w:p>
      <w:pPr>
        <w:ind w:right="40" w:firstLine="340"/>
        <w:spacing w:after="0" w:line="262" w:lineRule="auto"/>
        <w:rPr>
          <w:sz w:val="20"/>
          <w:szCs w:val="20"/>
          <w:color w:val="auto"/>
        </w:rPr>
      </w:pPr>
      <w:r>
        <w:rPr>
          <w:rFonts w:ascii="Arial" w:cs="Arial" w:eastAsia="Arial" w:hAnsi="Arial"/>
          <w:sz w:val="14"/>
          <w:szCs w:val="14"/>
          <w:color w:val="auto"/>
        </w:rPr>
        <w:t>Basic per share data is computed by dividing net income attributable to common stockholders by the weighted average number of shares outstanding during the period. Diluted per share data is computed by dividing net income attributable to common stockholders by the weighted average shares outstanding during the period increased to include, if dilutive, the number of additional common share equivalents that would have been outstanding if potential common shares had been issued using the treasury stock method. Diluted per share data would also include the potential common share equivalents relating to convertible securities by application of the if-converted method.</w:t>
      </w:r>
    </w:p>
    <w:p>
      <w:pPr>
        <w:spacing w:after="0" w:line="103" w:lineRule="exact"/>
        <w:rPr>
          <w:sz w:val="20"/>
          <w:szCs w:val="20"/>
          <w:color w:val="auto"/>
        </w:rPr>
      </w:pPr>
    </w:p>
    <w:p>
      <w:pPr>
        <w:ind w:right="320" w:firstLine="340"/>
        <w:spacing w:after="0" w:line="368" w:lineRule="auto"/>
        <w:rPr>
          <w:sz w:val="20"/>
          <w:szCs w:val="20"/>
          <w:color w:val="auto"/>
        </w:rPr>
      </w:pPr>
      <w:r>
        <w:rPr>
          <w:rFonts w:ascii="Arial" w:cs="Arial" w:eastAsia="Arial" w:hAnsi="Arial"/>
          <w:sz w:val="12"/>
          <w:szCs w:val="12"/>
          <w:color w:val="auto"/>
        </w:rPr>
        <w:t>The effect of 3.2 million and 4.9 million common stock equivalents are included for the diluted per share data for the year ended December 31, 2019 and 2018, respectively. Accrued stock dividends and stock options are included in our common stock equivalents for the year ended December 31, 2019, while preferred stock is also included for the year ended December 31, 2018.</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Stock-Based Compensation</w:t>
      </w:r>
    </w:p>
    <w:p>
      <w:pPr>
        <w:spacing w:after="0" w:line="72" w:lineRule="exact"/>
        <w:rPr>
          <w:sz w:val="20"/>
          <w:szCs w:val="20"/>
          <w:color w:val="auto"/>
        </w:rPr>
      </w:pPr>
    </w:p>
    <w:p>
      <w:pPr>
        <w:jc w:val="both"/>
        <w:ind w:right="80" w:firstLine="340"/>
        <w:spacing w:after="0" w:line="288" w:lineRule="auto"/>
        <w:rPr>
          <w:sz w:val="20"/>
          <w:szCs w:val="20"/>
          <w:color w:val="auto"/>
        </w:rPr>
      </w:pPr>
      <w:r>
        <w:rPr>
          <w:rFonts w:ascii="Arial" w:cs="Arial" w:eastAsia="Arial" w:hAnsi="Arial"/>
          <w:sz w:val="13"/>
          <w:szCs w:val="13"/>
          <w:color w:val="auto"/>
        </w:rPr>
        <w:t>We have two stock-based compensation plans, which are described further in Note 11. We recognize compensation expense based upon the fair value of the underlying equity award as of the date of grant. We have elected to use the Black-Scholes option pricing model to value any stock options granted. Restricted stock and restricted stock units awarded are valued at the closing price of our common stock on the date of the award. We recognize stock-based compensation for such awards on a straight-line method over the requisite service period of the awards taking into account the effects of the expected exercise. We reduce stock-based compensation expense for the value of any forfeitures of unvested awards as such forfeitures occur.</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Advertising</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We expense the cost of advertising as incurred. Advertising expenses were $0.1 million for each of the years ended December 31, 2019 and 2018.</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Taxes</w:t>
      </w:r>
    </w:p>
    <w:p>
      <w:pPr>
        <w:spacing w:after="0" w:line="72" w:lineRule="exact"/>
        <w:rPr>
          <w:sz w:val="20"/>
          <w:szCs w:val="20"/>
          <w:color w:val="auto"/>
        </w:rPr>
      </w:pPr>
    </w:p>
    <w:p>
      <w:pPr>
        <w:ind w:right="200" w:firstLine="340"/>
        <w:spacing w:after="0" w:line="267" w:lineRule="auto"/>
        <w:rPr>
          <w:sz w:val="20"/>
          <w:szCs w:val="20"/>
          <w:color w:val="auto"/>
        </w:rPr>
      </w:pPr>
      <w:r>
        <w:rPr>
          <w:rFonts w:ascii="Arial" w:cs="Arial" w:eastAsia="Arial" w:hAnsi="Arial"/>
          <w:sz w:val="14"/>
          <w:szCs w:val="14"/>
          <w:color w:val="auto"/>
        </w:rPr>
        <w:t>We account for income taxes using the liability method. Deferred tax assets or liabilities are determined based on the difference between the financial statement and tax basis of assets and liabilities as measured by the enacted tax rates, which will be in effect when the differences reverse. A valuation allowance against net deferred tax assets is provided unless we conclude it is more likely than not that the deferred tax assets will be realized.</w:t>
      </w:r>
    </w:p>
    <w:p>
      <w:pPr>
        <w:spacing w:after="0" w:line="36" w:lineRule="exact"/>
        <w:rPr>
          <w:sz w:val="20"/>
          <w:szCs w:val="20"/>
          <w:color w:val="auto"/>
        </w:rPr>
      </w:pPr>
    </w:p>
    <w:p>
      <w:pPr>
        <w:ind w:firstLine="340"/>
        <w:spacing w:after="0" w:line="258" w:lineRule="auto"/>
        <w:rPr>
          <w:sz w:val="20"/>
          <w:szCs w:val="20"/>
          <w:color w:val="auto"/>
        </w:rPr>
      </w:pPr>
      <w:r>
        <w:rPr>
          <w:rFonts w:ascii="Arial" w:cs="Arial" w:eastAsia="Arial" w:hAnsi="Arial"/>
          <w:sz w:val="14"/>
          <w:szCs w:val="14"/>
          <w:color w:val="auto"/>
        </w:rPr>
        <w:t>We recognize deferred tax assets and liabilities for the expected future tax consequences of temporary differences between the financial statement carrying amounts of existing assets and liabilities and their respective tax bases. Deferred tax assets and liabilities are measured using enacted tax rates in effect for the year in which those temporary differences are expected to be recovered or settled. We evaluate our ability to benefit from all deferred tax assets and establish valuation allowances for amounts we believe are not more-likely-than-not to be realizable. For uncertain tax positions, we use a more-likely-than-not threshold, 51% or greater, based on the technical merits of the income tax position taken. Income tax positions that meet the more-likely-than-not recognition threshold are measured in order to determine the tax benefit recognized in the financial statements. Penalties, if probable and reasonably estimable, and interest expense related to uncertain tax positions are recognized as a component of the tax provision.</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60"/>
          </w:cols>
          <w:pgMar w:left="300" w:top="125" w:right="3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Recently Issued Accounting Pronouncements</w:t>
      </w:r>
    </w:p>
    <w:p>
      <w:pPr>
        <w:spacing w:after="0" w:line="94" w:lineRule="exact"/>
        <w:rPr>
          <w:sz w:val="20"/>
          <w:szCs w:val="20"/>
          <w:color w:val="auto"/>
        </w:rPr>
      </w:pPr>
    </w:p>
    <w:p>
      <w:pPr>
        <w:ind w:right="200" w:firstLine="340"/>
        <w:spacing w:after="0" w:line="262" w:lineRule="auto"/>
        <w:rPr>
          <w:sz w:val="20"/>
          <w:szCs w:val="20"/>
          <w:color w:val="auto"/>
        </w:rPr>
      </w:pPr>
      <w:r>
        <w:rPr>
          <w:rFonts w:ascii="Arial" w:cs="Arial" w:eastAsia="Arial" w:hAnsi="Arial"/>
          <w:sz w:val="14"/>
          <w:szCs w:val="14"/>
          <w:color w:val="auto"/>
        </w:rPr>
        <w:t xml:space="preserve">In February 2016, the Financial Accounting Standards Board ("FASB") issued a new standard related to Leases, Accounting Standards Update ("ASU")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xml:space="preserve"> and subsequent amendments, based on previously defined GAAP, and requires lessees to recognize right-of-use ("ROU") assets and lease liabilities on the balance sheet for those leases classified as operating leases for greater transparency. We, using a modified retrospective adoption approach, are required to recognize and measure leases existing at the beginning of the adoption period, with certain practical expedients available.</w:t>
      </w:r>
    </w:p>
    <w:p>
      <w:pPr>
        <w:spacing w:after="0" w:line="61" w:lineRule="exact"/>
        <w:rPr>
          <w:sz w:val="20"/>
          <w:szCs w:val="20"/>
          <w:color w:val="auto"/>
        </w:rPr>
      </w:pPr>
    </w:p>
    <w:p>
      <w:pPr>
        <w:ind w:right="40" w:firstLine="340"/>
        <w:spacing w:after="0" w:line="284" w:lineRule="auto"/>
        <w:rPr>
          <w:sz w:val="20"/>
          <w:szCs w:val="20"/>
          <w:color w:val="auto"/>
        </w:rPr>
      </w:pPr>
      <w:r>
        <w:rPr>
          <w:rFonts w:ascii="Arial" w:cs="Arial" w:eastAsia="Arial" w:hAnsi="Arial"/>
          <w:sz w:val="13"/>
          <w:szCs w:val="13"/>
          <w:color w:val="auto"/>
        </w:rPr>
        <w:t>We adopted the standard effective January 1, 2019. The standard allows a number of optional practical expedients to use for transition. We chose the certain practical expedients allowed under the transition guidance which permitted us to not to reassess any existing or expired contracts to determine if they contain embedded leases, to not reassess our lease classification on existing leases, to account for lease and non-lease components as a single lease component for equipment leases, and whether initial direct costs previously capitalized would qualify for capitalization under FASB ASC 842. The new standard also provides practical expedients and recognition exemptions for an entity's ongoing accounting policy elections. We have elected the short-term lease recognition for all leases that qualify, which means that we do not recognize a ROU asset and lease liability for any lease with a term of twelve months or less.</w:t>
      </w:r>
    </w:p>
    <w:p>
      <w:pPr>
        <w:spacing w:after="0" w:line="49" w:lineRule="exact"/>
        <w:rPr>
          <w:sz w:val="20"/>
          <w:szCs w:val="20"/>
          <w:color w:val="auto"/>
        </w:rPr>
      </w:pPr>
    </w:p>
    <w:p>
      <w:pPr>
        <w:ind w:right="100" w:firstLine="340"/>
        <w:spacing w:after="0" w:line="368" w:lineRule="auto"/>
        <w:rPr>
          <w:sz w:val="20"/>
          <w:szCs w:val="20"/>
          <w:color w:val="auto"/>
        </w:rPr>
      </w:pPr>
      <w:r>
        <w:rPr>
          <w:rFonts w:ascii="Arial" w:cs="Arial" w:eastAsia="Arial" w:hAnsi="Arial"/>
          <w:sz w:val="12"/>
          <w:szCs w:val="12"/>
          <w:color w:val="auto"/>
        </w:rPr>
        <w:t>The most significant impact of adopting the standard was the recognition of ROU assets and lease liabilities for operating leases on our consolidated balance sheet but it did not have an impact on our consolidated statements of operations or consolidated statements of cash flows. Upon the adoption of the new lease standard on January 1, 2019, we recorded the following adjustments:</w:t>
      </w:r>
    </w:p>
    <w:p>
      <w:pPr>
        <w:spacing w:after="0" w:line="118"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88"/>
              </w:rPr>
              <w:t>Balance at</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b w:val="1"/>
                <w:bCs w:val="1"/>
                <w:color w:val="auto"/>
                <w:w w:val="92"/>
              </w:rPr>
              <w:t>Adjustment for</w:t>
            </w: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389"/>
              <w:spacing w:after="0"/>
              <w:rPr>
                <w:sz w:val="20"/>
                <w:szCs w:val="20"/>
                <w:color w:val="auto"/>
              </w:rPr>
            </w:pPr>
            <w:r>
              <w:rPr>
                <w:rFonts w:ascii="Arial" w:cs="Arial" w:eastAsia="Arial" w:hAnsi="Arial"/>
                <w:sz w:val="14"/>
                <w:szCs w:val="14"/>
                <w:b w:val="1"/>
                <w:bCs w:val="1"/>
                <w:color w:val="auto"/>
              </w:rPr>
              <w:t>Adjusted balance at</w:t>
            </w:r>
          </w:p>
        </w:tc>
      </w:tr>
      <w:tr>
        <w:trPr>
          <w:trHeight w:val="191"/>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December 31, 2018</w:t>
            </w:r>
          </w:p>
        </w:tc>
        <w:tc>
          <w:tcPr>
            <w:tcW w:w="260" w:type="dxa"/>
            <w:vAlign w:val="bottom"/>
          </w:tcPr>
          <w:p>
            <w:pPr>
              <w:spacing w:after="0"/>
              <w:rPr>
                <w:sz w:val="16"/>
                <w:szCs w:val="16"/>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ASC 842</w:t>
            </w:r>
          </w:p>
        </w:tc>
        <w:tc>
          <w:tcPr>
            <w:tcW w:w="260" w:type="dxa"/>
            <w:vAlign w:val="bottom"/>
          </w:tcPr>
          <w:p>
            <w:pPr>
              <w:spacing w:after="0"/>
              <w:rPr>
                <w:sz w:val="16"/>
                <w:szCs w:val="16"/>
                <w:color w:val="auto"/>
              </w:rPr>
            </w:pPr>
          </w:p>
        </w:tc>
        <w:tc>
          <w:tcPr>
            <w:tcW w:w="1860" w:type="dxa"/>
            <w:vAlign w:val="bottom"/>
          </w:tcPr>
          <w:p>
            <w:pPr>
              <w:jc w:val="right"/>
              <w:ind w:right="509"/>
              <w:spacing w:after="0"/>
              <w:rPr>
                <w:sz w:val="20"/>
                <w:szCs w:val="20"/>
                <w:color w:val="auto"/>
              </w:rPr>
            </w:pPr>
            <w:r>
              <w:rPr>
                <w:rFonts w:ascii="Arial" w:cs="Arial" w:eastAsia="Arial" w:hAnsi="Arial"/>
                <w:sz w:val="14"/>
                <w:szCs w:val="14"/>
                <w:b w:val="1"/>
                <w:bCs w:val="1"/>
                <w:color w:val="auto"/>
              </w:rPr>
              <w:t>January 1, 2019</w:t>
            </w:r>
          </w:p>
        </w:tc>
      </w:tr>
      <w:tr>
        <w:trPr>
          <w:trHeight w:val="22"/>
        </w:trPr>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r>
      <w:tr>
        <w:trPr>
          <w:trHeight w:val="191"/>
        </w:trPr>
        <w:tc>
          <w:tcPr>
            <w:tcW w:w="458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49"/>
              <w:spacing w:after="0"/>
              <w:rPr>
                <w:sz w:val="20"/>
                <w:szCs w:val="20"/>
                <w:color w:val="auto"/>
              </w:rPr>
            </w:pPr>
            <w:r>
              <w:rPr>
                <w:rFonts w:ascii="Arial" w:cs="Arial" w:eastAsia="Arial" w:hAnsi="Arial"/>
                <w:sz w:val="14"/>
                <w:szCs w:val="14"/>
                <w:color w:val="auto"/>
              </w:rPr>
              <w:t>3,627,886</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(90,494)</w:t>
            </w:r>
          </w:p>
        </w:tc>
        <w:tc>
          <w:tcPr>
            <w:tcW w:w="12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860" w:type="dxa"/>
            <w:vAlign w:val="bottom"/>
          </w:tcPr>
          <w:p>
            <w:pPr>
              <w:jc w:val="right"/>
              <w:ind w:right="29"/>
              <w:spacing w:after="0"/>
              <w:rPr>
                <w:sz w:val="20"/>
                <w:szCs w:val="20"/>
                <w:color w:val="auto"/>
              </w:rPr>
            </w:pPr>
            <w:r>
              <w:rPr>
                <w:rFonts w:ascii="Arial" w:cs="Arial" w:eastAsia="Arial" w:hAnsi="Arial"/>
                <w:sz w:val="14"/>
                <w:szCs w:val="14"/>
                <w:color w:val="auto"/>
              </w:rPr>
              <w:t>3,537,392</w:t>
            </w:r>
          </w:p>
        </w:tc>
      </w:tr>
      <w:tr>
        <w:trPr>
          <w:trHeight w:val="22"/>
        </w:trPr>
        <w:tc>
          <w:tcPr>
            <w:tcW w:w="4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assets, net</w:t>
            </w:r>
          </w:p>
        </w:tc>
        <w:tc>
          <w:tcPr>
            <w:tcW w:w="2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1,995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3,536,133</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3,538,128</w:t>
            </w:r>
          </w:p>
        </w:tc>
      </w:tr>
      <w:tr>
        <w:trPr>
          <w:trHeight w:val="255"/>
        </w:trPr>
        <w:tc>
          <w:tcPr>
            <w:tcW w:w="4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192"/>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2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r>
      <w:tr>
        <w:trPr>
          <w:trHeight w:val="191"/>
        </w:trPr>
        <w:tc>
          <w:tcPr>
            <w:tcW w:w="4580" w:type="dxa"/>
            <w:vAlign w:val="bottom"/>
          </w:tcPr>
          <w:p>
            <w:pPr>
              <w:spacing w:after="0"/>
              <w:rPr>
                <w:sz w:val="20"/>
                <w:szCs w:val="20"/>
                <w:color w:val="auto"/>
              </w:rPr>
            </w:pPr>
            <w:r>
              <w:rPr>
                <w:rFonts w:ascii="Arial" w:cs="Arial" w:eastAsia="Arial" w:hAnsi="Arial"/>
                <w:sz w:val="14"/>
                <w:szCs w:val="14"/>
                <w:color w:val="auto"/>
              </w:rPr>
              <w:t>Accrued liabilities</w:t>
            </w:r>
          </w:p>
        </w:tc>
        <w:tc>
          <w:tcPr>
            <w:tcW w:w="240" w:type="dxa"/>
            <w:vAlign w:val="bottom"/>
          </w:tcPr>
          <w:p>
            <w:pPr>
              <w:spacing w:after="0"/>
              <w:rPr>
                <w:sz w:val="16"/>
                <w:szCs w:val="16"/>
                <w:color w:val="auto"/>
              </w:rPr>
            </w:pPr>
          </w:p>
        </w:tc>
        <w:tc>
          <w:tcPr>
            <w:tcW w:w="1700" w:type="dxa"/>
            <w:vAlign w:val="bottom"/>
          </w:tcPr>
          <w:p>
            <w:pPr>
              <w:jc w:val="right"/>
              <w:ind w:right="49"/>
              <w:spacing w:after="0"/>
              <w:rPr>
                <w:sz w:val="20"/>
                <w:szCs w:val="20"/>
                <w:color w:val="auto"/>
              </w:rPr>
            </w:pPr>
            <w:r>
              <w:rPr>
                <w:rFonts w:ascii="Arial" w:cs="Arial" w:eastAsia="Arial" w:hAnsi="Arial"/>
                <w:sz w:val="14"/>
                <w:szCs w:val="14"/>
                <w:color w:val="auto"/>
              </w:rPr>
              <w:t>6,597,458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ind w:right="29"/>
              <w:spacing w:after="0"/>
              <w:rPr>
                <w:sz w:val="20"/>
                <w:szCs w:val="20"/>
                <w:color w:val="auto"/>
              </w:rPr>
            </w:pPr>
            <w:r>
              <w:rPr>
                <w:rFonts w:ascii="Arial" w:cs="Arial" w:eastAsia="Arial" w:hAnsi="Arial"/>
                <w:sz w:val="14"/>
                <w:szCs w:val="14"/>
                <w:color w:val="auto"/>
              </w:rPr>
              <w:t>1,242,669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jc w:val="right"/>
              <w:ind w:right="29"/>
              <w:spacing w:after="0"/>
              <w:rPr>
                <w:sz w:val="20"/>
                <w:szCs w:val="20"/>
                <w:color w:val="auto"/>
              </w:rPr>
            </w:pPr>
            <w:r>
              <w:rPr>
                <w:rFonts w:ascii="Arial" w:cs="Arial" w:eastAsia="Arial" w:hAnsi="Arial"/>
                <w:sz w:val="14"/>
                <w:szCs w:val="14"/>
                <w:color w:val="auto"/>
              </w:rPr>
              <w:t>7,840,127</w:t>
            </w:r>
          </w:p>
        </w:tc>
      </w:tr>
      <w:tr>
        <w:trPr>
          <w:trHeight w:val="22"/>
        </w:trPr>
        <w:tc>
          <w:tcPr>
            <w:tcW w:w="4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Current portion of capital lease obligations</w:t>
            </w:r>
          </w:p>
        </w:tc>
        <w:tc>
          <w:tcPr>
            <w:tcW w:w="2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40,586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(40,586)</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91"/>
        </w:trPr>
        <w:tc>
          <w:tcPr>
            <w:tcW w:w="4580" w:type="dxa"/>
            <w:vAlign w:val="bottom"/>
          </w:tcPr>
          <w:p>
            <w:pPr>
              <w:spacing w:after="0"/>
              <w:rPr>
                <w:sz w:val="20"/>
                <w:szCs w:val="20"/>
                <w:color w:val="auto"/>
              </w:rPr>
            </w:pPr>
            <w:r>
              <w:rPr>
                <w:rFonts w:ascii="Arial" w:cs="Arial" w:eastAsia="Arial" w:hAnsi="Arial"/>
                <w:sz w:val="14"/>
                <w:szCs w:val="14"/>
                <w:color w:val="auto"/>
              </w:rPr>
              <w:t>Long-term deferred rent</w:t>
            </w:r>
          </w:p>
        </w:tc>
        <w:tc>
          <w:tcPr>
            <w:tcW w:w="240" w:type="dxa"/>
            <w:vAlign w:val="bottom"/>
          </w:tcPr>
          <w:p>
            <w:pPr>
              <w:spacing w:after="0"/>
              <w:rPr>
                <w:sz w:val="16"/>
                <w:szCs w:val="16"/>
                <w:color w:val="auto"/>
              </w:rPr>
            </w:pPr>
          </w:p>
        </w:tc>
        <w:tc>
          <w:tcPr>
            <w:tcW w:w="1700" w:type="dxa"/>
            <w:vAlign w:val="bottom"/>
          </w:tcPr>
          <w:p>
            <w:pPr>
              <w:jc w:val="right"/>
              <w:ind w:right="49"/>
              <w:spacing w:after="0"/>
              <w:rPr>
                <w:sz w:val="20"/>
                <w:szCs w:val="20"/>
                <w:color w:val="auto"/>
              </w:rPr>
            </w:pPr>
            <w:r>
              <w:rPr>
                <w:rFonts w:ascii="Arial" w:cs="Arial" w:eastAsia="Arial" w:hAnsi="Arial"/>
                <w:sz w:val="14"/>
                <w:szCs w:val="14"/>
                <w:color w:val="auto"/>
              </w:rPr>
              <w:t>1,035,974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(1,035,974)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2"/>
        </w:trPr>
        <w:tc>
          <w:tcPr>
            <w:tcW w:w="4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Long-term operating lease liability</w:t>
            </w:r>
          </w:p>
        </w:tc>
        <w:tc>
          <w:tcPr>
            <w:tcW w:w="24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3,271,705</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3,271,705</w:t>
            </w:r>
          </w:p>
        </w:tc>
      </w:tr>
      <w:tr>
        <w:trPr>
          <w:trHeight w:val="191"/>
        </w:trPr>
        <w:tc>
          <w:tcPr>
            <w:tcW w:w="4580" w:type="dxa"/>
            <w:vAlign w:val="bottom"/>
          </w:tcPr>
          <w:p>
            <w:pPr>
              <w:spacing w:after="0"/>
              <w:rPr>
                <w:sz w:val="20"/>
                <w:szCs w:val="20"/>
                <w:color w:val="auto"/>
              </w:rPr>
            </w:pPr>
            <w:r>
              <w:rPr>
                <w:rFonts w:ascii="Arial" w:cs="Arial" w:eastAsia="Arial" w:hAnsi="Arial"/>
                <w:sz w:val="14"/>
                <w:szCs w:val="14"/>
                <w:color w:val="auto"/>
              </w:rPr>
              <w:t>Long-term capital lease obligations</w:t>
            </w:r>
          </w:p>
        </w:tc>
        <w:tc>
          <w:tcPr>
            <w:tcW w:w="240" w:type="dxa"/>
            <w:vAlign w:val="bottom"/>
          </w:tcPr>
          <w:p>
            <w:pPr>
              <w:spacing w:after="0"/>
              <w:rPr>
                <w:sz w:val="16"/>
                <w:szCs w:val="16"/>
                <w:color w:val="auto"/>
              </w:rPr>
            </w:pPr>
          </w:p>
        </w:tc>
        <w:tc>
          <w:tcPr>
            <w:tcW w:w="1700" w:type="dxa"/>
            <w:vAlign w:val="bottom"/>
          </w:tcPr>
          <w:p>
            <w:pPr>
              <w:jc w:val="right"/>
              <w:ind w:right="49"/>
              <w:spacing w:after="0"/>
              <w:rPr>
                <w:sz w:val="20"/>
                <w:szCs w:val="20"/>
                <w:color w:val="auto"/>
              </w:rPr>
            </w:pPr>
            <w:r>
              <w:rPr>
                <w:rFonts w:ascii="Arial" w:cs="Arial" w:eastAsia="Arial" w:hAnsi="Arial"/>
                <w:sz w:val="14"/>
                <w:szCs w:val="14"/>
                <w:color w:val="auto"/>
              </w:rPr>
              <w:t>68,978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(68,978)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2"/>
        </w:trPr>
        <w:tc>
          <w:tcPr>
            <w:tcW w:w="4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1"/>
        </w:trPr>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Long-term finance lease liability</w:t>
            </w:r>
          </w:p>
        </w:tc>
        <w:tc>
          <w:tcPr>
            <w:tcW w:w="24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76,803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76,803</w:t>
            </w:r>
          </w:p>
        </w:tc>
      </w:tr>
      <w:tr>
        <w:trPr>
          <w:trHeight w:val="22"/>
        </w:trPr>
        <w:tc>
          <w:tcPr>
            <w:tcW w:w="45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Recently Issued Pronouncements not yet adopted</w:t>
      </w:r>
    </w:p>
    <w:p>
      <w:pPr>
        <w:spacing w:after="0" w:line="179" w:lineRule="exact"/>
        <w:rPr>
          <w:sz w:val="20"/>
          <w:szCs w:val="20"/>
          <w:color w:val="auto"/>
        </w:rPr>
      </w:pPr>
    </w:p>
    <w:p>
      <w:pPr>
        <w:ind w:right="120" w:firstLine="509"/>
        <w:spacing w:after="0" w:line="260" w:lineRule="auto"/>
        <w:rPr>
          <w:sz w:val="20"/>
          <w:szCs w:val="20"/>
          <w:color w:val="auto"/>
        </w:rPr>
      </w:pPr>
      <w:r>
        <w:rPr>
          <w:rFonts w:ascii="Arial" w:cs="Arial" w:eastAsia="Arial" w:hAnsi="Arial"/>
          <w:sz w:val="14"/>
          <w:szCs w:val="14"/>
          <w:color w:val="auto"/>
        </w:rPr>
        <w:t xml:space="preserve">In June 2016, the FASB issued ASU 2016-13: </w:t>
      </w:r>
      <w:r>
        <w:rPr>
          <w:rFonts w:ascii="Arial" w:cs="Arial" w:eastAsia="Arial" w:hAnsi="Arial"/>
          <w:sz w:val="14"/>
          <w:szCs w:val="14"/>
          <w:i w:val="1"/>
          <w:iCs w:val="1"/>
          <w:color w:val="auto"/>
        </w:rPr>
        <w:t>Financial Instruments - Credit Losses (Topic 326) - Measurement of Credit Losses on Financial Instruments.</w:t>
      </w:r>
      <w:r>
        <w:rPr>
          <w:rFonts w:ascii="Arial" w:cs="Arial" w:eastAsia="Arial" w:hAnsi="Arial"/>
          <w:sz w:val="14"/>
          <w:szCs w:val="14"/>
          <w:color w:val="auto"/>
        </w:rPr>
        <w:t xml:space="preserve"> The ASU requires companies to measure credit losses by using a methodology that reflects the expected credit losses based on historical information current economic conditions, and reasonable and supportable information. This standard was amended under ASU 2019-10 to allow an extension on the adoption date for entities that qualify as a small reporting company. We have elected this extension and the effective date for us to adopt this standard will be for fiscal years beginning after December 15, 2022. We do not expect the adoption of ASU 2016-13 to have a significant impact on our consolidated financial statements.</w:t>
      </w:r>
    </w:p>
    <w:p>
      <w:pPr>
        <w:spacing w:after="0" w:line="23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 xml:space="preserve">In January 2017, the FASB issued ASU 2017-04: </w:t>
      </w:r>
      <w:r>
        <w:rPr>
          <w:rFonts w:ascii="Arial" w:cs="Arial" w:eastAsia="Arial" w:hAnsi="Arial"/>
          <w:sz w:val="14"/>
          <w:szCs w:val="14"/>
          <w:i w:val="1"/>
          <w:iCs w:val="1"/>
          <w:color w:val="auto"/>
        </w:rPr>
        <w:t>Simplifying the Test for Goodwill Impairment</w:t>
      </w:r>
      <w:r>
        <w:rPr>
          <w:rFonts w:ascii="Arial" w:cs="Arial" w:eastAsia="Arial" w:hAnsi="Arial"/>
          <w:sz w:val="14"/>
          <w:szCs w:val="14"/>
          <w:color w:val="auto"/>
        </w:rPr>
        <w:t>,” which simplifies the test for goodwill impairment. The guidance is effective for us beginning in the first quarter of fiscal year 2020. Early adoption is permitted for interim or annual goodwill impairments tests after January 1, 2017. We have assessed the impact of adopting ASU 2017-04 and the adoption on January 1, 2020 should not have a significant impact on our consolidated financial statements.</w:t>
      </w:r>
    </w:p>
    <w:p>
      <w:pPr>
        <w:spacing w:after="0" w:line="311" w:lineRule="exact"/>
        <w:rPr>
          <w:sz w:val="20"/>
          <w:szCs w:val="20"/>
          <w:color w:val="auto"/>
        </w:rPr>
      </w:pPr>
    </w:p>
    <w:p>
      <w:pPr>
        <w:ind w:right="580" w:firstLine="509"/>
        <w:spacing w:after="0" w:line="281" w:lineRule="auto"/>
        <w:rPr>
          <w:sz w:val="20"/>
          <w:szCs w:val="20"/>
          <w:color w:val="auto"/>
        </w:rPr>
      </w:pPr>
      <w:r>
        <w:rPr>
          <w:rFonts w:ascii="Arial" w:cs="Arial" w:eastAsia="Arial" w:hAnsi="Arial"/>
          <w:sz w:val="14"/>
          <w:szCs w:val="14"/>
          <w:color w:val="auto"/>
        </w:rPr>
        <w:t xml:space="preserve">In August 2018, the FASB issued ASU No. 2018-13 </w:t>
      </w:r>
      <w:r>
        <w:rPr>
          <w:rFonts w:ascii="Arial" w:cs="Arial" w:eastAsia="Arial" w:hAnsi="Arial"/>
          <w:sz w:val="14"/>
          <w:szCs w:val="14"/>
          <w:i w:val="1"/>
          <w:iCs w:val="1"/>
          <w:color w:val="auto"/>
        </w:rPr>
        <w:t>Fair Value Measurement (Topic 820): Changes to the Disclosure Requirements for Fair Value Measurement,</w:t>
      </w:r>
      <w:r>
        <w:rPr>
          <w:rFonts w:ascii="Arial" w:cs="Arial" w:eastAsia="Arial" w:hAnsi="Arial"/>
          <w:sz w:val="14"/>
          <w:szCs w:val="14"/>
          <w:color w:val="auto"/>
        </w:rPr>
        <w:t xml:space="preserve"> which amends the disclosure requirements in ASC 820 by adding, changing, or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80"/>
          </w:cols>
          <w:pgMar w:left="300" w:top="125" w:right="31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67"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removing certain disclosures. The ASU applies to all entities that are required under this guidance to provide disclosures about recurring or nonrecurring fair value measurements. These amendments are effective for us beginning in the first quarter of fiscal year 2020. Early adoption is permitted. We have assessed the impact of adopting ASU 2018-13 and the adoption on January 1, 2020 should not have a significant impact on our consolidated financial statements.</w:t>
      </w:r>
    </w:p>
    <w:p>
      <w:pPr>
        <w:spacing w:after="0" w:line="22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 xml:space="preserve">In August 2018, the FASB issued ASU 2018-15 </w:t>
      </w:r>
      <w:r>
        <w:rPr>
          <w:rFonts w:ascii="Arial" w:cs="Arial" w:eastAsia="Arial" w:hAnsi="Arial"/>
          <w:sz w:val="14"/>
          <w:szCs w:val="14"/>
          <w:i w:val="1"/>
          <w:iCs w:val="1"/>
          <w:color w:val="auto"/>
        </w:rPr>
        <w:t>Customer’s Accounting for Implementation Costs Incurred in a Cloud Computing Arrangement That is a Service Contract,</w:t>
      </w:r>
      <w:r>
        <w:rPr>
          <w:rFonts w:ascii="Arial" w:cs="Arial" w:eastAsia="Arial" w:hAnsi="Arial"/>
          <w:sz w:val="14"/>
          <w:szCs w:val="14"/>
          <w:color w:val="auto"/>
        </w:rPr>
        <w:t xml:space="preserve"> which aligns the requirements for capitalizing implementation costs incurred in a hosting arrangement that is a service contract with the requirements for capitalizing implementation costs incurred to develop or obtain internal-use software. The guidance is effective for us beginning in the first quarter of fiscal year 2020. Early adoption is permitted. We have assessed the impact of adopting ASU 2018-15 and the adoption on January 1, 2020 should not have a significant impact on our consolidated financial statements.</w:t>
      </w:r>
    </w:p>
    <w:p>
      <w:pPr>
        <w:spacing w:after="0" w:line="146"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 xml:space="preserve">In December 2019, the FASB issued ASU 2019-12 </w:t>
      </w:r>
      <w:r>
        <w:rPr>
          <w:rFonts w:ascii="Arial" w:cs="Arial" w:eastAsia="Arial" w:hAnsi="Arial"/>
          <w:sz w:val="14"/>
          <w:szCs w:val="14"/>
          <w:i w:val="1"/>
          <w:iCs w:val="1"/>
          <w:color w:val="auto"/>
        </w:rPr>
        <w:t>Simplifying the Accounting for Income Taxes</w:t>
      </w:r>
      <w:r>
        <w:rPr>
          <w:rFonts w:ascii="Arial" w:cs="Arial" w:eastAsia="Arial" w:hAnsi="Arial"/>
          <w:sz w:val="14"/>
          <w:szCs w:val="14"/>
          <w:color w:val="auto"/>
        </w:rPr>
        <w:t>, which removes certain exceptions to the general principles of the accounting for income taxes and also improves consistent application of and simplification of other areas when accounting for income taxes. The guidance is effective for us beginning in the first quarter of fiscal year 2021. Early adoption is permitted. We do not expect the adoption of ASU 2019-12 will have a significant impact on our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Business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Micron Optics, Inc.</w:t>
      </w:r>
    </w:p>
    <w:p>
      <w:pPr>
        <w:spacing w:after="0" w:line="179" w:lineRule="exact"/>
        <w:rPr>
          <w:sz w:val="20"/>
          <w:szCs w:val="20"/>
          <w:color w:val="auto"/>
        </w:rPr>
      </w:pPr>
    </w:p>
    <w:p>
      <w:pPr>
        <w:jc w:val="both"/>
        <w:ind w:right="140" w:firstLine="318"/>
        <w:spacing w:after="0" w:line="267" w:lineRule="auto"/>
        <w:rPr>
          <w:sz w:val="20"/>
          <w:szCs w:val="20"/>
          <w:color w:val="auto"/>
        </w:rPr>
      </w:pPr>
      <w:r>
        <w:rPr>
          <w:rFonts w:ascii="Arial" w:cs="Arial" w:eastAsia="Arial" w:hAnsi="Arial"/>
          <w:sz w:val="14"/>
          <w:szCs w:val="14"/>
          <w:color w:val="auto"/>
        </w:rPr>
        <w:t>On October 15, 2018, we acquired substantially all of the assets, other than cash, of the United States operations of Micron Optics, Inc. ("MOI") for cash consideration of $5.5 million. For the year ended December 31, 2019, we recognized revenue of $10.8 million and operating income of $1.8 million associated with the acquired operations of MOI. For the period from the closing of the MOI acquisition through December 31, 2018, we recognized revenue of $2.6 million and operating income of $1.1 million.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Photonics Corporation</w:t>
      </w:r>
    </w:p>
    <w:p>
      <w:pPr>
        <w:spacing w:after="0" w:line="179"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On March 1, 2019, we acquired the outstanding stock of General Photonics Corporation ("GP") for cash consideration of $19.0 million. Of the purchase price, $17.1 million was paid at closing and $1.9 million was placed into escrow for possible working capital adjustments to the purchase price and potential satisfaction of certain post-closing indemnification obligations. Additionally, we may become obligated to pay additional cash consideration of up to $1.0 million if certain revenue targets for the GP historical business are met for the twelve-month period following the closing. We currently estimate the fair value of the contingent obligation to be $1.0 million, which is shown in accrued liabilities on the consolidated balance sheet. The fair value of the contingent obligation was determined using the present value of estimated likely future payments.</w:t>
      </w:r>
    </w:p>
    <w:p>
      <w:pPr>
        <w:spacing w:after="0" w:line="146"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For the period from the closing of the GP acquisition through December 31, 2019, we recognized revenue of $10.5 million and operating income of $1.4 million. Operating income for the period from the closing of the acquisition through December 31, 2019 included $1.6 million in amortization expense for the acquired intangibles and step-up in value of acquired inventory associated with the acquisition of GP. Operating income for the year ended December 31, 2019 also included $0.9 million of costs associated with the acquisition of GP. The amortization expense for the acquired intangibles as well as the costs associated with the acquisition of GP are included in the cost of goods sold and selling, general and administrative expense in our consolidated statements of operations.</w:t>
      </w:r>
    </w:p>
    <w:p>
      <w:pPr>
        <w:spacing w:after="0" w:line="146"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color w:val="auto"/>
        </w:rPr>
        <w:t>These acquisitions have been accounted for under the acquisition method of accounting in accordance with ASC 805 - Business Combinations. Under ASC 805, the total estimated purchase consideration is allocated to the acquired tangible and intangible assets and assumed liabilities based on their estimated fair values as of the acquisition date. Any excess of the fair value of the acquisition consideration over the identifiable assets acquired and liabilities assumed is recognized as goodwill. We have completed our allocation of the purchase consideration for the MOI and GP acquisitions.</w:t>
      </w:r>
    </w:p>
    <w:p>
      <w:pPr>
        <w:spacing w:after="0" w:line="31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allocation of the purchase consideration of each acquisition: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80"/>
          </w:cols>
          <w:pgMar w:left="300" w:top="125" w:right="3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5080" w:type="dxa"/>
            <w:vAlign w:val="bottom"/>
            <w:gridSpan w:val="3"/>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1060" w:type="dxa"/>
            <w:vAlign w:val="bottom"/>
            <w:tcBorders>
              <w:top w:val="single" w:sz="8" w:color="0000EE"/>
            </w:tcBorders>
          </w:tcPr>
          <w:p>
            <w:pPr>
              <w:spacing w:after="0"/>
              <w:rPr>
                <w:sz w:val="24"/>
                <w:szCs w:val="24"/>
                <w:color w:val="auto"/>
              </w:rPr>
            </w:pPr>
          </w:p>
        </w:tc>
        <w:tc>
          <w:tcPr>
            <w:tcW w:w="3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060" w:type="dxa"/>
            <w:vAlign w:val="bottom"/>
            <w:tcBorders>
              <w:bottom w:val="single" w:sz="8" w:color="CCEEFF"/>
            </w:tcBorders>
            <w:shd w:val="clear" w:color="auto" w:fill="CCEEFF"/>
          </w:tcPr>
          <w:p>
            <w:pPr>
              <w:spacing w:after="0"/>
              <w:rPr>
                <w:sz w:val="18"/>
                <w:szCs w:val="18"/>
                <w:color w:val="auto"/>
              </w:rPr>
            </w:pPr>
          </w:p>
        </w:tc>
        <w:tc>
          <w:tcPr>
            <w:tcW w:w="36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MOI</w:t>
            </w: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1009"/>
              <w:spacing w:after="0"/>
              <w:rPr>
                <w:sz w:val="20"/>
                <w:szCs w:val="20"/>
                <w:color w:val="auto"/>
              </w:rPr>
            </w:pPr>
            <w:r>
              <w:rPr>
                <w:rFonts w:ascii="Arial" w:cs="Arial" w:eastAsia="Arial" w:hAnsi="Arial"/>
                <w:sz w:val="14"/>
                <w:szCs w:val="14"/>
                <w:color w:val="auto"/>
              </w:rPr>
              <w:t>GP</w:t>
            </w:r>
          </w:p>
        </w:tc>
        <w:tc>
          <w:tcPr>
            <w:tcW w:w="0" w:type="dxa"/>
            <w:vAlign w:val="bottom"/>
          </w:tcPr>
          <w:p>
            <w:pPr>
              <w:spacing w:after="0"/>
              <w:rPr>
                <w:sz w:val="1"/>
                <w:szCs w:val="1"/>
                <w:color w:val="auto"/>
              </w:rPr>
            </w:pPr>
          </w:p>
        </w:tc>
      </w:tr>
      <w:tr>
        <w:trPr>
          <w:trHeight w:val="181"/>
        </w:trPr>
        <w:tc>
          <w:tcPr>
            <w:tcW w:w="5080" w:type="dxa"/>
            <w:vAlign w:val="bottom"/>
            <w:gridSpan w:val="3"/>
          </w:tcPr>
          <w:p>
            <w:pPr>
              <w:ind w:left="20"/>
              <w:spacing w:after="0"/>
              <w:rPr>
                <w:sz w:val="20"/>
                <w:szCs w:val="20"/>
                <w:color w:val="auto"/>
              </w:rPr>
            </w:pPr>
            <w:r>
              <w:rPr>
                <w:rFonts w:ascii="Arial" w:cs="Arial" w:eastAsia="Arial" w:hAnsi="Arial"/>
                <w:sz w:val="14"/>
                <w:szCs w:val="14"/>
                <w:color w:val="auto"/>
              </w:rPr>
              <w:t>Accounts receivable</w:t>
            </w:r>
          </w:p>
        </w:tc>
        <w:tc>
          <w:tcPr>
            <w:tcW w:w="12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1,742,693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jc w:val="right"/>
              <w:ind w:right="629"/>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1,520,950</w:t>
            </w:r>
          </w:p>
        </w:tc>
        <w:tc>
          <w:tcPr>
            <w:tcW w:w="0" w:type="dxa"/>
            <w:vAlign w:val="bottom"/>
          </w:tcPr>
          <w:p>
            <w:pPr>
              <w:spacing w:after="0"/>
              <w:rPr>
                <w:sz w:val="1"/>
                <w:szCs w:val="1"/>
                <w:color w:val="auto"/>
              </w:rPr>
            </w:pPr>
          </w:p>
        </w:tc>
      </w:tr>
      <w:tr>
        <w:trPr>
          <w:trHeight w:val="22"/>
        </w:trPr>
        <w:tc>
          <w:tcPr>
            <w:tcW w:w="10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Inventory</w:t>
            </w:r>
          </w:p>
        </w:tc>
        <w:tc>
          <w:tcPr>
            <w:tcW w:w="1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1,435,606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2,698,000</w:t>
            </w:r>
          </w:p>
        </w:tc>
        <w:tc>
          <w:tcPr>
            <w:tcW w:w="0" w:type="dxa"/>
            <w:vAlign w:val="bottom"/>
          </w:tcPr>
          <w:p>
            <w:pPr>
              <w:spacing w:after="0"/>
              <w:rPr>
                <w:sz w:val="1"/>
                <w:szCs w:val="1"/>
                <w:color w:val="auto"/>
              </w:rPr>
            </w:pPr>
          </w:p>
        </w:tc>
      </w:tr>
      <w:tr>
        <w:trPr>
          <w:trHeight w:val="191"/>
        </w:trPr>
        <w:tc>
          <w:tcPr>
            <w:tcW w:w="5080" w:type="dxa"/>
            <w:vAlign w:val="bottom"/>
            <w:gridSpan w:val="3"/>
          </w:tcPr>
          <w:p>
            <w:pPr>
              <w:ind w:left="20"/>
              <w:spacing w:after="0"/>
              <w:rPr>
                <w:sz w:val="20"/>
                <w:szCs w:val="20"/>
                <w:color w:val="auto"/>
              </w:rPr>
            </w:pPr>
            <w:r>
              <w:rPr>
                <w:rFonts w:ascii="Arial" w:cs="Arial" w:eastAsia="Arial" w:hAnsi="Arial"/>
                <w:sz w:val="14"/>
                <w:szCs w:val="14"/>
                <w:color w:val="auto"/>
              </w:rPr>
              <w:t>Other current assets</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69,951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40" w:type="dxa"/>
            <w:vAlign w:val="bottom"/>
          </w:tcPr>
          <w:p>
            <w:pPr>
              <w:jc w:val="right"/>
              <w:ind w:right="29"/>
              <w:spacing w:after="0"/>
              <w:rPr>
                <w:sz w:val="20"/>
                <w:szCs w:val="20"/>
                <w:color w:val="auto"/>
              </w:rPr>
            </w:pPr>
            <w:r>
              <w:rPr>
                <w:rFonts w:ascii="Arial" w:cs="Arial" w:eastAsia="Arial" w:hAnsi="Arial"/>
                <w:sz w:val="14"/>
                <w:szCs w:val="14"/>
                <w:color w:val="auto"/>
              </w:rPr>
              <w:t>763,873</w:t>
            </w:r>
          </w:p>
        </w:tc>
        <w:tc>
          <w:tcPr>
            <w:tcW w:w="0" w:type="dxa"/>
            <w:vAlign w:val="bottom"/>
          </w:tcPr>
          <w:p>
            <w:pPr>
              <w:spacing w:after="0"/>
              <w:rPr>
                <w:sz w:val="1"/>
                <w:szCs w:val="1"/>
                <w:color w:val="auto"/>
              </w:rPr>
            </w:pPr>
          </w:p>
        </w:tc>
      </w:tr>
      <w:tr>
        <w:trPr>
          <w:trHeight w:val="22"/>
        </w:trPr>
        <w:tc>
          <w:tcPr>
            <w:tcW w:w="10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Property and equipment</w:t>
            </w:r>
          </w:p>
        </w:tc>
        <w:tc>
          <w:tcPr>
            <w:tcW w:w="1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996,460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286,000</w:t>
            </w:r>
          </w:p>
        </w:tc>
        <w:tc>
          <w:tcPr>
            <w:tcW w:w="0" w:type="dxa"/>
            <w:vAlign w:val="bottom"/>
          </w:tcPr>
          <w:p>
            <w:pPr>
              <w:spacing w:after="0"/>
              <w:rPr>
                <w:sz w:val="1"/>
                <w:szCs w:val="1"/>
                <w:color w:val="auto"/>
              </w:rPr>
            </w:pPr>
          </w:p>
        </w:tc>
      </w:tr>
      <w:tr>
        <w:trPr>
          <w:trHeight w:val="191"/>
        </w:trPr>
        <w:tc>
          <w:tcPr>
            <w:tcW w:w="5080" w:type="dxa"/>
            <w:vAlign w:val="bottom"/>
            <w:gridSpan w:val="3"/>
          </w:tcPr>
          <w:p>
            <w:pPr>
              <w:ind w:left="20"/>
              <w:spacing w:after="0"/>
              <w:rPr>
                <w:sz w:val="20"/>
                <w:szCs w:val="20"/>
                <w:color w:val="auto"/>
              </w:rPr>
            </w:pPr>
            <w:r>
              <w:rPr>
                <w:rFonts w:ascii="Arial" w:cs="Arial" w:eastAsia="Arial" w:hAnsi="Arial"/>
                <w:sz w:val="14"/>
                <w:szCs w:val="14"/>
                <w:color w:val="auto"/>
              </w:rPr>
              <w:t>Identifiable intangible assets</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1,650,000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40" w:type="dxa"/>
            <w:vAlign w:val="bottom"/>
          </w:tcPr>
          <w:p>
            <w:pPr>
              <w:jc w:val="right"/>
              <w:ind w:right="29"/>
              <w:spacing w:after="0"/>
              <w:rPr>
                <w:sz w:val="20"/>
                <w:szCs w:val="20"/>
                <w:color w:val="auto"/>
              </w:rPr>
            </w:pPr>
            <w:r>
              <w:rPr>
                <w:rFonts w:ascii="Arial" w:cs="Arial" w:eastAsia="Arial" w:hAnsi="Arial"/>
                <w:sz w:val="14"/>
                <w:szCs w:val="14"/>
                <w:color w:val="auto"/>
              </w:rPr>
              <w:t>8,200,000</w:t>
            </w:r>
          </w:p>
        </w:tc>
        <w:tc>
          <w:tcPr>
            <w:tcW w:w="0" w:type="dxa"/>
            <w:vAlign w:val="bottom"/>
          </w:tcPr>
          <w:p>
            <w:pPr>
              <w:spacing w:after="0"/>
              <w:rPr>
                <w:sz w:val="1"/>
                <w:szCs w:val="1"/>
                <w:color w:val="auto"/>
              </w:rPr>
            </w:pPr>
          </w:p>
        </w:tc>
      </w:tr>
      <w:tr>
        <w:trPr>
          <w:trHeight w:val="22"/>
        </w:trPr>
        <w:tc>
          <w:tcPr>
            <w:tcW w:w="10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1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29,760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10,511,916</w:t>
            </w:r>
          </w:p>
        </w:tc>
        <w:tc>
          <w:tcPr>
            <w:tcW w:w="0" w:type="dxa"/>
            <w:vAlign w:val="bottom"/>
          </w:tcPr>
          <w:p>
            <w:pPr>
              <w:spacing w:after="0"/>
              <w:rPr>
                <w:sz w:val="1"/>
                <w:szCs w:val="1"/>
                <w:color w:val="auto"/>
              </w:rPr>
            </w:pPr>
          </w:p>
        </w:tc>
      </w:tr>
      <w:tr>
        <w:trPr>
          <w:trHeight w:val="191"/>
        </w:trPr>
        <w:tc>
          <w:tcPr>
            <w:tcW w:w="5080" w:type="dxa"/>
            <w:vAlign w:val="bottom"/>
            <w:gridSpan w:val="3"/>
          </w:tcPr>
          <w:p>
            <w:pPr>
              <w:ind w:left="20"/>
              <w:spacing w:after="0"/>
              <w:rPr>
                <w:sz w:val="20"/>
                <w:szCs w:val="20"/>
                <w:color w:val="auto"/>
              </w:rPr>
            </w:pPr>
            <w:r>
              <w:rPr>
                <w:rFonts w:ascii="Arial" w:cs="Arial" w:eastAsia="Arial" w:hAnsi="Arial"/>
                <w:sz w:val="14"/>
                <w:szCs w:val="14"/>
                <w:color w:val="auto"/>
              </w:rPr>
              <w:t>Accounts payable and accrued expenses</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(379,737)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(4,076,489)</w:t>
            </w:r>
          </w:p>
        </w:tc>
        <w:tc>
          <w:tcPr>
            <w:tcW w:w="0" w:type="dxa"/>
            <w:vAlign w:val="bottom"/>
          </w:tcPr>
          <w:p>
            <w:pPr>
              <w:spacing w:after="0"/>
              <w:rPr>
                <w:sz w:val="1"/>
                <w:szCs w:val="1"/>
                <w:color w:val="auto"/>
              </w:rPr>
            </w:pPr>
          </w:p>
        </w:tc>
      </w:tr>
      <w:tr>
        <w:trPr>
          <w:trHeight w:val="22"/>
        </w:trPr>
        <w:tc>
          <w:tcPr>
            <w:tcW w:w="106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5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Total purchase consideration</w:t>
            </w:r>
          </w:p>
        </w:tc>
        <w:tc>
          <w:tcPr>
            <w:tcW w:w="1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5,544,733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29"/>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19,904,250</w:t>
            </w:r>
          </w:p>
        </w:tc>
        <w:tc>
          <w:tcPr>
            <w:tcW w:w="0" w:type="dxa"/>
            <w:vAlign w:val="bottom"/>
          </w:tcPr>
          <w:p>
            <w:pPr>
              <w:spacing w:after="0"/>
              <w:rPr>
                <w:sz w:val="1"/>
                <w:szCs w:val="1"/>
                <w:color w:val="auto"/>
              </w:rPr>
            </w:pPr>
          </w:p>
        </w:tc>
      </w:tr>
      <w:tr>
        <w:trPr>
          <w:trHeight w:val="20"/>
        </w:trPr>
        <w:tc>
          <w:tcPr>
            <w:tcW w:w="5080" w:type="dxa"/>
            <w:vAlign w:val="bottom"/>
            <w:gridSpan w:val="3"/>
            <w:vMerge w:val="restart"/>
          </w:tcPr>
          <w:p>
            <w:pPr>
              <w:ind w:left="320"/>
              <w:spacing w:after="0"/>
              <w:rPr>
                <w:sz w:val="20"/>
                <w:szCs w:val="20"/>
                <w:color w:val="auto"/>
              </w:rPr>
            </w:pPr>
            <w:r>
              <w:rPr>
                <w:rFonts w:ascii="Arial" w:cs="Arial" w:eastAsia="Arial" w:hAnsi="Arial"/>
                <w:sz w:val="14"/>
                <w:szCs w:val="14"/>
                <w:color w:val="auto"/>
                <w:w w:val="94"/>
              </w:rPr>
              <w:t>The identifiable intangible assets and their estimated useful lives were as follows:</w:t>
            </w: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080" w:type="dxa"/>
            <w:vAlign w:val="bottom"/>
            <w:gridSpan w:val="3"/>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060" w:type="dxa"/>
            <w:vAlign w:val="bottom"/>
          </w:tcPr>
          <w:p>
            <w:pPr>
              <w:spacing w:after="0"/>
              <w:rPr>
                <w:sz w:val="9"/>
                <w:szCs w:val="9"/>
                <w:color w:val="auto"/>
              </w:rPr>
            </w:pPr>
          </w:p>
        </w:tc>
        <w:tc>
          <w:tcPr>
            <w:tcW w:w="3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920" w:type="dxa"/>
            <w:vAlign w:val="bottom"/>
            <w:gridSpan w:val="2"/>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060" w:type="dxa"/>
            <w:vAlign w:val="bottom"/>
            <w:tcBorders>
              <w:bottom w:val="single" w:sz="8" w:color="CCEEFF"/>
            </w:tcBorders>
            <w:shd w:val="clear" w:color="auto" w:fill="CCEEFF"/>
          </w:tcPr>
          <w:p>
            <w:pPr>
              <w:spacing w:after="0"/>
              <w:rPr>
                <w:sz w:val="18"/>
                <w:szCs w:val="18"/>
                <w:color w:val="auto"/>
              </w:rPr>
            </w:pPr>
          </w:p>
        </w:tc>
        <w:tc>
          <w:tcPr>
            <w:tcW w:w="36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center"/>
              <w:ind w:right="249"/>
              <w:spacing w:after="0"/>
              <w:rPr>
                <w:sz w:val="20"/>
                <w:szCs w:val="20"/>
                <w:color w:val="auto"/>
              </w:rPr>
            </w:pPr>
            <w:r>
              <w:rPr>
                <w:rFonts w:ascii="Arial" w:cs="Arial" w:eastAsia="Arial" w:hAnsi="Arial"/>
                <w:sz w:val="14"/>
                <w:szCs w:val="14"/>
                <w:color w:val="auto"/>
                <w:w w:val="89"/>
              </w:rPr>
              <w:t>Estimated</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gridSpan w:val="4"/>
            <w:shd w:val="clear" w:color="auto" w:fill="CCEEFF"/>
          </w:tcPr>
          <w:p>
            <w:pPr>
              <w:jc w:val="right"/>
              <w:ind w:right="209"/>
              <w:spacing w:after="0"/>
              <w:rPr>
                <w:sz w:val="20"/>
                <w:szCs w:val="20"/>
                <w:color w:val="auto"/>
              </w:rPr>
            </w:pPr>
            <w:r>
              <w:rPr>
                <w:rFonts w:ascii="Arial" w:cs="Arial" w:eastAsia="Arial" w:hAnsi="Arial"/>
                <w:sz w:val="14"/>
                <w:szCs w:val="14"/>
                <w:color w:val="auto"/>
              </w:rPr>
              <w:t>Estimated Fair Value</w:t>
            </w:r>
          </w:p>
        </w:tc>
        <w:tc>
          <w:tcPr>
            <w:tcW w:w="1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0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center"/>
              <w:ind w:right="249"/>
              <w:spacing w:after="0"/>
              <w:rPr>
                <w:sz w:val="20"/>
                <w:szCs w:val="20"/>
                <w:color w:val="auto"/>
              </w:rPr>
            </w:pPr>
            <w:r>
              <w:rPr>
                <w:rFonts w:ascii="Arial" w:cs="Arial" w:eastAsia="Arial" w:hAnsi="Arial"/>
                <w:sz w:val="14"/>
                <w:szCs w:val="14"/>
                <w:color w:val="auto"/>
                <w:w w:val="96"/>
              </w:rPr>
              <w:t>Useful Life</w:t>
            </w:r>
          </w:p>
        </w:tc>
        <w:tc>
          <w:tcPr>
            <w:tcW w:w="120" w:type="dxa"/>
            <w:vAlign w:val="bottom"/>
          </w:tcPr>
          <w:p>
            <w:pPr>
              <w:spacing w:after="0"/>
              <w:rPr>
                <w:sz w:val="15"/>
                <w:szCs w:val="15"/>
                <w:color w:val="auto"/>
              </w:rPr>
            </w:pPr>
          </w:p>
        </w:tc>
        <w:tc>
          <w:tcPr>
            <w:tcW w:w="14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MOI</w:t>
            </w: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ind w:right="1009"/>
              <w:spacing w:after="0"/>
              <w:rPr>
                <w:sz w:val="20"/>
                <w:szCs w:val="20"/>
                <w:color w:val="auto"/>
              </w:rPr>
            </w:pPr>
            <w:r>
              <w:rPr>
                <w:rFonts w:ascii="Arial" w:cs="Arial" w:eastAsia="Arial" w:hAnsi="Arial"/>
                <w:sz w:val="14"/>
                <w:szCs w:val="14"/>
                <w:color w:val="auto"/>
              </w:rPr>
              <w:t>GP</w:t>
            </w:r>
          </w:p>
        </w:tc>
        <w:tc>
          <w:tcPr>
            <w:tcW w:w="0" w:type="dxa"/>
            <w:vAlign w:val="bottom"/>
          </w:tcPr>
          <w:p>
            <w:pPr>
              <w:spacing w:after="0"/>
              <w:rPr>
                <w:sz w:val="1"/>
                <w:szCs w:val="1"/>
                <w:color w:val="auto"/>
              </w:rPr>
            </w:pPr>
          </w:p>
        </w:tc>
      </w:tr>
      <w:tr>
        <w:trPr>
          <w:trHeight w:val="22"/>
        </w:trPr>
        <w:tc>
          <w:tcPr>
            <w:tcW w:w="106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1240" w:type="dxa"/>
            <w:vAlign w:val="bottom"/>
            <w:tcBorders>
              <w:bottom w:val="single" w:sz="8" w:color="CCEEFF"/>
            </w:tcBorders>
            <w:shd w:val="clear" w:color="auto" w:fill="CCEEFF"/>
          </w:tcPr>
          <w:p>
            <w:pPr>
              <w:jc w:val="center"/>
              <w:ind w:right="249"/>
              <w:spacing w:after="0"/>
              <w:rPr>
                <w:sz w:val="20"/>
                <w:szCs w:val="20"/>
                <w:color w:val="auto"/>
              </w:rPr>
            </w:pPr>
            <w:r>
              <w:rPr>
                <w:rFonts w:ascii="Arial" w:cs="Arial" w:eastAsia="Arial" w:hAnsi="Arial"/>
                <w:sz w:val="14"/>
                <w:szCs w:val="14"/>
                <w:color w:val="auto"/>
                <w:w w:val="90"/>
              </w:rPr>
              <w:t>5 - 8 years</w:t>
            </w:r>
          </w:p>
        </w:tc>
        <w:tc>
          <w:tcPr>
            <w:tcW w:w="1580" w:type="dxa"/>
            <w:vAlign w:val="bottom"/>
            <w:tcBorders>
              <w:bottom w:val="single" w:sz="8" w:color="CCEEFF"/>
            </w:tcBorders>
            <w:gridSpan w:val="2"/>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1,200,000</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629"/>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7,200,000</w:t>
            </w:r>
          </w:p>
        </w:tc>
        <w:tc>
          <w:tcPr>
            <w:tcW w:w="0" w:type="dxa"/>
            <w:vAlign w:val="bottom"/>
          </w:tcPr>
          <w:p>
            <w:pPr>
              <w:spacing w:after="0"/>
              <w:rPr>
                <w:sz w:val="1"/>
                <w:szCs w:val="1"/>
                <w:color w:val="auto"/>
              </w:rPr>
            </w:pPr>
          </w:p>
        </w:tc>
      </w:tr>
      <w:tr>
        <w:trPr>
          <w:trHeight w:val="191"/>
        </w:trPr>
        <w:tc>
          <w:tcPr>
            <w:tcW w:w="5080" w:type="dxa"/>
            <w:vAlign w:val="bottom"/>
            <w:gridSpan w:val="3"/>
          </w:tcPr>
          <w:p>
            <w:pPr>
              <w:ind w:left="20"/>
              <w:spacing w:after="0"/>
              <w:rPr>
                <w:sz w:val="20"/>
                <w:szCs w:val="20"/>
                <w:color w:val="auto"/>
              </w:rPr>
            </w:pPr>
            <w:r>
              <w:rPr>
                <w:rFonts w:ascii="Arial" w:cs="Arial" w:eastAsia="Arial" w:hAnsi="Arial"/>
                <w:sz w:val="14"/>
                <w:szCs w:val="14"/>
                <w:color w:val="auto"/>
              </w:rPr>
              <w:t>In-process research and development</w:t>
            </w:r>
          </w:p>
        </w:tc>
        <w:tc>
          <w:tcPr>
            <w:tcW w:w="1240" w:type="dxa"/>
            <w:vAlign w:val="bottom"/>
          </w:tcPr>
          <w:p>
            <w:pPr>
              <w:jc w:val="center"/>
              <w:ind w:right="249"/>
              <w:spacing w:after="0"/>
              <w:rPr>
                <w:sz w:val="20"/>
                <w:szCs w:val="20"/>
                <w:color w:val="auto"/>
              </w:rPr>
            </w:pPr>
            <w:r>
              <w:rPr>
                <w:rFonts w:ascii="Arial" w:cs="Arial" w:eastAsia="Arial" w:hAnsi="Arial"/>
                <w:sz w:val="14"/>
                <w:szCs w:val="14"/>
                <w:color w:val="auto"/>
                <w:w w:val="87"/>
              </w:rPr>
              <w:t>7 years</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200,000</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10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Trade names and trademarks</w:t>
            </w:r>
          </w:p>
        </w:tc>
        <w:tc>
          <w:tcPr>
            <w:tcW w:w="1240" w:type="dxa"/>
            <w:vAlign w:val="bottom"/>
            <w:tcBorders>
              <w:bottom w:val="single" w:sz="8" w:color="CCEEFF"/>
            </w:tcBorders>
            <w:shd w:val="clear" w:color="auto" w:fill="CCEEFF"/>
          </w:tcPr>
          <w:p>
            <w:pPr>
              <w:jc w:val="center"/>
              <w:ind w:right="249"/>
              <w:spacing w:after="0"/>
              <w:rPr>
                <w:sz w:val="20"/>
                <w:szCs w:val="20"/>
                <w:color w:val="auto"/>
              </w:rPr>
            </w:pPr>
            <w:r>
              <w:rPr>
                <w:rFonts w:ascii="Arial" w:cs="Arial" w:eastAsia="Arial" w:hAnsi="Arial"/>
                <w:sz w:val="14"/>
                <w:szCs w:val="14"/>
                <w:color w:val="auto"/>
                <w:w w:val="87"/>
              </w:rPr>
              <w:t>3 years</w:t>
            </w: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150,000</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91"/>
        </w:trPr>
        <w:tc>
          <w:tcPr>
            <w:tcW w:w="5080" w:type="dxa"/>
            <w:vAlign w:val="bottom"/>
            <w:gridSpan w:val="3"/>
          </w:tcPr>
          <w:p>
            <w:pPr>
              <w:ind w:left="20"/>
              <w:spacing w:after="0"/>
              <w:rPr>
                <w:sz w:val="20"/>
                <w:szCs w:val="20"/>
                <w:color w:val="auto"/>
              </w:rPr>
            </w:pPr>
            <w:r>
              <w:rPr>
                <w:rFonts w:ascii="Arial" w:cs="Arial" w:eastAsia="Arial" w:hAnsi="Arial"/>
                <w:sz w:val="14"/>
                <w:szCs w:val="14"/>
                <w:color w:val="auto"/>
              </w:rPr>
              <w:t>Customer base</w:t>
            </w:r>
          </w:p>
        </w:tc>
        <w:tc>
          <w:tcPr>
            <w:tcW w:w="1240" w:type="dxa"/>
            <w:vAlign w:val="bottom"/>
          </w:tcPr>
          <w:p>
            <w:pPr>
              <w:jc w:val="center"/>
              <w:ind w:right="269"/>
              <w:spacing w:after="0"/>
              <w:rPr>
                <w:sz w:val="20"/>
                <w:szCs w:val="20"/>
                <w:color w:val="auto"/>
              </w:rPr>
            </w:pPr>
            <w:r>
              <w:rPr>
                <w:rFonts w:ascii="Arial" w:cs="Arial" w:eastAsia="Arial" w:hAnsi="Arial"/>
                <w:sz w:val="14"/>
                <w:szCs w:val="14"/>
                <w:color w:val="auto"/>
                <w:w w:val="89"/>
              </w:rPr>
              <w:t>7 - 15 years</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40" w:type="dxa"/>
            <w:vAlign w:val="bottom"/>
          </w:tcPr>
          <w:p>
            <w:pPr>
              <w:jc w:val="right"/>
              <w:ind w:right="29"/>
              <w:spacing w:after="0"/>
              <w:rPr>
                <w:sz w:val="20"/>
                <w:szCs w:val="20"/>
                <w:color w:val="auto"/>
              </w:rPr>
            </w:pPr>
            <w:r>
              <w:rPr>
                <w:rFonts w:ascii="Arial" w:cs="Arial" w:eastAsia="Arial" w:hAnsi="Arial"/>
                <w:sz w:val="14"/>
                <w:szCs w:val="14"/>
                <w:color w:val="auto"/>
              </w:rPr>
              <w:t>600,000</w:t>
            </w:r>
          </w:p>
        </w:tc>
        <w:tc>
          <w:tcPr>
            <w:tcW w:w="0" w:type="dxa"/>
            <w:vAlign w:val="bottom"/>
          </w:tcPr>
          <w:p>
            <w:pPr>
              <w:spacing w:after="0"/>
              <w:rPr>
                <w:sz w:val="1"/>
                <w:szCs w:val="1"/>
                <w:color w:val="auto"/>
              </w:rPr>
            </w:pPr>
          </w:p>
        </w:tc>
      </w:tr>
      <w:tr>
        <w:trPr>
          <w:trHeight w:val="22"/>
        </w:trPr>
        <w:tc>
          <w:tcPr>
            <w:tcW w:w="106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1060" w:type="dxa"/>
            <w:vAlign w:val="bottom"/>
            <w:tcBorders>
              <w:bottom w:val="single" w:sz="8" w:color="CCEEFF"/>
            </w:tcBorders>
            <w:shd w:val="clear" w:color="auto" w:fill="CCEEFF"/>
          </w:tcPr>
          <w:p>
            <w:pPr>
              <w:spacing w:after="0"/>
              <w:rPr>
                <w:sz w:val="17"/>
                <w:szCs w:val="17"/>
                <w:color w:val="auto"/>
              </w:rPr>
            </w:pPr>
          </w:p>
        </w:tc>
        <w:tc>
          <w:tcPr>
            <w:tcW w:w="36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jc w:val="right"/>
              <w:ind w:right="12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1,650,000</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629"/>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8,200,000</w:t>
            </w: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Developed technologies acquired primarily consist of MOI's technologies related to fiber optic sensing instruments, modules, and components and GP's technologies relating to the measurement and control of the polarization of light. The developed technologies were valued using the "multi-period excess earnings" method, under the income approach. The multi-period excess earnings method reflects the present value of the projected cash flows that are expected by the developed technologies less charges representing the contribution of other assets to those cash flows. Discount rates of 24.5% and 17% were used to discount these cash flows of MOI and GP, respectively, to present value.</w:t>
      </w:r>
    </w:p>
    <w:p>
      <w:pPr>
        <w:spacing w:after="0" w:line="146" w:lineRule="exact"/>
        <w:rPr>
          <w:sz w:val="20"/>
          <w:szCs w:val="20"/>
          <w:color w:val="auto"/>
        </w:rPr>
      </w:pPr>
    </w:p>
    <w:p>
      <w:pPr>
        <w:jc w:val="both"/>
        <w:ind w:right="60" w:firstLine="318"/>
        <w:spacing w:after="0" w:line="297" w:lineRule="auto"/>
        <w:rPr>
          <w:sz w:val="20"/>
          <w:szCs w:val="20"/>
          <w:color w:val="auto"/>
        </w:rPr>
      </w:pPr>
      <w:r>
        <w:rPr>
          <w:rFonts w:ascii="Arial" w:cs="Arial" w:eastAsia="Arial" w:hAnsi="Arial"/>
          <w:sz w:val="13"/>
          <w:szCs w:val="13"/>
          <w:color w:val="auto"/>
        </w:rPr>
        <w:t>In-process research and development represents the fair value of an incomplete MOI research and development project that had not reached technological feasibility as of the closing date of the acquisition. In the fourth quarter of 2019, the fair value of this project at the closing date of the acquisition will begin being amortized following the project's completion. The fair value of in process research and development was determined using the multi-period excess earnings method. A discount rate of 29.5% was used to discount these cash flows to the present value.</w:t>
      </w:r>
    </w:p>
    <w:p>
      <w:pPr>
        <w:spacing w:after="0" w:line="124" w:lineRule="exact"/>
        <w:rPr>
          <w:sz w:val="20"/>
          <w:szCs w:val="20"/>
          <w:color w:val="auto"/>
        </w:rPr>
      </w:pPr>
    </w:p>
    <w:p>
      <w:pPr>
        <w:ind w:right="220" w:firstLine="318"/>
        <w:spacing w:after="0" w:line="262" w:lineRule="auto"/>
        <w:rPr>
          <w:sz w:val="20"/>
          <w:szCs w:val="20"/>
          <w:color w:val="auto"/>
        </w:rPr>
      </w:pPr>
      <w:r>
        <w:rPr>
          <w:rFonts w:ascii="Arial" w:cs="Arial" w:eastAsia="Arial" w:hAnsi="Arial"/>
          <w:sz w:val="14"/>
          <w:szCs w:val="14"/>
          <w:color w:val="auto"/>
        </w:rPr>
        <w:t>Customer base represents the fair value of projected cash flows that will be derived from the sale of products to existing customers of MOI and GP as of the respective closing dates of their acquisitions. Customer relationships were valued using the "distributor" method, under the income approach. Under this premise, the margin of a distributor within the industry is deemed to be the margin attributable to customer relationships. This isolates the cash flows attributable to the customer relationships for which a market participant would be willing to pay. Discount rates of 24.5% and 16% were used to discount these cash flows of MOI and GP, respectively, to present value.</w:t>
      </w:r>
    </w:p>
    <w:p>
      <w:pPr>
        <w:spacing w:after="0" w:line="146" w:lineRule="exact"/>
        <w:rPr>
          <w:sz w:val="20"/>
          <w:szCs w:val="20"/>
          <w:color w:val="auto"/>
        </w:rPr>
      </w:pPr>
    </w:p>
    <w:p>
      <w:pPr>
        <w:jc w:val="both"/>
        <w:ind w:right="220" w:firstLine="318"/>
        <w:spacing w:after="0" w:line="297" w:lineRule="auto"/>
        <w:rPr>
          <w:sz w:val="20"/>
          <w:szCs w:val="20"/>
          <w:color w:val="auto"/>
        </w:rPr>
      </w:pPr>
      <w:r>
        <w:rPr>
          <w:rFonts w:ascii="Arial" w:cs="Arial" w:eastAsia="Arial" w:hAnsi="Arial"/>
          <w:sz w:val="13"/>
          <w:szCs w:val="13"/>
          <w:color w:val="auto"/>
        </w:rPr>
        <w:t>Trade names and trademarks are considered a type of guarantee of a certain level of quality or performance represented by the MOI and GP brands. Trade names and trademarks were valued using the "relief from royalty" method of the income approach. This method is based on the assumption that in lieu of ownership, a market participant would be willing to pay a royalty in order to exploit the related benefits of this asset. Discount rates of 17% and 16% were used to discount these cash flows of MOI and GP, respectively, to the present value.</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Goodwill represents the excess of consideration transferred over the net of the acquisition date fair values of the assets acquired and the liabilities assumed in connection with the acquisition.</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Goodwill generated from our business acquisitions was primarily attributable to expected synergies from future growth.</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 forma consolidated results of operations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80"/>
          </w:cols>
          <w:pgMar w:left="300" w:top="116" w:right="31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2" w:lineRule="exact"/>
        <w:rPr>
          <w:sz w:val="20"/>
          <w:szCs w:val="20"/>
          <w:color w:val="auto"/>
        </w:rPr>
      </w:pPr>
    </w:p>
    <w:p>
      <w:pPr>
        <w:ind w:right="100" w:firstLine="318"/>
        <w:spacing w:after="0" w:line="280" w:lineRule="auto"/>
        <w:rPr>
          <w:sz w:val="20"/>
          <w:szCs w:val="20"/>
          <w:color w:val="auto"/>
        </w:rPr>
      </w:pPr>
      <w:r>
        <w:rPr>
          <w:rFonts w:ascii="Arial" w:cs="Arial" w:eastAsia="Arial" w:hAnsi="Arial"/>
          <w:sz w:val="13"/>
          <w:szCs w:val="13"/>
          <w:color w:val="auto"/>
        </w:rPr>
        <w:t>The following unaudited pro forma financial information presents combined results of operations for each of the periods presented as if the acquisitions of MOI and GP had been completed on January 1, 2018. The pro forma information includes adjustments to depreciation expense for property and equipment acquired and amortization expense for the intangible assets acquired and the elimination of transaction expenses recognized in each period. Transaction-related expenses associated with the acquisition and excluded from pro forma income from continuing operations were $1.0 million for the year ended December 31, 2019. There were no transaction-related expenses associated with the acquisition for the year ended December 31, 2018. The pro forma data are for informational purposes only and are not necessarily indicative of the consolidated results of operations or the combined business had the acquisitions of MOI and GP occurred on January 1, 2018, or the results of future operations of the combined business. For instance, planned or expected operational synergies following the acquisition are not reflected in the pro forma information. Consequently, actual results will differ from the unaudited pro forma information presented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560" w:type="dxa"/>
            <w:vAlign w:val="bottom"/>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3080" w:type="dxa"/>
            <w:vAlign w:val="bottom"/>
            <w:tcBorders>
              <w:bottom w:val="single" w:sz="8" w:color="auto"/>
              <w:right w:val="single" w:sz="8" w:color="CCEEFF"/>
            </w:tcBorders>
            <w:gridSpan w:val="6"/>
            <w:shd w:val="clear" w:color="auto" w:fill="CCEEFF"/>
          </w:tcPr>
          <w:p>
            <w:pPr>
              <w:jc w:val="right"/>
              <w:ind w:right="832"/>
              <w:spacing w:after="0"/>
              <w:rPr>
                <w:sz w:val="20"/>
                <w:szCs w:val="20"/>
                <w:color w:val="auto"/>
              </w:rPr>
            </w:pPr>
            <w:r>
              <w:rPr>
                <w:rFonts w:ascii="Arial" w:cs="Arial" w:eastAsia="Arial" w:hAnsi="Arial"/>
                <w:sz w:val="14"/>
                <w:szCs w:val="14"/>
                <w:color w:val="auto"/>
              </w:rPr>
              <w:t>Years Ended December 31,</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5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571"/>
              <w:spacing w:after="0"/>
              <w:rPr>
                <w:sz w:val="20"/>
                <w:szCs w:val="20"/>
                <w:color w:val="auto"/>
              </w:rPr>
            </w:pPr>
            <w:r>
              <w:rPr>
                <w:rFonts w:ascii="Arial" w:cs="Arial" w:eastAsia="Arial" w:hAnsi="Arial"/>
                <w:sz w:val="14"/>
                <w:szCs w:val="14"/>
                <w:color w:val="auto"/>
              </w:rPr>
              <w:t>2019</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312"/>
              <w:spacing w:after="0"/>
              <w:rPr>
                <w:sz w:val="20"/>
                <w:szCs w:val="20"/>
                <w:color w:val="auto"/>
              </w:rPr>
            </w:pPr>
            <w:r>
              <w:rPr>
                <w:rFonts w:ascii="Arial" w:cs="Arial" w:eastAsia="Arial" w:hAnsi="Arial"/>
                <w:sz w:val="14"/>
                <w:szCs w:val="14"/>
                <w:color w:val="auto"/>
                <w:w w:val="89"/>
              </w:rPr>
              <w:t>2018</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1560" w:type="dxa"/>
            <w:vAlign w:val="bottom"/>
          </w:tcPr>
          <w:p>
            <w:pPr>
              <w:spacing w:after="0"/>
              <w:rPr>
                <w:sz w:val="14"/>
                <w:szCs w:val="14"/>
                <w:color w:val="auto"/>
              </w:rPr>
            </w:pPr>
          </w:p>
        </w:tc>
        <w:tc>
          <w:tcPr>
            <w:tcW w:w="48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3"/>
                <w:szCs w:val="13"/>
                <w:color w:val="auto"/>
              </w:rPr>
              <w:t>(unaudited)</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right w:val="single" w:sz="8" w:color="CCEEFF"/>
            </w:tcBorders>
            <w:shd w:val="clear" w:color="auto" w:fill="CCEEFF"/>
          </w:tcPr>
          <w:p>
            <w:pPr>
              <w:jc w:val="center"/>
              <w:ind w:right="312"/>
              <w:spacing w:after="0"/>
              <w:rPr>
                <w:sz w:val="20"/>
                <w:szCs w:val="20"/>
                <w:color w:val="auto"/>
              </w:rPr>
            </w:pPr>
            <w:r>
              <w:rPr>
                <w:rFonts w:ascii="Arial" w:cs="Arial" w:eastAsia="Arial" w:hAnsi="Arial"/>
                <w:sz w:val="13"/>
                <w:szCs w:val="13"/>
                <w:color w:val="auto"/>
                <w:w w:val="91"/>
              </w:rPr>
              <w:t>(unaudited)</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1560" w:type="dxa"/>
            <w:vAlign w:val="bottom"/>
          </w:tcPr>
          <w:p>
            <w:pPr>
              <w:spacing w:after="0"/>
              <w:rPr>
                <w:sz w:val="21"/>
                <w:szCs w:val="21"/>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Revenue</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72,576,902</w:t>
            </w:r>
          </w:p>
        </w:tc>
        <w:tc>
          <w:tcPr>
            <w:tcW w:w="2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60,249,896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56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4"/>
                <w:szCs w:val="14"/>
                <w:color w:val="auto"/>
              </w:rPr>
              <w:t>Income from continuing operations</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6,912,802</w:t>
            </w:r>
          </w:p>
        </w:tc>
        <w:tc>
          <w:tcPr>
            <w:tcW w:w="240" w:type="dxa"/>
            <w:vAlign w:val="bottom"/>
          </w:tcPr>
          <w:p>
            <w:pPr>
              <w:spacing w:after="0"/>
              <w:rPr>
                <w:sz w:val="17"/>
                <w:szCs w:val="17"/>
                <w:color w:val="auto"/>
              </w:rPr>
            </w:pPr>
          </w:p>
        </w:tc>
        <w:tc>
          <w:tcPr>
            <w:tcW w:w="1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1,559,008</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  Accounts Receivable, net</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63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Accounts receivable, net consist of the following:</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9"/>
        </w:trPr>
        <w:tc>
          <w:tcPr>
            <w:tcW w:w="1560" w:type="dxa"/>
            <w:vAlign w:val="bottom"/>
            <w:tcBorders>
              <w:bottom w:val="single" w:sz="8" w:color="CCEEFF"/>
            </w:tcBorders>
          </w:tcPr>
          <w:p>
            <w:pPr>
              <w:spacing w:after="0"/>
              <w:rPr>
                <w:sz w:val="24"/>
                <w:szCs w:val="24"/>
                <w:color w:val="auto"/>
              </w:rPr>
            </w:pPr>
          </w:p>
        </w:tc>
        <w:tc>
          <w:tcPr>
            <w:tcW w:w="48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56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CCEEFF"/>
            </w:tcBorders>
            <w:shd w:val="clear" w:color="auto" w:fill="CCEEFF"/>
          </w:tcPr>
          <w:p>
            <w:pPr>
              <w:jc w:val="right"/>
              <w:ind w:right="512"/>
              <w:spacing w:after="0"/>
              <w:rPr>
                <w:sz w:val="20"/>
                <w:szCs w:val="20"/>
                <w:color w:val="auto"/>
              </w:rPr>
            </w:pPr>
            <w:r>
              <w:rPr>
                <w:rFonts w:ascii="Arial" w:cs="Arial" w:eastAsia="Arial" w:hAnsi="Arial"/>
                <w:sz w:val="11"/>
                <w:szCs w:val="11"/>
                <w:b w:val="1"/>
                <w:bCs w:val="1"/>
                <w:color w:val="auto"/>
              </w:rPr>
              <w:t>2019</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181"/>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Billed</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3"/>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72"/>
              <w:spacing w:after="0"/>
              <w:rPr>
                <w:sz w:val="20"/>
                <w:szCs w:val="20"/>
                <w:color w:val="auto"/>
              </w:rPr>
            </w:pPr>
            <w:r>
              <w:rPr>
                <w:rFonts w:ascii="Arial" w:cs="Arial" w:eastAsia="Arial" w:hAnsi="Arial"/>
                <w:sz w:val="14"/>
                <w:szCs w:val="14"/>
                <w:color w:val="auto"/>
              </w:rPr>
              <w:t>17,193,742</w:t>
            </w:r>
          </w:p>
        </w:tc>
        <w:tc>
          <w:tcPr>
            <w:tcW w:w="58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13,289,790</w:t>
            </w:r>
          </w:p>
        </w:tc>
        <w:tc>
          <w:tcPr>
            <w:tcW w:w="0" w:type="dxa"/>
            <w:vAlign w:val="bottom"/>
          </w:tcPr>
          <w:p>
            <w:pPr>
              <w:spacing w:after="0"/>
              <w:rPr>
                <w:sz w:val="1"/>
                <w:szCs w:val="1"/>
                <w:color w:val="auto"/>
              </w:rPr>
            </w:pPr>
          </w:p>
        </w:tc>
      </w:tr>
      <w:tr>
        <w:trPr>
          <w:trHeight w:val="22"/>
        </w:trPr>
        <w:tc>
          <w:tcPr>
            <w:tcW w:w="6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right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5,182</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31,361</w:t>
            </w:r>
          </w:p>
        </w:tc>
        <w:tc>
          <w:tcPr>
            <w:tcW w:w="0" w:type="dxa"/>
            <w:vAlign w:val="bottom"/>
          </w:tcPr>
          <w:p>
            <w:pPr>
              <w:spacing w:after="0"/>
              <w:rPr>
                <w:sz w:val="1"/>
                <w:szCs w:val="1"/>
                <w:color w:val="auto"/>
              </w:rPr>
            </w:pPr>
          </w:p>
        </w:tc>
      </w:tr>
      <w:tr>
        <w:trPr>
          <w:trHeight w:val="181"/>
        </w:trPr>
        <w:tc>
          <w:tcPr>
            <w:tcW w:w="15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17,198,924</w:t>
            </w:r>
          </w:p>
        </w:tc>
        <w:tc>
          <w:tcPr>
            <w:tcW w:w="2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13,321,151</w:t>
            </w:r>
          </w:p>
        </w:tc>
        <w:tc>
          <w:tcPr>
            <w:tcW w:w="0" w:type="dxa"/>
            <w:vAlign w:val="bottom"/>
          </w:tcPr>
          <w:p>
            <w:pPr>
              <w:spacing w:after="0"/>
              <w:rPr>
                <w:sz w:val="1"/>
                <w:szCs w:val="1"/>
                <w:color w:val="auto"/>
              </w:rPr>
            </w:pPr>
          </w:p>
        </w:tc>
      </w:tr>
      <w:tr>
        <w:trPr>
          <w:trHeight w:val="22"/>
        </w:trPr>
        <w:tc>
          <w:tcPr>
            <w:tcW w:w="6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Less: allowance for doubtful accounts</w:t>
            </w: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right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(930,279)</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(284,083)</w:t>
            </w:r>
          </w:p>
        </w:tc>
        <w:tc>
          <w:tcPr>
            <w:tcW w:w="0" w:type="dxa"/>
            <w:vAlign w:val="bottom"/>
          </w:tcPr>
          <w:p>
            <w:pPr>
              <w:spacing w:after="0"/>
              <w:rPr>
                <w:sz w:val="1"/>
                <w:szCs w:val="1"/>
                <w:color w:val="auto"/>
              </w:rPr>
            </w:pPr>
          </w:p>
        </w:tc>
      </w:tr>
      <w:tr>
        <w:trPr>
          <w:trHeight w:val="181"/>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16,268,645</w:t>
            </w:r>
          </w:p>
        </w:tc>
        <w:tc>
          <w:tcPr>
            <w:tcW w:w="200" w:type="dxa"/>
            <w:vAlign w:val="bottom"/>
          </w:tcPr>
          <w:p>
            <w:pPr>
              <w:spacing w:after="0"/>
              <w:rPr>
                <w:sz w:val="15"/>
                <w:szCs w:val="15"/>
                <w:color w:val="auto"/>
              </w:rPr>
            </w:pPr>
          </w:p>
        </w:tc>
        <w:tc>
          <w:tcPr>
            <w:tcW w:w="38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13,037,068</w:t>
            </w:r>
          </w:p>
        </w:tc>
        <w:tc>
          <w:tcPr>
            <w:tcW w:w="0" w:type="dxa"/>
            <w:vAlign w:val="bottom"/>
          </w:tcPr>
          <w:p>
            <w:pPr>
              <w:spacing w:after="0"/>
              <w:rPr>
                <w:sz w:val="1"/>
                <w:szCs w:val="1"/>
                <w:color w:val="auto"/>
              </w:rPr>
            </w:pPr>
          </w:p>
        </w:tc>
      </w:tr>
      <w:tr>
        <w:trPr>
          <w:trHeight w:val="22"/>
        </w:trPr>
        <w:tc>
          <w:tcPr>
            <w:tcW w:w="6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4.  Property and Equipment, net</w:t>
            </w: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3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Property and equipment, net, consists of the following:</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0" w:type="dxa"/>
            <w:vAlign w:val="bottom"/>
            <w:gridSpan w:val="2"/>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560" w:type="dxa"/>
            <w:vAlign w:val="bottom"/>
            <w:shd w:val="clear" w:color="auto" w:fill="CCEEFF"/>
          </w:tcPr>
          <w:p>
            <w:pPr>
              <w:spacing w:after="0"/>
              <w:rPr>
                <w:sz w:val="13"/>
                <w:szCs w:val="13"/>
                <w:color w:val="auto"/>
              </w:rPr>
            </w:pPr>
          </w:p>
        </w:tc>
        <w:tc>
          <w:tcPr>
            <w:tcW w:w="4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760" w:type="dxa"/>
            <w:vAlign w:val="bottom"/>
            <w:tcBorders>
              <w:bottom w:val="single" w:sz="8" w:color="auto"/>
            </w:tcBorders>
            <w:gridSpan w:val="3"/>
            <w:shd w:val="clear" w:color="auto" w:fill="CCEEFF"/>
          </w:tcPr>
          <w:p>
            <w:pPr>
              <w:jc w:val="right"/>
              <w:ind w:right="149"/>
              <w:spacing w:after="0"/>
              <w:rPr>
                <w:sz w:val="20"/>
                <w:szCs w:val="20"/>
                <w:color w:val="auto"/>
              </w:rPr>
            </w:pPr>
            <w:r>
              <w:rPr>
                <w:rFonts w:ascii="Arial" w:cs="Arial" w:eastAsia="Arial" w:hAnsi="Arial"/>
                <w:sz w:val="11"/>
                <w:szCs w:val="11"/>
                <w:b w:val="1"/>
                <w:bCs w:val="1"/>
                <w:color w:val="auto"/>
              </w:rPr>
              <w:t>December 31,</w:t>
            </w:r>
          </w:p>
        </w:tc>
        <w:tc>
          <w:tcPr>
            <w:tcW w:w="9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560" w:type="dxa"/>
            <w:vAlign w:val="bottom"/>
            <w:tcBorders>
              <w:bottom w:val="single" w:sz="8" w:color="CCEEFF"/>
            </w:tcBorders>
          </w:tcPr>
          <w:p>
            <w:pPr>
              <w:spacing w:after="0"/>
              <w:rPr>
                <w:sz w:val="17"/>
                <w:szCs w:val="17"/>
                <w:color w:val="auto"/>
              </w:rPr>
            </w:pPr>
          </w:p>
        </w:tc>
        <w:tc>
          <w:tcPr>
            <w:tcW w:w="48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92"/>
              <w:spacing w:after="0"/>
              <w:rPr>
                <w:sz w:val="20"/>
                <w:szCs w:val="20"/>
                <w:color w:val="auto"/>
              </w:rPr>
            </w:pPr>
            <w:r>
              <w:rPr>
                <w:rFonts w:ascii="Arial" w:cs="Arial" w:eastAsia="Arial" w:hAnsi="Arial"/>
                <w:sz w:val="11"/>
                <w:szCs w:val="11"/>
                <w:b w:val="1"/>
                <w:bCs w:val="1"/>
                <w:color w:val="auto"/>
                <w:w w:val="89"/>
              </w:rPr>
              <w:t>2019</w:t>
            </w: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187"/>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Building</w:t>
            </w:r>
          </w:p>
        </w:tc>
        <w:tc>
          <w:tcPr>
            <w:tcW w:w="2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right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69,556</w:t>
            </w:r>
          </w:p>
        </w:tc>
        <w:tc>
          <w:tcPr>
            <w:tcW w:w="580" w:type="dxa"/>
            <w:vAlign w:val="bottom"/>
            <w:tcBorders>
              <w:bottom w:val="single" w:sz="8" w:color="CCEEFF"/>
            </w:tcBorders>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69,556</w:t>
            </w:r>
          </w:p>
        </w:tc>
        <w:tc>
          <w:tcPr>
            <w:tcW w:w="0" w:type="dxa"/>
            <w:vAlign w:val="bottom"/>
          </w:tcPr>
          <w:p>
            <w:pPr>
              <w:spacing w:after="0"/>
              <w:rPr>
                <w:sz w:val="1"/>
                <w:szCs w:val="1"/>
                <w:color w:val="auto"/>
              </w:rPr>
            </w:pPr>
          </w:p>
        </w:tc>
      </w:tr>
      <w:tr>
        <w:trPr>
          <w:trHeight w:val="191"/>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Equipment</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72"/>
              <w:spacing w:after="0"/>
              <w:rPr>
                <w:sz w:val="20"/>
                <w:szCs w:val="20"/>
                <w:color w:val="auto"/>
              </w:rPr>
            </w:pPr>
            <w:r>
              <w:rPr>
                <w:rFonts w:ascii="Arial" w:cs="Arial" w:eastAsia="Arial" w:hAnsi="Arial"/>
                <w:sz w:val="14"/>
                <w:szCs w:val="14"/>
                <w:color w:val="auto"/>
              </w:rPr>
              <w:t>9,564,426</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9,341,007</w:t>
            </w:r>
          </w:p>
        </w:tc>
        <w:tc>
          <w:tcPr>
            <w:tcW w:w="0" w:type="dxa"/>
            <w:vAlign w:val="bottom"/>
          </w:tcPr>
          <w:p>
            <w:pPr>
              <w:spacing w:after="0"/>
              <w:rPr>
                <w:sz w:val="1"/>
                <w:szCs w:val="1"/>
                <w:color w:val="auto"/>
              </w:rPr>
            </w:pPr>
          </w:p>
        </w:tc>
      </w:tr>
      <w:tr>
        <w:trPr>
          <w:trHeight w:val="22"/>
        </w:trPr>
        <w:tc>
          <w:tcPr>
            <w:tcW w:w="6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2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right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684,812</w:t>
            </w: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640,890</w:t>
            </w:r>
          </w:p>
        </w:tc>
        <w:tc>
          <w:tcPr>
            <w:tcW w:w="0" w:type="dxa"/>
            <w:vAlign w:val="bottom"/>
          </w:tcPr>
          <w:p>
            <w:pPr>
              <w:spacing w:after="0"/>
              <w:rPr>
                <w:sz w:val="1"/>
                <w:szCs w:val="1"/>
                <w:color w:val="auto"/>
              </w:rPr>
            </w:pPr>
          </w:p>
        </w:tc>
      </w:tr>
      <w:tr>
        <w:trPr>
          <w:trHeight w:val="191"/>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Software</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72"/>
              <w:spacing w:after="0"/>
              <w:rPr>
                <w:sz w:val="20"/>
                <w:szCs w:val="20"/>
                <w:color w:val="auto"/>
              </w:rPr>
            </w:pPr>
            <w:r>
              <w:rPr>
                <w:rFonts w:ascii="Arial" w:cs="Arial" w:eastAsia="Arial" w:hAnsi="Arial"/>
                <w:sz w:val="14"/>
                <w:szCs w:val="14"/>
                <w:color w:val="auto"/>
              </w:rPr>
              <w:t>1,178,210</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1,122,231</w:t>
            </w:r>
          </w:p>
        </w:tc>
        <w:tc>
          <w:tcPr>
            <w:tcW w:w="0" w:type="dxa"/>
            <w:vAlign w:val="bottom"/>
          </w:tcPr>
          <w:p>
            <w:pPr>
              <w:spacing w:after="0"/>
              <w:rPr>
                <w:sz w:val="1"/>
                <w:szCs w:val="1"/>
                <w:color w:val="auto"/>
              </w:rPr>
            </w:pPr>
          </w:p>
        </w:tc>
      </w:tr>
      <w:tr>
        <w:trPr>
          <w:trHeight w:val="22"/>
        </w:trPr>
        <w:tc>
          <w:tcPr>
            <w:tcW w:w="6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right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5,287,935</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4,950,510</w:t>
            </w:r>
          </w:p>
        </w:tc>
        <w:tc>
          <w:tcPr>
            <w:tcW w:w="0" w:type="dxa"/>
            <w:vAlign w:val="bottom"/>
          </w:tcPr>
          <w:p>
            <w:pPr>
              <w:spacing w:after="0"/>
              <w:rPr>
                <w:sz w:val="1"/>
                <w:szCs w:val="1"/>
                <w:color w:val="auto"/>
              </w:rPr>
            </w:pPr>
          </w:p>
        </w:tc>
      </w:tr>
      <w:tr>
        <w:trPr>
          <w:trHeight w:val="181"/>
        </w:trPr>
        <w:tc>
          <w:tcPr>
            <w:tcW w:w="15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16,784,939</w:t>
            </w:r>
          </w:p>
        </w:tc>
        <w:tc>
          <w:tcPr>
            <w:tcW w:w="2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16,124,194</w:t>
            </w:r>
          </w:p>
        </w:tc>
        <w:tc>
          <w:tcPr>
            <w:tcW w:w="0" w:type="dxa"/>
            <w:vAlign w:val="bottom"/>
          </w:tcPr>
          <w:p>
            <w:pPr>
              <w:spacing w:after="0"/>
              <w:rPr>
                <w:sz w:val="1"/>
                <w:szCs w:val="1"/>
                <w:color w:val="auto"/>
              </w:rPr>
            </w:pPr>
          </w:p>
        </w:tc>
      </w:tr>
      <w:tr>
        <w:trPr>
          <w:trHeight w:val="22"/>
        </w:trPr>
        <w:tc>
          <w:tcPr>
            <w:tcW w:w="6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Less—accumulated depreciation</w:t>
            </w: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right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(13,319,327)</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(12,496,308)</w:t>
            </w:r>
          </w:p>
        </w:tc>
        <w:tc>
          <w:tcPr>
            <w:tcW w:w="0" w:type="dxa"/>
            <w:vAlign w:val="bottom"/>
          </w:tcPr>
          <w:p>
            <w:pPr>
              <w:spacing w:after="0"/>
              <w:rPr>
                <w:sz w:val="1"/>
                <w:szCs w:val="1"/>
                <w:color w:val="auto"/>
              </w:rPr>
            </w:pPr>
          </w:p>
        </w:tc>
      </w:tr>
      <w:tr>
        <w:trPr>
          <w:trHeight w:val="181"/>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3,465,612</w:t>
            </w:r>
          </w:p>
        </w:tc>
        <w:tc>
          <w:tcPr>
            <w:tcW w:w="200" w:type="dxa"/>
            <w:vAlign w:val="bottom"/>
          </w:tcPr>
          <w:p>
            <w:pPr>
              <w:spacing w:after="0"/>
              <w:rPr>
                <w:sz w:val="15"/>
                <w:szCs w:val="15"/>
                <w:color w:val="auto"/>
              </w:rPr>
            </w:pPr>
          </w:p>
        </w:tc>
        <w:tc>
          <w:tcPr>
            <w:tcW w:w="38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3,627,886</w:t>
            </w: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right="220" w:firstLine="340"/>
        <w:spacing w:after="0" w:line="281" w:lineRule="auto"/>
        <w:rPr>
          <w:sz w:val="20"/>
          <w:szCs w:val="20"/>
          <w:color w:val="auto"/>
        </w:rPr>
      </w:pPr>
      <w:r>
        <w:rPr>
          <w:rFonts w:ascii="Arial" w:cs="Arial" w:eastAsia="Arial" w:hAnsi="Arial"/>
          <w:sz w:val="14"/>
          <w:szCs w:val="14"/>
          <w:color w:val="auto"/>
        </w:rPr>
        <w:t>Depreciation for the years ended December 31, 2019 and 2018 was approximately $1.0 million and $0.5 million, respectively, and is included primarily in selling, general and administrative expense in our consolidated statements of operations.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80"/>
          </w:cols>
          <w:pgMar w:left="300" w:top="125" w:right="31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79"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5.</w:t>
      </w:r>
      <w:r>
        <w:rPr>
          <w:sz w:val="20"/>
          <w:szCs w:val="20"/>
          <w:color w:val="auto"/>
        </w:rPr>
        <w:tab/>
      </w:r>
      <w:r>
        <w:rPr>
          <w:rFonts w:ascii="Arial" w:cs="Arial" w:eastAsia="Arial" w:hAnsi="Arial"/>
          <w:sz w:val="12"/>
          <w:szCs w:val="12"/>
          <w:b w:val="1"/>
          <w:bCs w:val="1"/>
          <w:color w:val="auto"/>
        </w:rPr>
        <w:t>Intangible Assets, net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Intangible assets, net consist of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3"/>
            <w:shd w:val="clear" w:color="auto" w:fill="CCEEFF"/>
          </w:tcPr>
          <w:p>
            <w:pPr>
              <w:jc w:val="right"/>
              <w:ind w:right="69"/>
              <w:spacing w:after="0"/>
              <w:rPr>
                <w:sz w:val="20"/>
                <w:szCs w:val="20"/>
                <w:color w:val="auto"/>
              </w:rPr>
            </w:pPr>
            <w:r>
              <w:rPr>
                <w:rFonts w:ascii="Arial" w:cs="Arial" w:eastAsia="Arial" w:hAnsi="Arial"/>
                <w:sz w:val="11"/>
                <w:szCs w:val="11"/>
                <w:b w:val="1"/>
                <w:bCs w:val="1"/>
                <w:color w:val="auto"/>
              </w:rPr>
              <w:t>December 31,</w:t>
            </w:r>
          </w:p>
        </w:tc>
        <w:tc>
          <w:tcPr>
            <w:tcW w:w="900" w:type="dxa"/>
            <w:vAlign w:val="bottom"/>
            <w:tcBorders>
              <w:bottom w:val="single" w:sz="8" w:color="auto"/>
            </w:tcBorders>
            <w:shd w:val="clear" w:color="auto" w:fill="CCEEFF"/>
          </w:tcPr>
          <w:p>
            <w:pPr>
              <w:spacing w:after="0"/>
              <w:rPr>
                <w:sz w:val="18"/>
                <w:szCs w:val="18"/>
                <w:color w:val="auto"/>
              </w:rPr>
            </w:pPr>
          </w:p>
        </w:tc>
      </w:tr>
      <w:tr>
        <w:trPr>
          <w:trHeight w:val="203"/>
        </w:trPr>
        <w:tc>
          <w:tcPr>
            <w:tcW w:w="608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Estimated Life</w:t>
            </w:r>
          </w:p>
        </w:tc>
        <w:tc>
          <w:tcPr>
            <w:tcW w:w="3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2018</w:t>
            </w:r>
          </w:p>
        </w:tc>
      </w:tr>
      <w:tr>
        <w:trPr>
          <w:trHeight w:val="187"/>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Patent costs</w:t>
            </w:r>
          </w:p>
        </w:tc>
        <w:tc>
          <w:tcPr>
            <w:tcW w:w="222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89"/>
              </w:rPr>
              <w:t>1 - 18 years</w:t>
            </w: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5,291,245</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4,991,460</w:t>
            </w:r>
          </w:p>
        </w:tc>
      </w:tr>
      <w:tr>
        <w:trPr>
          <w:trHeight w:val="191"/>
        </w:trPr>
        <w:tc>
          <w:tcPr>
            <w:tcW w:w="6080" w:type="dxa"/>
            <w:vAlign w:val="bottom"/>
          </w:tcPr>
          <w:p>
            <w:pPr>
              <w:ind w:left="20"/>
              <w:spacing w:after="0"/>
              <w:rPr>
                <w:sz w:val="20"/>
                <w:szCs w:val="20"/>
                <w:color w:val="auto"/>
              </w:rPr>
            </w:pPr>
            <w:r>
              <w:rPr>
                <w:rFonts w:ascii="Arial" w:cs="Arial" w:eastAsia="Arial" w:hAnsi="Arial"/>
                <w:sz w:val="14"/>
                <w:szCs w:val="14"/>
                <w:color w:val="auto"/>
              </w:rPr>
              <w:t>Developed technology</w:t>
            </w:r>
          </w:p>
        </w:tc>
        <w:tc>
          <w:tcPr>
            <w:tcW w:w="2220" w:type="dxa"/>
            <w:vAlign w:val="bottom"/>
            <w:gridSpan w:val="2"/>
          </w:tcPr>
          <w:p>
            <w:pPr>
              <w:jc w:val="center"/>
              <w:ind w:right="340"/>
              <w:spacing w:after="0"/>
              <w:rPr>
                <w:sz w:val="20"/>
                <w:szCs w:val="20"/>
                <w:color w:val="auto"/>
              </w:rPr>
            </w:pPr>
            <w:r>
              <w:rPr>
                <w:rFonts w:ascii="Arial" w:cs="Arial" w:eastAsia="Arial" w:hAnsi="Arial"/>
                <w:sz w:val="14"/>
                <w:szCs w:val="14"/>
                <w:color w:val="auto"/>
                <w:w w:val="87"/>
              </w:rPr>
              <w:t>5 years</w:t>
            </w:r>
          </w:p>
        </w:tc>
        <w:tc>
          <w:tcPr>
            <w:tcW w:w="320" w:type="dxa"/>
            <w:vAlign w:val="bottom"/>
          </w:tcPr>
          <w:p>
            <w:pPr>
              <w:spacing w:after="0"/>
              <w:rPr>
                <w:sz w:val="16"/>
                <w:szCs w:val="16"/>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9,800,000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2,600,000</w:t>
            </w:r>
          </w:p>
        </w:tc>
      </w:tr>
      <w:tr>
        <w:trPr>
          <w:trHeight w:val="22"/>
        </w:trPr>
        <w:tc>
          <w:tcPr>
            <w:tcW w:w="6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In-process research and development</w:t>
            </w:r>
          </w:p>
        </w:tc>
        <w:tc>
          <w:tcPr>
            <w:tcW w:w="222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4"/>
                <w:szCs w:val="14"/>
                <w:color w:val="auto"/>
              </w:rPr>
              <w:t>N/A</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1,580,000</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200,000</w:t>
            </w:r>
          </w:p>
        </w:tc>
      </w:tr>
      <w:tr>
        <w:trPr>
          <w:trHeight w:val="191"/>
        </w:trPr>
        <w:tc>
          <w:tcPr>
            <w:tcW w:w="6080" w:type="dxa"/>
            <w:vAlign w:val="bottom"/>
          </w:tcPr>
          <w:p>
            <w:pPr>
              <w:ind w:left="20"/>
              <w:spacing w:after="0"/>
              <w:rPr>
                <w:sz w:val="20"/>
                <w:szCs w:val="20"/>
                <w:color w:val="auto"/>
              </w:rPr>
            </w:pPr>
            <w:r>
              <w:rPr>
                <w:rFonts w:ascii="Arial" w:cs="Arial" w:eastAsia="Arial" w:hAnsi="Arial"/>
                <w:sz w:val="14"/>
                <w:szCs w:val="14"/>
                <w:color w:val="auto"/>
              </w:rPr>
              <w:t>Customer base</w:t>
            </w:r>
          </w:p>
        </w:tc>
        <w:tc>
          <w:tcPr>
            <w:tcW w:w="2220" w:type="dxa"/>
            <w:vAlign w:val="bottom"/>
            <w:gridSpan w:val="2"/>
          </w:tcPr>
          <w:p>
            <w:pPr>
              <w:jc w:val="center"/>
              <w:ind w:right="340"/>
              <w:spacing w:after="0"/>
              <w:rPr>
                <w:sz w:val="20"/>
                <w:szCs w:val="20"/>
                <w:color w:val="auto"/>
              </w:rPr>
            </w:pPr>
            <w:r>
              <w:rPr>
                <w:rFonts w:ascii="Arial" w:cs="Arial" w:eastAsia="Arial" w:hAnsi="Arial"/>
                <w:sz w:val="14"/>
                <w:szCs w:val="14"/>
                <w:color w:val="auto"/>
                <w:w w:val="87"/>
              </w:rPr>
              <w:t>7 years</w:t>
            </w:r>
          </w:p>
        </w:tc>
        <w:tc>
          <w:tcPr>
            <w:tcW w:w="320" w:type="dxa"/>
            <w:vAlign w:val="bottom"/>
          </w:tcPr>
          <w:p>
            <w:pPr>
              <w:spacing w:after="0"/>
              <w:rPr>
                <w:sz w:val="16"/>
                <w:szCs w:val="16"/>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700,000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100,000</w:t>
            </w:r>
          </w:p>
        </w:tc>
      </w:tr>
      <w:tr>
        <w:trPr>
          <w:trHeight w:val="22"/>
        </w:trPr>
        <w:tc>
          <w:tcPr>
            <w:tcW w:w="6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2"/>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Trade names</w:t>
            </w:r>
          </w:p>
        </w:tc>
        <w:tc>
          <w:tcPr>
            <w:tcW w:w="222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4"/>
                <w:szCs w:val="14"/>
                <w:color w:val="auto"/>
                <w:w w:val="87"/>
              </w:rPr>
              <w:t>3 years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550,000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150,000</w:t>
            </w:r>
          </w:p>
        </w:tc>
      </w:tr>
      <w:tr>
        <w:trPr>
          <w:trHeight w:val="181"/>
        </w:trPr>
        <w:tc>
          <w:tcPr>
            <w:tcW w:w="60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17,921,245</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8,041,460</w:t>
            </w:r>
          </w:p>
        </w:tc>
      </w:tr>
      <w:tr>
        <w:trPr>
          <w:trHeight w:val="22"/>
        </w:trPr>
        <w:tc>
          <w:tcPr>
            <w:tcW w:w="6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2"/>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Accumulated amortization</w:t>
            </w:r>
          </w:p>
        </w:tc>
        <w:tc>
          <w:tcPr>
            <w:tcW w:w="18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(7,726,768)</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(4,739,190)</w:t>
            </w:r>
          </w:p>
        </w:tc>
      </w:tr>
      <w:tr>
        <w:trPr>
          <w:trHeight w:val="181"/>
        </w:trPr>
        <w:tc>
          <w:tcPr>
            <w:tcW w:w="608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1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10,194,477</w:t>
            </w:r>
          </w:p>
        </w:tc>
        <w:tc>
          <w:tcPr>
            <w:tcW w:w="100" w:type="dxa"/>
            <w:vAlign w:val="bottom"/>
          </w:tcPr>
          <w:p>
            <w:pPr>
              <w:spacing w:after="0"/>
              <w:rPr>
                <w:sz w:val="15"/>
                <w:szCs w:val="15"/>
                <w:color w:val="auto"/>
              </w:rPr>
            </w:pPr>
          </w:p>
        </w:tc>
        <w:tc>
          <w:tcPr>
            <w:tcW w:w="420" w:type="dxa"/>
            <w:vAlign w:val="bottom"/>
            <w:tcBorders>
              <w:top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3,302,270</w:t>
            </w:r>
          </w:p>
        </w:tc>
      </w:tr>
      <w:tr>
        <w:trPr>
          <w:trHeight w:val="22"/>
        </w:trPr>
        <w:tc>
          <w:tcPr>
            <w:tcW w:w="6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200" w:firstLine="340"/>
        <w:spacing w:after="0" w:line="281" w:lineRule="auto"/>
        <w:rPr>
          <w:sz w:val="20"/>
          <w:szCs w:val="20"/>
          <w:color w:val="auto"/>
        </w:rPr>
      </w:pPr>
      <w:r>
        <w:rPr>
          <w:rFonts w:ascii="Arial" w:cs="Arial" w:eastAsia="Arial" w:hAnsi="Arial"/>
          <w:sz w:val="14"/>
          <w:szCs w:val="14"/>
          <w:color w:val="auto"/>
        </w:rPr>
        <w:t>Amortization for the years ended December 31, 2019 and 2018 was approximately $1.6 million and $0.4 million, respectively, and is included primarily in selling, general and administrative expense in our consolidated statements of operations.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Estimated aggregate amortization, based on the net value of intangible assets at December 31, 2019, for each of the next five years and beyond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w w:val="92"/>
              </w:rPr>
              <w:t>Year Ending December 31,</w:t>
            </w:r>
          </w:p>
        </w:tc>
        <w:tc>
          <w:tcPr>
            <w:tcW w:w="79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spacing w:after="0"/>
              <w:rPr>
                <w:sz w:val="12"/>
                <w:szCs w:val="12"/>
                <w:color w:val="auto"/>
              </w:rPr>
            </w:pPr>
          </w:p>
        </w:tc>
      </w:tr>
      <w:tr>
        <w:trPr>
          <w:trHeight w:val="191"/>
        </w:trPr>
        <w:tc>
          <w:tcPr>
            <w:tcW w:w="1320" w:type="dxa"/>
            <w:vAlign w:val="bottom"/>
            <w:gridSpan w:val="2"/>
          </w:tcPr>
          <w:p>
            <w:pPr>
              <w:ind w:left="20"/>
              <w:spacing w:after="0"/>
              <w:rPr>
                <w:sz w:val="20"/>
                <w:szCs w:val="20"/>
                <w:color w:val="auto"/>
              </w:rPr>
            </w:pPr>
            <w:r>
              <w:rPr>
                <w:rFonts w:ascii="Arial" w:cs="Arial" w:eastAsia="Arial" w:hAnsi="Arial"/>
                <w:sz w:val="14"/>
                <w:szCs w:val="14"/>
                <w:color w:val="auto"/>
              </w:rPr>
              <w:t>2020</w:t>
            </w:r>
          </w:p>
        </w:tc>
        <w:tc>
          <w:tcPr>
            <w:tcW w:w="7940" w:type="dxa"/>
            <w:vAlign w:val="bottom"/>
          </w:tcPr>
          <w:p>
            <w:pPr>
              <w:spacing w:after="0"/>
              <w:rPr>
                <w:sz w:val="16"/>
                <w:szCs w:val="16"/>
                <w:color w:val="auto"/>
              </w:rPr>
            </w:pPr>
          </w:p>
        </w:tc>
        <w:tc>
          <w:tcPr>
            <w:tcW w:w="680" w:type="dxa"/>
            <w:vAlign w:val="bottom"/>
          </w:tcPr>
          <w:p>
            <w:pPr>
              <w:jc w:val="right"/>
              <w:ind w:right="529"/>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29"/>
              <w:spacing w:after="0"/>
              <w:rPr>
                <w:sz w:val="20"/>
                <w:szCs w:val="20"/>
                <w:color w:val="auto"/>
              </w:rPr>
            </w:pPr>
            <w:r>
              <w:rPr>
                <w:rFonts w:ascii="Arial" w:cs="Arial" w:eastAsia="Arial" w:hAnsi="Arial"/>
                <w:sz w:val="14"/>
                <w:szCs w:val="14"/>
                <w:color w:val="auto"/>
              </w:rPr>
              <w:t>1,640,851</w:t>
            </w:r>
          </w:p>
        </w:tc>
      </w:tr>
      <w:tr>
        <w:trPr>
          <w:trHeight w:val="22"/>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2"/>
        </w:trPr>
        <w:tc>
          <w:tcPr>
            <w:tcW w:w="1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79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1,660,112</w:t>
            </w:r>
          </w:p>
        </w:tc>
      </w:tr>
      <w:tr>
        <w:trPr>
          <w:trHeight w:val="191"/>
        </w:trPr>
        <w:tc>
          <w:tcPr>
            <w:tcW w:w="1320" w:type="dxa"/>
            <w:vAlign w:val="bottom"/>
            <w:gridSpan w:val="2"/>
          </w:tcPr>
          <w:p>
            <w:pPr>
              <w:ind w:left="20"/>
              <w:spacing w:after="0"/>
              <w:rPr>
                <w:sz w:val="20"/>
                <w:szCs w:val="20"/>
                <w:color w:val="auto"/>
              </w:rPr>
            </w:pPr>
            <w:r>
              <w:rPr>
                <w:rFonts w:ascii="Arial" w:cs="Arial" w:eastAsia="Arial" w:hAnsi="Arial"/>
                <w:sz w:val="14"/>
                <w:szCs w:val="14"/>
                <w:color w:val="auto"/>
              </w:rPr>
              <w:t>2022</w:t>
            </w:r>
          </w:p>
        </w:tc>
        <w:tc>
          <w:tcPr>
            <w:tcW w:w="7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jc w:val="right"/>
              <w:ind w:right="29"/>
              <w:spacing w:after="0"/>
              <w:rPr>
                <w:sz w:val="20"/>
                <w:szCs w:val="20"/>
                <w:color w:val="auto"/>
              </w:rPr>
            </w:pPr>
            <w:r>
              <w:rPr>
                <w:rFonts w:ascii="Arial" w:cs="Arial" w:eastAsia="Arial" w:hAnsi="Arial"/>
                <w:sz w:val="14"/>
                <w:szCs w:val="14"/>
                <w:color w:val="auto"/>
              </w:rPr>
              <w:t>1,509,418</w:t>
            </w:r>
          </w:p>
        </w:tc>
      </w:tr>
      <w:tr>
        <w:trPr>
          <w:trHeight w:val="22"/>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2"/>
        </w:trPr>
        <w:tc>
          <w:tcPr>
            <w:tcW w:w="1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79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1,437,195</w:t>
            </w:r>
          </w:p>
        </w:tc>
      </w:tr>
      <w:tr>
        <w:trPr>
          <w:trHeight w:val="191"/>
        </w:trPr>
        <w:tc>
          <w:tcPr>
            <w:tcW w:w="1320" w:type="dxa"/>
            <w:vAlign w:val="bottom"/>
            <w:gridSpan w:val="2"/>
          </w:tcPr>
          <w:p>
            <w:pPr>
              <w:ind w:left="20"/>
              <w:spacing w:after="0"/>
              <w:rPr>
                <w:sz w:val="20"/>
                <w:szCs w:val="20"/>
                <w:color w:val="auto"/>
              </w:rPr>
            </w:pPr>
            <w:r>
              <w:rPr>
                <w:rFonts w:ascii="Arial" w:cs="Arial" w:eastAsia="Arial" w:hAnsi="Arial"/>
                <w:sz w:val="14"/>
                <w:szCs w:val="14"/>
                <w:color w:val="auto"/>
              </w:rPr>
              <w:t>2024</w:t>
            </w:r>
          </w:p>
        </w:tc>
        <w:tc>
          <w:tcPr>
            <w:tcW w:w="7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jc w:val="right"/>
              <w:ind w:right="29"/>
              <w:spacing w:after="0"/>
              <w:rPr>
                <w:sz w:val="20"/>
                <w:szCs w:val="20"/>
                <w:color w:val="auto"/>
              </w:rPr>
            </w:pPr>
            <w:r>
              <w:rPr>
                <w:rFonts w:ascii="Arial" w:cs="Arial" w:eastAsia="Arial" w:hAnsi="Arial"/>
                <w:sz w:val="14"/>
                <w:szCs w:val="14"/>
                <w:color w:val="auto"/>
              </w:rPr>
              <w:t>1,247,195</w:t>
            </w:r>
          </w:p>
        </w:tc>
      </w:tr>
      <w:tr>
        <w:trPr>
          <w:trHeight w:val="22"/>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2"/>
        </w:trPr>
        <w:tc>
          <w:tcPr>
            <w:tcW w:w="9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2025 and beyond</w:t>
            </w:r>
          </w:p>
        </w:tc>
        <w:tc>
          <w:tcPr>
            <w:tcW w:w="6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2,699,706</w:t>
            </w:r>
          </w:p>
        </w:tc>
      </w:tr>
      <w:tr>
        <w:trPr>
          <w:trHeight w:val="181"/>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940" w:type="dxa"/>
            <w:vAlign w:val="bottom"/>
          </w:tcPr>
          <w:p>
            <w:pPr>
              <w:spacing w:after="0"/>
              <w:rPr>
                <w:sz w:val="15"/>
                <w:szCs w:val="15"/>
                <w:color w:val="auto"/>
              </w:rPr>
            </w:pPr>
          </w:p>
        </w:tc>
        <w:tc>
          <w:tcPr>
            <w:tcW w:w="680" w:type="dxa"/>
            <w:vAlign w:val="bottom"/>
            <w:tcBorders>
              <w:top w:val="single" w:sz="8" w:color="auto"/>
            </w:tcBorders>
          </w:tcPr>
          <w:p>
            <w:pPr>
              <w:jc w:val="right"/>
              <w:ind w:right="529"/>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10,194,477</w:t>
            </w:r>
          </w:p>
        </w:tc>
      </w:tr>
      <w:tr>
        <w:trPr>
          <w:trHeight w:val="22"/>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did not recognize any intangible asset impairment charges during the years ended December 31, 2019 or 2018.</w:t>
      </w:r>
    </w:p>
    <w:p>
      <w:pPr>
        <w:spacing w:after="0" w:line="344"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6.</w:t>
      </w:r>
      <w:r>
        <w:rPr>
          <w:sz w:val="20"/>
          <w:szCs w:val="20"/>
          <w:color w:val="auto"/>
        </w:rPr>
        <w:tab/>
      </w:r>
      <w:r>
        <w:rPr>
          <w:rFonts w:ascii="Arial" w:cs="Arial" w:eastAsia="Arial" w:hAnsi="Arial"/>
          <w:sz w:val="12"/>
          <w:szCs w:val="12"/>
          <w:b w:val="1"/>
          <w:bCs w:val="1"/>
          <w:color w:val="auto"/>
        </w:rPr>
        <w:t>Inventory</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Inventory consists of finished goods, work-in-process and raw materials valued at the lower of cost (determined on the first-in, first-out basis) or net realizable value.</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Components of inventory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5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3"/>
            <w:shd w:val="clear" w:color="auto" w:fill="CCEEFF"/>
          </w:tcPr>
          <w:p>
            <w:pPr>
              <w:jc w:val="right"/>
              <w:ind w:right="69"/>
              <w:spacing w:after="0"/>
              <w:rPr>
                <w:sz w:val="20"/>
                <w:szCs w:val="20"/>
                <w:color w:val="auto"/>
              </w:rPr>
            </w:pPr>
            <w:r>
              <w:rPr>
                <w:rFonts w:ascii="Arial" w:cs="Arial" w:eastAsia="Arial" w:hAnsi="Arial"/>
                <w:sz w:val="11"/>
                <w:szCs w:val="11"/>
                <w:b w:val="1"/>
                <w:bCs w:val="1"/>
                <w:color w:val="auto"/>
              </w:rPr>
              <w:t>December 31,</w:t>
            </w:r>
          </w:p>
        </w:tc>
        <w:tc>
          <w:tcPr>
            <w:tcW w:w="860" w:type="dxa"/>
            <w:vAlign w:val="bottom"/>
            <w:tcBorders>
              <w:bottom w:val="single" w:sz="8" w:color="auto"/>
            </w:tcBorders>
            <w:shd w:val="clear" w:color="auto" w:fill="CCEEFF"/>
          </w:tcPr>
          <w:p>
            <w:pPr>
              <w:spacing w:after="0"/>
              <w:rPr>
                <w:sz w:val="18"/>
                <w:szCs w:val="18"/>
                <w:color w:val="auto"/>
              </w:rPr>
            </w:pPr>
          </w:p>
        </w:tc>
      </w:tr>
      <w:tr>
        <w:trPr>
          <w:trHeight w:val="203"/>
        </w:trPr>
        <w:tc>
          <w:tcPr>
            <w:tcW w:w="85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1"/>
                <w:szCs w:val="11"/>
                <w:b w:val="1"/>
                <w:bCs w:val="1"/>
                <w:color w:val="auto"/>
              </w:rPr>
              <w:t>2019</w:t>
            </w:r>
          </w:p>
        </w:tc>
        <w:tc>
          <w:tcPr>
            <w:tcW w:w="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1"/>
                <w:szCs w:val="11"/>
                <w:b w:val="1"/>
                <w:bCs w:val="1"/>
                <w:color w:val="auto"/>
              </w:rPr>
              <w:t>2018</w:t>
            </w:r>
          </w:p>
        </w:tc>
      </w:tr>
      <w:tr>
        <w:trPr>
          <w:trHeight w:val="187"/>
        </w:trPr>
        <w:tc>
          <w:tcPr>
            <w:tcW w:w="8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Finished goods</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1,695,461</w:t>
            </w:r>
          </w:p>
        </w:tc>
        <w:tc>
          <w:tcPr>
            <w:tcW w:w="2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1,339,832</w:t>
            </w:r>
          </w:p>
        </w:tc>
      </w:tr>
      <w:tr>
        <w:trPr>
          <w:trHeight w:val="191"/>
        </w:trPr>
        <w:tc>
          <w:tcPr>
            <w:tcW w:w="8580" w:type="dxa"/>
            <w:vAlign w:val="bottom"/>
          </w:tcPr>
          <w:p>
            <w:pPr>
              <w:ind w:left="300"/>
              <w:spacing w:after="0"/>
              <w:rPr>
                <w:sz w:val="20"/>
                <w:szCs w:val="20"/>
                <w:color w:val="auto"/>
              </w:rPr>
            </w:pPr>
            <w:r>
              <w:rPr>
                <w:rFonts w:ascii="Arial" w:cs="Arial" w:eastAsia="Arial" w:hAnsi="Arial"/>
                <w:sz w:val="14"/>
                <w:szCs w:val="14"/>
                <w:color w:val="auto"/>
              </w:rPr>
              <w:t>Work-in-process</w:t>
            </w:r>
          </w:p>
        </w:tc>
        <w:tc>
          <w:tcPr>
            <w:tcW w:w="300" w:type="dxa"/>
            <w:vAlign w:val="bottom"/>
          </w:tcPr>
          <w:p>
            <w:pPr>
              <w:spacing w:after="0"/>
              <w:rPr>
                <w:sz w:val="16"/>
                <w:szCs w:val="16"/>
                <w:color w:val="auto"/>
              </w:rPr>
            </w:pPr>
          </w:p>
        </w:tc>
        <w:tc>
          <w:tcPr>
            <w:tcW w:w="940" w:type="dxa"/>
            <w:vAlign w:val="bottom"/>
          </w:tcPr>
          <w:p>
            <w:pPr>
              <w:jc w:val="right"/>
              <w:ind w:right="34"/>
              <w:spacing w:after="0"/>
              <w:rPr>
                <w:sz w:val="20"/>
                <w:szCs w:val="20"/>
                <w:color w:val="auto"/>
              </w:rPr>
            </w:pPr>
            <w:r>
              <w:rPr>
                <w:rFonts w:ascii="Arial" w:cs="Arial" w:eastAsia="Arial" w:hAnsi="Arial"/>
                <w:sz w:val="14"/>
                <w:szCs w:val="14"/>
                <w:color w:val="auto"/>
              </w:rPr>
              <w:t>1,007,719</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643,420</w:t>
            </w:r>
          </w:p>
        </w:tc>
      </w:tr>
      <w:tr>
        <w:trPr>
          <w:trHeight w:val="22"/>
        </w:trPr>
        <w:tc>
          <w:tcPr>
            <w:tcW w:w="8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2"/>
        </w:trPr>
        <w:tc>
          <w:tcPr>
            <w:tcW w:w="8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Raw materials</w:t>
            </w: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7,591,251</w:t>
            </w: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4,890,490</w:t>
            </w:r>
          </w:p>
        </w:tc>
      </w:tr>
      <w:tr>
        <w:trPr>
          <w:trHeight w:val="181"/>
        </w:trPr>
        <w:tc>
          <w:tcPr>
            <w:tcW w:w="8580" w:type="dxa"/>
            <w:vAlign w:val="bottom"/>
          </w:tcPr>
          <w:p>
            <w:pPr>
              <w:ind w:left="420"/>
              <w:spacing w:after="0"/>
              <w:rPr>
                <w:sz w:val="20"/>
                <w:szCs w:val="20"/>
                <w:color w:val="auto"/>
              </w:rPr>
            </w:pPr>
            <w:r>
              <w:rPr>
                <w:rFonts w:ascii="Arial" w:cs="Arial" w:eastAsia="Arial" w:hAnsi="Arial"/>
                <w:sz w:val="14"/>
                <w:szCs w:val="14"/>
                <w:color w:val="auto"/>
              </w:rPr>
              <w:t>Inventory, net</w:t>
            </w:r>
          </w:p>
        </w:tc>
        <w:tc>
          <w:tcPr>
            <w:tcW w:w="30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rPr>
              <w:t>10,294,431</w:t>
            </w:r>
          </w:p>
        </w:tc>
        <w:tc>
          <w:tcPr>
            <w:tcW w:w="2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6,873,742</w:t>
            </w:r>
          </w:p>
        </w:tc>
      </w:tr>
      <w:tr>
        <w:trPr>
          <w:trHeight w:val="22"/>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380" w:hanging="375"/>
        <w:spacing w:after="0"/>
        <w:tabs>
          <w:tab w:leader="none" w:pos="380"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Goodwill</w:t>
      </w:r>
    </w:p>
    <w:p>
      <w:pPr>
        <w:spacing w:after="0" w:line="183" w:lineRule="exact"/>
        <w:rPr>
          <w:sz w:val="20"/>
          <w:szCs w:val="20"/>
          <w:color w:val="auto"/>
        </w:rPr>
      </w:pPr>
    </w:p>
    <w:p>
      <w:pPr>
        <w:ind w:right="40" w:firstLine="509"/>
        <w:spacing w:after="0" w:line="281" w:lineRule="auto"/>
        <w:rPr>
          <w:sz w:val="20"/>
          <w:szCs w:val="20"/>
          <w:color w:val="auto"/>
        </w:rPr>
      </w:pPr>
      <w:r>
        <w:rPr>
          <w:rFonts w:ascii="Arial" w:cs="Arial" w:eastAsia="Arial" w:hAnsi="Arial"/>
          <w:sz w:val="14"/>
          <w:szCs w:val="14"/>
          <w:color w:val="auto"/>
        </w:rPr>
        <w:t>As of December 31, 2019, goodwill has been allocated to the Products and Licensing segment. The changes in the carrying value of goodwill during the year ended December 31, 2019 were as follows: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80"/>
          </w:cols>
          <w:pgMar w:left="300" w:top="125" w:right="31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1680" w:type="dxa"/>
        <w:tblCellMar>
          <w:top w:w="0" w:type="dxa"/>
          <w:left w:w="0" w:type="dxa"/>
          <w:bottom w:w="0" w:type="dxa"/>
          <w:right w:w="0" w:type="dxa"/>
        </w:tblCellMar>
      </w:tblPr>
      <w:tr>
        <w:trPr>
          <w:trHeight w:val="212"/>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2018</w:t>
            </w:r>
          </w:p>
        </w:tc>
        <w:tc>
          <w:tcPr>
            <w:tcW w:w="82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101,008</w:t>
            </w:r>
          </w:p>
        </w:tc>
      </w:tr>
      <w:tr>
        <w:trPr>
          <w:trHeight w:val="191"/>
        </w:trPr>
        <w:tc>
          <w:tcPr>
            <w:tcW w:w="5700" w:type="dxa"/>
            <w:vAlign w:val="bottom"/>
          </w:tcPr>
          <w:p>
            <w:pPr>
              <w:ind w:left="120"/>
              <w:spacing w:after="0"/>
              <w:rPr>
                <w:sz w:val="20"/>
                <w:szCs w:val="20"/>
                <w:color w:val="auto"/>
              </w:rPr>
            </w:pPr>
            <w:r>
              <w:rPr>
                <w:rFonts w:ascii="Arial" w:cs="Arial" w:eastAsia="Arial" w:hAnsi="Arial"/>
                <w:sz w:val="14"/>
                <w:szCs w:val="14"/>
                <w:color w:val="auto"/>
              </w:rPr>
              <w:t>Goodwill resulting from business combination - GP</w:t>
            </w:r>
          </w:p>
        </w:tc>
        <w:tc>
          <w:tcPr>
            <w:tcW w:w="820" w:type="dxa"/>
            <w:vAlign w:val="bottom"/>
          </w:tcPr>
          <w:p>
            <w:pPr>
              <w:spacing w:after="0"/>
              <w:rPr>
                <w:sz w:val="16"/>
                <w:szCs w:val="16"/>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color w:val="auto"/>
              </w:rPr>
              <w:t>10,511,916</w:t>
            </w:r>
          </w:p>
        </w:tc>
      </w:tr>
      <w:tr>
        <w:trPr>
          <w:trHeight w:val="22"/>
        </w:trPr>
        <w:tc>
          <w:tcPr>
            <w:tcW w:w="5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2"/>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Measurement Period Adjustment - MOI</w:t>
            </w:r>
          </w:p>
        </w:tc>
        <w:tc>
          <w:tcPr>
            <w:tcW w:w="8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(71,248)</w:t>
            </w:r>
          </w:p>
        </w:tc>
      </w:tr>
      <w:tr>
        <w:trPr>
          <w:trHeight w:val="197"/>
        </w:trPr>
        <w:tc>
          <w:tcPr>
            <w:tcW w:w="5700" w:type="dxa"/>
            <w:vAlign w:val="bottom"/>
          </w:tcPr>
          <w:p>
            <w:pPr>
              <w:ind w:left="20"/>
              <w:spacing w:after="0"/>
              <w:rPr>
                <w:sz w:val="20"/>
                <w:szCs w:val="20"/>
                <w:color w:val="auto"/>
              </w:rPr>
            </w:pPr>
            <w:r>
              <w:rPr>
                <w:rFonts w:ascii="Arial" w:cs="Arial" w:eastAsia="Arial" w:hAnsi="Arial"/>
                <w:sz w:val="14"/>
                <w:szCs w:val="14"/>
                <w:color w:val="auto"/>
              </w:rPr>
              <w:t>Balance as of December 31, 2019</w:t>
            </w:r>
          </w:p>
        </w:tc>
        <w:tc>
          <w:tcPr>
            <w:tcW w:w="820" w:type="dxa"/>
            <w:vAlign w:val="bottom"/>
            <w:tcBorders>
              <w:top w:val="single" w:sz="8" w:color="auto"/>
              <w:bottom w:val="single" w:sz="8" w:color="auto"/>
            </w:tcBorders>
          </w:tcPr>
          <w:p>
            <w:pPr>
              <w:jc w:val="right"/>
              <w:ind w:right="649"/>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10,541,676</w:t>
            </w:r>
          </w:p>
        </w:tc>
      </w:tr>
      <w:tr>
        <w:trPr>
          <w:trHeight w:val="20"/>
        </w:trPr>
        <w:tc>
          <w:tcPr>
            <w:tcW w:w="5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right="220" w:firstLine="509"/>
        <w:spacing w:after="0" w:line="281" w:lineRule="auto"/>
        <w:rPr>
          <w:sz w:val="20"/>
          <w:szCs w:val="20"/>
          <w:color w:val="auto"/>
        </w:rPr>
      </w:pPr>
      <w:r>
        <w:rPr>
          <w:rFonts w:ascii="Arial" w:cs="Arial" w:eastAsia="Arial" w:hAnsi="Arial"/>
          <w:sz w:val="14"/>
          <w:szCs w:val="14"/>
          <w:color w:val="auto"/>
        </w:rPr>
        <w:t>We concluded the carrying value of goodwill was not impaired as of December 31, 2019 as we determined that it was not more likely than not that the fair value of the reporting units was less than its carrying value.</w:t>
      </w:r>
    </w:p>
    <w:p>
      <w:pPr>
        <w:spacing w:after="0" w:line="128" w:lineRule="exact"/>
        <w:rPr>
          <w:sz w:val="20"/>
          <w:szCs w:val="20"/>
          <w:color w:val="auto"/>
        </w:rPr>
      </w:pPr>
    </w:p>
    <w:p>
      <w:pPr>
        <w:ind w:left="280" w:hanging="275"/>
        <w:spacing w:after="0"/>
        <w:tabs>
          <w:tab w:leader="none" w:pos="280" w:val="left"/>
        </w:tabs>
        <w:numPr>
          <w:ilvl w:val="0"/>
          <w:numId w:val="18"/>
        </w:numPr>
        <w:rPr>
          <w:rFonts w:ascii="Arial" w:cs="Arial" w:eastAsia="Arial" w:hAnsi="Arial"/>
          <w:sz w:val="14"/>
          <w:szCs w:val="14"/>
          <w:b w:val="1"/>
          <w:bCs w:val="1"/>
          <w:color w:val="auto"/>
        </w:rPr>
      </w:pPr>
      <w:r>
        <w:rPr>
          <w:rFonts w:ascii="Arial" w:cs="Arial" w:eastAsia="Arial" w:hAnsi="Arial"/>
          <w:sz w:val="14"/>
          <w:szCs w:val="14"/>
          <w:b w:val="1"/>
          <w:bCs w:val="1"/>
          <w:color w:val="auto"/>
        </w:rPr>
        <w:t>Accrued Liabilities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Accrued liabilities consist of the following:</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82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right"/>
              <w:ind w:right="109"/>
              <w:spacing w:after="0"/>
              <w:rPr>
                <w:sz w:val="20"/>
                <w:szCs w:val="20"/>
                <w:color w:val="auto"/>
              </w:rPr>
            </w:pPr>
            <w:r>
              <w:rPr>
                <w:rFonts w:ascii="Arial" w:cs="Arial" w:eastAsia="Arial" w:hAnsi="Arial"/>
                <w:sz w:val="11"/>
                <w:szCs w:val="11"/>
                <w:b w:val="1"/>
                <w:bCs w:val="1"/>
                <w:color w:val="auto"/>
              </w:rPr>
              <w:t>December 31,</w:t>
            </w:r>
          </w:p>
        </w:tc>
        <w:tc>
          <w:tcPr>
            <w:tcW w:w="10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20" w:type="dxa"/>
            <w:vAlign w:val="bottom"/>
            <w:tcBorders>
              <w:bottom w:val="single" w:sz="8" w:color="CCEEFF"/>
            </w:tcBorders>
          </w:tcPr>
          <w:p>
            <w:pPr>
              <w:spacing w:after="0"/>
              <w:rPr>
                <w:sz w:val="17"/>
                <w:szCs w:val="17"/>
                <w:color w:val="auto"/>
              </w:rPr>
            </w:pPr>
          </w:p>
        </w:tc>
        <w:tc>
          <w:tcPr>
            <w:tcW w:w="44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187"/>
        </w:trPr>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Accrued compensation</w:t>
            </w:r>
          </w:p>
        </w:tc>
        <w:tc>
          <w:tcPr>
            <w:tcW w:w="4780" w:type="dxa"/>
            <w:vAlign w:val="bottom"/>
            <w:tcBorders>
              <w:bottom w:val="single" w:sz="8" w:color="CCEEFF"/>
            </w:tcBorders>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6,416,163</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4,467,587</w:t>
            </w:r>
          </w:p>
        </w:tc>
        <w:tc>
          <w:tcPr>
            <w:tcW w:w="0" w:type="dxa"/>
            <w:vAlign w:val="bottom"/>
          </w:tcPr>
          <w:p>
            <w:pPr>
              <w:spacing w:after="0"/>
              <w:rPr>
                <w:sz w:val="1"/>
                <w:szCs w:val="1"/>
                <w:color w:val="auto"/>
              </w:rPr>
            </w:pPr>
          </w:p>
        </w:tc>
      </w:tr>
      <w:tr>
        <w:trPr>
          <w:trHeight w:val="191"/>
        </w:trPr>
        <w:tc>
          <w:tcPr>
            <w:tcW w:w="3820" w:type="dxa"/>
            <w:vAlign w:val="bottom"/>
          </w:tcPr>
          <w:p>
            <w:pPr>
              <w:ind w:left="260"/>
              <w:spacing w:after="0"/>
              <w:rPr>
                <w:sz w:val="20"/>
                <w:szCs w:val="20"/>
                <w:color w:val="auto"/>
              </w:rPr>
            </w:pPr>
            <w:r>
              <w:rPr>
                <w:rFonts w:ascii="Arial" w:cs="Arial" w:eastAsia="Arial" w:hAnsi="Arial"/>
                <w:sz w:val="14"/>
                <w:szCs w:val="14"/>
                <w:color w:val="auto"/>
              </w:rPr>
              <w:t>Contingent consideration - GP</w:t>
            </w:r>
          </w:p>
        </w:tc>
        <w:tc>
          <w:tcPr>
            <w:tcW w:w="4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8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Accrued professional fees</w:t>
            </w:r>
          </w:p>
        </w:tc>
        <w:tc>
          <w:tcPr>
            <w:tcW w:w="44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113,303</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198,062</w:t>
            </w:r>
          </w:p>
        </w:tc>
        <w:tc>
          <w:tcPr>
            <w:tcW w:w="0" w:type="dxa"/>
            <w:vAlign w:val="bottom"/>
          </w:tcPr>
          <w:p>
            <w:pPr>
              <w:spacing w:after="0"/>
              <w:rPr>
                <w:sz w:val="1"/>
                <w:szCs w:val="1"/>
                <w:color w:val="auto"/>
              </w:rPr>
            </w:pPr>
          </w:p>
        </w:tc>
      </w:tr>
      <w:tr>
        <w:trPr>
          <w:trHeight w:val="191"/>
        </w:trPr>
        <w:tc>
          <w:tcPr>
            <w:tcW w:w="3820" w:type="dxa"/>
            <w:vAlign w:val="bottom"/>
          </w:tcPr>
          <w:p>
            <w:pPr>
              <w:ind w:left="260"/>
              <w:spacing w:after="0"/>
              <w:rPr>
                <w:sz w:val="20"/>
                <w:szCs w:val="20"/>
                <w:color w:val="auto"/>
              </w:rPr>
            </w:pPr>
            <w:r>
              <w:rPr>
                <w:rFonts w:ascii="Arial" w:cs="Arial" w:eastAsia="Arial" w:hAnsi="Arial"/>
                <w:sz w:val="14"/>
                <w:szCs w:val="14"/>
                <w:color w:val="auto"/>
              </w:rPr>
              <w:t>Accrued income tax</w:t>
            </w:r>
          </w:p>
        </w:tc>
        <w:tc>
          <w:tcPr>
            <w:tcW w:w="4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715,916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236,636</w:t>
            </w:r>
          </w:p>
        </w:tc>
        <w:tc>
          <w:tcPr>
            <w:tcW w:w="0" w:type="dxa"/>
            <w:vAlign w:val="bottom"/>
          </w:tcPr>
          <w:p>
            <w:pPr>
              <w:spacing w:after="0"/>
              <w:rPr>
                <w:sz w:val="1"/>
                <w:szCs w:val="1"/>
                <w:color w:val="auto"/>
              </w:rPr>
            </w:pPr>
          </w:p>
        </w:tc>
      </w:tr>
      <w:tr>
        <w:trPr>
          <w:trHeight w:val="22"/>
        </w:trPr>
        <w:tc>
          <w:tcPr>
            <w:tcW w:w="38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Deferred rent</w:t>
            </w:r>
          </w:p>
        </w:tc>
        <w:tc>
          <w:tcPr>
            <w:tcW w:w="44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146,542</w:t>
            </w:r>
          </w:p>
        </w:tc>
        <w:tc>
          <w:tcPr>
            <w:tcW w:w="0" w:type="dxa"/>
            <w:vAlign w:val="bottom"/>
          </w:tcPr>
          <w:p>
            <w:pPr>
              <w:spacing w:after="0"/>
              <w:rPr>
                <w:sz w:val="1"/>
                <w:szCs w:val="1"/>
                <w:color w:val="auto"/>
              </w:rPr>
            </w:pPr>
          </w:p>
        </w:tc>
      </w:tr>
      <w:tr>
        <w:trPr>
          <w:trHeight w:val="191"/>
        </w:trPr>
        <w:tc>
          <w:tcPr>
            <w:tcW w:w="3820" w:type="dxa"/>
            <w:vAlign w:val="bottom"/>
          </w:tcPr>
          <w:p>
            <w:pPr>
              <w:ind w:left="260"/>
              <w:spacing w:after="0"/>
              <w:rPr>
                <w:sz w:val="20"/>
                <w:szCs w:val="20"/>
                <w:color w:val="auto"/>
              </w:rPr>
            </w:pPr>
            <w:r>
              <w:rPr>
                <w:rFonts w:ascii="Arial" w:cs="Arial" w:eastAsia="Arial" w:hAnsi="Arial"/>
                <w:sz w:val="14"/>
                <w:szCs w:val="14"/>
                <w:color w:val="auto"/>
              </w:rPr>
              <w:t>Current operating lease liability</w:t>
            </w:r>
          </w:p>
        </w:tc>
        <w:tc>
          <w:tcPr>
            <w:tcW w:w="4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1,283,310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8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Current finance lease liability</w:t>
            </w:r>
          </w:p>
        </w:tc>
        <w:tc>
          <w:tcPr>
            <w:tcW w:w="44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50,307</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820" w:type="dxa"/>
            <w:vAlign w:val="bottom"/>
          </w:tcPr>
          <w:p>
            <w:pPr>
              <w:ind w:left="260"/>
              <w:spacing w:after="0"/>
              <w:rPr>
                <w:sz w:val="20"/>
                <w:szCs w:val="20"/>
                <w:color w:val="auto"/>
              </w:rPr>
            </w:pPr>
            <w:r>
              <w:rPr>
                <w:rFonts w:ascii="Arial" w:cs="Arial" w:eastAsia="Arial" w:hAnsi="Arial"/>
                <w:sz w:val="14"/>
                <w:szCs w:val="14"/>
                <w:color w:val="auto"/>
              </w:rPr>
              <w:t>Accrued royalties</w:t>
            </w:r>
          </w:p>
        </w:tc>
        <w:tc>
          <w:tcPr>
            <w:tcW w:w="4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364,951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302,428</w:t>
            </w:r>
          </w:p>
        </w:tc>
        <w:tc>
          <w:tcPr>
            <w:tcW w:w="0" w:type="dxa"/>
            <w:vAlign w:val="bottom"/>
          </w:tcPr>
          <w:p>
            <w:pPr>
              <w:spacing w:after="0"/>
              <w:rPr>
                <w:sz w:val="1"/>
                <w:szCs w:val="1"/>
                <w:color w:val="auto"/>
              </w:rPr>
            </w:pPr>
          </w:p>
        </w:tc>
      </w:tr>
      <w:tr>
        <w:trPr>
          <w:trHeight w:val="22"/>
        </w:trPr>
        <w:tc>
          <w:tcPr>
            <w:tcW w:w="38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Accrued liabilities-other</w:t>
            </w:r>
          </w:p>
        </w:tc>
        <w:tc>
          <w:tcPr>
            <w:tcW w:w="44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425,595</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404,752</w:t>
            </w:r>
          </w:p>
        </w:tc>
        <w:tc>
          <w:tcPr>
            <w:tcW w:w="0" w:type="dxa"/>
            <w:vAlign w:val="bottom"/>
          </w:tcPr>
          <w:p>
            <w:pPr>
              <w:spacing w:after="0"/>
              <w:rPr>
                <w:sz w:val="1"/>
                <w:szCs w:val="1"/>
                <w:color w:val="auto"/>
              </w:rPr>
            </w:pPr>
          </w:p>
        </w:tc>
      </w:tr>
      <w:tr>
        <w:trPr>
          <w:trHeight w:val="191"/>
        </w:trPr>
        <w:tc>
          <w:tcPr>
            <w:tcW w:w="3820" w:type="dxa"/>
            <w:vAlign w:val="bottom"/>
          </w:tcPr>
          <w:p>
            <w:pPr>
              <w:ind w:left="260"/>
              <w:spacing w:after="0"/>
              <w:rPr>
                <w:sz w:val="20"/>
                <w:szCs w:val="20"/>
                <w:color w:val="auto"/>
              </w:rPr>
            </w:pPr>
            <w:r>
              <w:rPr>
                <w:rFonts w:ascii="Arial" w:cs="Arial" w:eastAsia="Arial" w:hAnsi="Arial"/>
                <w:sz w:val="14"/>
                <w:szCs w:val="14"/>
                <w:color w:val="auto"/>
              </w:rPr>
              <w:t>Working capital payable - MOI</w:t>
            </w:r>
          </w:p>
        </w:tc>
        <w:tc>
          <w:tcPr>
            <w:tcW w:w="4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542,983</w:t>
            </w:r>
          </w:p>
        </w:tc>
        <w:tc>
          <w:tcPr>
            <w:tcW w:w="0" w:type="dxa"/>
            <w:vAlign w:val="bottom"/>
          </w:tcPr>
          <w:p>
            <w:pPr>
              <w:spacing w:after="0"/>
              <w:rPr>
                <w:sz w:val="1"/>
                <w:szCs w:val="1"/>
                <w:color w:val="auto"/>
              </w:rPr>
            </w:pPr>
          </w:p>
        </w:tc>
      </w:tr>
      <w:tr>
        <w:trPr>
          <w:trHeight w:val="22"/>
        </w:trPr>
        <w:tc>
          <w:tcPr>
            <w:tcW w:w="38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Customer deposits</w:t>
            </w:r>
          </w:p>
        </w:tc>
        <w:tc>
          <w:tcPr>
            <w:tcW w:w="44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298,468</w:t>
            </w:r>
          </w:p>
        </w:tc>
        <w:tc>
          <w:tcPr>
            <w:tcW w:w="0" w:type="dxa"/>
            <w:vAlign w:val="bottom"/>
          </w:tcPr>
          <w:p>
            <w:pPr>
              <w:spacing w:after="0"/>
              <w:rPr>
                <w:sz w:val="1"/>
                <w:szCs w:val="1"/>
                <w:color w:val="auto"/>
              </w:rPr>
            </w:pPr>
          </w:p>
        </w:tc>
      </w:tr>
      <w:tr>
        <w:trPr>
          <w:trHeight w:val="193"/>
        </w:trPr>
        <w:tc>
          <w:tcPr>
            <w:tcW w:w="3820" w:type="dxa"/>
            <w:vAlign w:val="bottom"/>
          </w:tcPr>
          <w:p>
            <w:pPr>
              <w:ind w:left="20"/>
              <w:spacing w:after="0"/>
              <w:rPr>
                <w:sz w:val="20"/>
                <w:szCs w:val="20"/>
                <w:color w:val="auto"/>
              </w:rPr>
            </w:pPr>
            <w:r>
              <w:rPr>
                <w:rFonts w:ascii="Arial" w:cs="Arial" w:eastAsia="Arial" w:hAnsi="Arial"/>
                <w:sz w:val="14"/>
                <w:szCs w:val="14"/>
                <w:color w:val="auto"/>
              </w:rPr>
              <w:t>Total accrued liabilities</w:t>
            </w:r>
          </w:p>
        </w:tc>
        <w:tc>
          <w:tcPr>
            <w:tcW w:w="442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10,369,545</w:t>
            </w:r>
          </w:p>
        </w:tc>
        <w:tc>
          <w:tcPr>
            <w:tcW w:w="12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6,597,458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420" w:type="dxa"/>
            <w:vAlign w:val="bottom"/>
            <w:vMerge w:val="restart"/>
          </w:tcPr>
          <w:p>
            <w:pPr>
              <w:jc w:val="right"/>
              <w:ind w:right="2449"/>
              <w:spacing w:after="0"/>
              <w:rPr>
                <w:sz w:val="20"/>
                <w:szCs w:val="20"/>
                <w:color w:val="auto"/>
              </w:rPr>
            </w:pPr>
            <w:r>
              <w:rPr>
                <w:rFonts w:ascii="Arial" w:cs="Arial" w:eastAsia="Arial" w:hAnsi="Arial"/>
                <w:sz w:val="14"/>
                <w:szCs w:val="14"/>
                <w:color w:val="auto"/>
              </w:rPr>
              <w:t>59</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382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79"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9.</w:t>
      </w:r>
      <w:r>
        <w:rPr>
          <w:sz w:val="20"/>
          <w:szCs w:val="20"/>
          <w:color w:val="auto"/>
        </w:rPr>
        <w:tab/>
      </w:r>
      <w:r>
        <w:rPr>
          <w:rFonts w:ascii="Arial" w:cs="Arial" w:eastAsia="Arial" w:hAnsi="Arial"/>
          <w:sz w:val="12"/>
          <w:szCs w:val="12"/>
          <w:b w:val="1"/>
          <w:bCs w:val="1"/>
          <w:color w:val="auto"/>
        </w:rPr>
        <w:t>Debt</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Silicon Valley Bank Facility</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We maintained a Loan and Security Agreement with SVB (the "Credit Facility") under which we had a term loan with an original borrowing amount of $6.0 million (the “Original Term Loan”).</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 Original Term Loan carried a floating annual interest rate equal to SVB’s prime rate then in effect plus 2%. The Original Term Loan matured and was repaid in May 2019.</w:t>
      </w:r>
    </w:p>
    <w:p>
      <w:pPr>
        <w:spacing w:after="0" w:line="83" w:lineRule="exact"/>
        <w:rPr>
          <w:sz w:val="20"/>
          <w:szCs w:val="20"/>
          <w:color w:val="auto"/>
        </w:rPr>
      </w:pPr>
    </w:p>
    <w:p>
      <w:pPr>
        <w:ind w:firstLine="340"/>
        <w:spacing w:after="0" w:line="260" w:lineRule="auto"/>
        <w:rPr>
          <w:sz w:val="20"/>
          <w:szCs w:val="20"/>
          <w:color w:val="auto"/>
        </w:rPr>
      </w:pPr>
      <w:r>
        <w:rPr>
          <w:rFonts w:ascii="Arial" w:cs="Arial" w:eastAsia="Arial" w:hAnsi="Arial"/>
          <w:sz w:val="14"/>
          <w:szCs w:val="14"/>
          <w:color w:val="auto"/>
        </w:rPr>
        <w:t>On October 10, 2019, we entered into an Amended and Restated Loan and Security Agreement (the “Loan Agreement”) with SVB, which amended and restated in its entirety our previous Credit Facility. Under the Loan Agreement, SVB agreed to make advances available up to $10.0 million (the “Revolving Line”). If we borrow from the Revolving Line, such borrowing would carry a floating annual interest rate equal to the greater of (i) the Prime Rate (as defined in the Loan Agreement) then in effect plus 1% or (ii) 6%. Amounts borrowed under the Revolving Line may be repaid and, prior to the Revolving Line Maturity Date (defined below), reborrowed. The Revolving Line terminates on October 10, 2020 (the “Revolving Line Maturity Date”), unless earlier terminated by us. No amounts have been borrowed under this Loan Agreement.</w:t>
      </w:r>
    </w:p>
    <w:p>
      <w:pPr>
        <w:spacing w:after="0" w:line="62" w:lineRule="exact"/>
        <w:rPr>
          <w:sz w:val="20"/>
          <w:szCs w:val="20"/>
          <w:color w:val="auto"/>
        </w:rPr>
      </w:pPr>
    </w:p>
    <w:p>
      <w:pPr>
        <w:ind w:right="80" w:firstLine="340"/>
        <w:spacing w:after="0" w:line="313" w:lineRule="auto"/>
        <w:rPr>
          <w:sz w:val="20"/>
          <w:szCs w:val="20"/>
          <w:color w:val="auto"/>
        </w:rPr>
      </w:pPr>
      <w:r>
        <w:rPr>
          <w:rFonts w:ascii="Arial" w:cs="Arial" w:eastAsia="Arial" w:hAnsi="Arial"/>
          <w:sz w:val="12"/>
          <w:szCs w:val="12"/>
          <w:color w:val="auto"/>
        </w:rPr>
        <w:t>Amounts due under the Loan Agreement are secured by our assets, including all personal property, inventory and bank accounts; however, intellectual property is not secured under the Loan Agreement. The inventory used to secure the amount due does not include demo or loaner equipment with an aggregate book value up to $1.0 million. The Loan Agreement requires us to observe a number of financial and operational covenants, including maintenance of a specified Liquidity Coverage Ratio (as defined in the Loan Agreement), protection and registration of intellectual property rights and customary negative covenants. If any event of default occurs SVB may declare due immediately all borrowings under the Credit Facility and foreclose on the collateral. Furthermore, an event of default under the Credit Facility would result in an increase in the interest rate on any amounts outstanding. As of December 31, 2019, there were no events of default on the Credit Facility.</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Interest expense, net for the years ended December 31, 2019 and 2018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Years ended December 31,</w:t>
            </w:r>
          </w:p>
        </w:tc>
        <w:tc>
          <w:tcPr>
            <w:tcW w:w="880" w:type="dxa"/>
            <w:vAlign w:val="bottom"/>
            <w:tcBorders>
              <w:bottom w:val="single" w:sz="8" w:color="auto"/>
            </w:tcBorders>
          </w:tcPr>
          <w:p>
            <w:pPr>
              <w:spacing w:after="0"/>
              <w:rPr>
                <w:sz w:val="13"/>
                <w:szCs w:val="13"/>
                <w:color w:val="auto"/>
              </w:rPr>
            </w:pPr>
          </w:p>
        </w:tc>
      </w:tr>
      <w:tr>
        <w:trPr>
          <w:trHeight w:val="203"/>
        </w:trPr>
        <w:tc>
          <w:tcPr>
            <w:tcW w:w="8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2018</w:t>
            </w:r>
          </w:p>
        </w:tc>
      </w:tr>
      <w:tr>
        <w:trPr>
          <w:trHeight w:val="187"/>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Interest expense on Term Loans</w:t>
            </w: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8,073</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101,087</w:t>
            </w:r>
          </w:p>
        </w:tc>
      </w:tr>
      <w:tr>
        <w:trPr>
          <w:trHeight w:val="191"/>
        </w:trPr>
        <w:tc>
          <w:tcPr>
            <w:tcW w:w="8240" w:type="dxa"/>
            <w:vAlign w:val="bottom"/>
            <w:gridSpan w:val="2"/>
          </w:tcPr>
          <w:p>
            <w:pPr>
              <w:ind w:left="20"/>
              <w:spacing w:after="0"/>
              <w:rPr>
                <w:sz w:val="20"/>
                <w:szCs w:val="20"/>
                <w:color w:val="auto"/>
              </w:rPr>
            </w:pPr>
            <w:r>
              <w:rPr>
                <w:rFonts w:ascii="Arial" w:cs="Arial" w:eastAsia="Arial" w:hAnsi="Arial"/>
                <w:sz w:val="14"/>
                <w:szCs w:val="14"/>
                <w:color w:val="auto"/>
              </w:rPr>
              <w:t>Amortization of debt issuance costs</w:t>
            </w:r>
          </w:p>
        </w:tc>
        <w:tc>
          <w:tcPr>
            <w:tcW w:w="360" w:type="dxa"/>
            <w:vAlign w:val="bottom"/>
          </w:tcPr>
          <w:p>
            <w:pPr>
              <w:spacing w:after="0"/>
              <w:rPr>
                <w:sz w:val="16"/>
                <w:szCs w:val="16"/>
                <w:color w:val="auto"/>
              </w:rPr>
            </w:pPr>
          </w:p>
        </w:tc>
        <w:tc>
          <w:tcPr>
            <w:tcW w:w="1120" w:type="dxa"/>
            <w:vAlign w:val="bottom"/>
          </w:tcPr>
          <w:p>
            <w:pPr>
              <w:jc w:val="right"/>
              <w:ind w:right="54"/>
              <w:spacing w:after="0"/>
              <w:rPr>
                <w:sz w:val="20"/>
                <w:szCs w:val="20"/>
                <w:color w:val="auto"/>
              </w:rPr>
            </w:pPr>
            <w:r>
              <w:rPr>
                <w:rFonts w:ascii="Arial" w:cs="Arial" w:eastAsia="Arial" w:hAnsi="Arial"/>
                <w:sz w:val="14"/>
                <w:szCs w:val="14"/>
                <w:color w:val="auto"/>
              </w:rPr>
              <w:t>5,685</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16,308</w:t>
            </w:r>
          </w:p>
        </w:tc>
      </w:tr>
      <w:tr>
        <w:trPr>
          <w:trHeight w:val="22"/>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2"/>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interest expense</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2,120</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6,949</w:t>
            </w:r>
          </w:p>
        </w:tc>
      </w:tr>
      <w:tr>
        <w:trPr>
          <w:trHeight w:val="181"/>
        </w:trPr>
        <w:tc>
          <w:tcPr>
            <w:tcW w:w="8240" w:type="dxa"/>
            <w:vAlign w:val="bottom"/>
            <w:gridSpan w:val="2"/>
          </w:tcPr>
          <w:p>
            <w:pPr>
              <w:ind w:left="300"/>
              <w:spacing w:after="0"/>
              <w:rPr>
                <w:sz w:val="20"/>
                <w:szCs w:val="20"/>
                <w:color w:val="auto"/>
              </w:rPr>
            </w:pPr>
            <w:r>
              <w:rPr>
                <w:rFonts w:ascii="Arial" w:cs="Arial" w:eastAsia="Arial" w:hAnsi="Arial"/>
                <w:sz w:val="14"/>
                <w:szCs w:val="14"/>
                <w:color w:val="auto"/>
              </w:rPr>
              <w:t>Total interest expense, net</w:t>
            </w:r>
          </w:p>
        </w:tc>
        <w:tc>
          <w:tcPr>
            <w:tcW w:w="36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color w:val="auto"/>
              </w:rPr>
              <w:t>15,878</w:t>
            </w:r>
          </w:p>
        </w:tc>
        <w:tc>
          <w:tcPr>
            <w:tcW w:w="120" w:type="dxa"/>
            <w:vAlign w:val="bottom"/>
          </w:tcPr>
          <w:p>
            <w:pPr>
              <w:spacing w:after="0"/>
              <w:rPr>
                <w:sz w:val="15"/>
                <w:szCs w:val="15"/>
                <w:color w:val="auto"/>
              </w:rPr>
            </w:pPr>
          </w:p>
        </w:tc>
        <w:tc>
          <w:tcPr>
            <w:tcW w:w="560" w:type="dxa"/>
            <w:vAlign w:val="bottom"/>
            <w:tcBorders>
              <w:top w:val="single" w:sz="8" w:color="auto"/>
            </w:tcBorders>
          </w:tcPr>
          <w:p>
            <w:pPr>
              <w:jc w:val="right"/>
              <w:ind w:right="389"/>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124,344</w:t>
            </w:r>
          </w:p>
        </w:tc>
      </w:tr>
      <w:tr>
        <w:trPr>
          <w:trHeight w:val="22"/>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360" w:hanging="355"/>
        <w:spacing w:after="0"/>
        <w:tabs>
          <w:tab w:leader="none" w:pos="360"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Leases</w:t>
      </w:r>
    </w:p>
    <w:p>
      <w:pPr>
        <w:spacing w:after="0" w:line="183" w:lineRule="exact"/>
        <w:rPr>
          <w:sz w:val="20"/>
          <w:szCs w:val="20"/>
          <w:color w:val="auto"/>
        </w:rPr>
      </w:pPr>
    </w:p>
    <w:p>
      <w:pPr>
        <w:ind w:right="100" w:firstLine="509"/>
        <w:spacing w:after="0" w:line="262" w:lineRule="auto"/>
        <w:rPr>
          <w:sz w:val="20"/>
          <w:szCs w:val="20"/>
          <w:color w:val="auto"/>
        </w:rPr>
      </w:pPr>
      <w:r>
        <w:rPr>
          <w:rFonts w:ascii="Arial" w:cs="Arial" w:eastAsia="Arial" w:hAnsi="Arial"/>
          <w:sz w:val="14"/>
          <w:szCs w:val="14"/>
          <w:color w:val="auto"/>
        </w:rPr>
        <w:t>We have operating leases for our facilities, which have remaining terms ranging from 1 to 5 years. Our leases do not have an option to extend the lease period beyond the stated term unless the new term is agreed by both parties. They also do not have an early termination clause included. Our operating lease agreements do not contain any material restrictive covenants. Some of our operating lease agreements contain variable payment provisions that provide for rental increases based on consumer price indices. The change in rent expense resulting from changes in these indices are included within variable rent.</w:t>
      </w:r>
    </w:p>
    <w:p>
      <w:pPr>
        <w:spacing w:after="0" w:line="146" w:lineRule="exact"/>
        <w:rPr>
          <w:sz w:val="20"/>
          <w:szCs w:val="20"/>
          <w:color w:val="auto"/>
        </w:rPr>
      </w:pPr>
    </w:p>
    <w:p>
      <w:pPr>
        <w:ind w:right="80" w:firstLine="509"/>
        <w:spacing w:after="0" w:line="331" w:lineRule="auto"/>
        <w:rPr>
          <w:sz w:val="20"/>
          <w:szCs w:val="20"/>
          <w:color w:val="auto"/>
        </w:rPr>
      </w:pPr>
      <w:r>
        <w:rPr>
          <w:rFonts w:ascii="Arial" w:cs="Arial" w:eastAsia="Arial" w:hAnsi="Arial"/>
          <w:sz w:val="12"/>
          <w:szCs w:val="12"/>
          <w:color w:val="auto"/>
        </w:rPr>
        <w:t>We also have finance leases for equipment which have remaining terms ranging from 1 to 4 years. These lease agreements are for general office equipment with a 5-year useful life. These lease agreements do not have an option to extend the lease beyond the stated terms nor do they have an early termination clause. These lease agreements do not have any variable payment provisions included. The finance lease costs consist of interest expense and amortization, and are included primarily in selling, general and administrative expense in our consolidated statement of operations.</w:t>
      </w:r>
    </w:p>
    <w:p>
      <w:pPr>
        <w:spacing w:after="0" w:line="108"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The discount rate for both our operating and finance leases was not readily determinable in the specific lease agreements. As a result, our incremental borrowing rate was used as the discount rate when establishing the ROU assets and corresponding lease liabilities.</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31, 2019, our lease components included in the consolidated balance sheet were as follows: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80"/>
          </w:cols>
          <w:pgMar w:left="300" w:top="125" w:right="3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4300" w:type="dxa"/>
            <w:vAlign w:val="bottom"/>
            <w:gridSpan w:val="3"/>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3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88"/>
        </w:trPr>
        <w:tc>
          <w:tcPr>
            <w:tcW w:w="10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17"/>
        </w:trPr>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Lease component</w:t>
            </w:r>
          </w:p>
        </w:tc>
        <w:tc>
          <w:tcPr>
            <w:tcW w:w="336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4"/>
                <w:szCs w:val="14"/>
                <w:b w:val="1"/>
                <w:bCs w:val="1"/>
                <w:color w:val="auto"/>
              </w:rPr>
              <w:t>Classification</w:t>
            </w: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449"/>
              <w:spacing w:after="0"/>
              <w:rPr>
                <w:sz w:val="20"/>
                <w:szCs w:val="20"/>
                <w:color w:val="auto"/>
              </w:rPr>
            </w:pPr>
            <w:r>
              <w:rPr>
                <w:rFonts w:ascii="Arial" w:cs="Arial" w:eastAsia="Arial" w:hAnsi="Arial"/>
                <w:sz w:val="14"/>
                <w:szCs w:val="14"/>
                <w:b w:val="1"/>
                <w:bCs w:val="1"/>
                <w:color w:val="auto"/>
              </w:rPr>
              <w:t>December 31, 2019</w:t>
            </w:r>
          </w:p>
        </w:tc>
      </w:tr>
      <w:tr>
        <w:trPr>
          <w:trHeight w:val="181"/>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Assets</w:t>
            </w:r>
          </w:p>
        </w:tc>
        <w:tc>
          <w:tcPr>
            <w:tcW w:w="33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tcPr>
          <w:p>
            <w:pPr>
              <w:spacing w:after="0"/>
              <w:rPr>
                <w:sz w:val="15"/>
                <w:szCs w:val="15"/>
                <w:color w:val="auto"/>
              </w:rPr>
            </w:pPr>
          </w:p>
        </w:tc>
      </w:tr>
      <w:tr>
        <w:trPr>
          <w:trHeight w:val="22"/>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2"/>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ROU assets - operating lease</w:t>
            </w:r>
          </w:p>
        </w:tc>
        <w:tc>
          <w:tcPr>
            <w:tcW w:w="3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Other assets</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2,235,731</w:t>
            </w:r>
          </w:p>
        </w:tc>
      </w:tr>
      <w:tr>
        <w:trPr>
          <w:trHeight w:val="191"/>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ROU assets - finance lease</w:t>
            </w:r>
          </w:p>
        </w:tc>
        <w:tc>
          <w:tcPr>
            <w:tcW w:w="3360" w:type="dxa"/>
            <w:vAlign w:val="bottom"/>
          </w:tcPr>
          <w:p>
            <w:pPr>
              <w:ind w:left="880"/>
              <w:spacing w:after="0"/>
              <w:rPr>
                <w:sz w:val="20"/>
                <w:szCs w:val="20"/>
                <w:color w:val="auto"/>
              </w:rPr>
            </w:pPr>
            <w:r>
              <w:rPr>
                <w:rFonts w:ascii="Arial" w:cs="Arial" w:eastAsia="Arial" w:hAnsi="Arial"/>
                <w:sz w:val="14"/>
                <w:szCs w:val="14"/>
                <w:color w:val="auto"/>
              </w:rPr>
              <w:t>Other assets</w:t>
            </w:r>
          </w:p>
        </w:tc>
        <w:tc>
          <w:tcPr>
            <w:tcW w:w="300" w:type="dxa"/>
            <w:vAlign w:val="bottom"/>
          </w:tcPr>
          <w:p>
            <w:pPr>
              <w:spacing w:after="0"/>
              <w:rPr>
                <w:sz w:val="16"/>
                <w:szCs w:val="16"/>
                <w:color w:val="auto"/>
              </w:rPr>
            </w:pPr>
          </w:p>
        </w:tc>
        <w:tc>
          <w:tcPr>
            <w:tcW w:w="1880" w:type="dxa"/>
            <w:vAlign w:val="bottom"/>
          </w:tcPr>
          <w:p>
            <w:pPr>
              <w:jc w:val="right"/>
              <w:ind w:right="9"/>
              <w:spacing w:after="0"/>
              <w:rPr>
                <w:sz w:val="20"/>
                <w:szCs w:val="20"/>
                <w:color w:val="auto"/>
              </w:rPr>
            </w:pPr>
            <w:r>
              <w:rPr>
                <w:rFonts w:ascii="Arial" w:cs="Arial" w:eastAsia="Arial" w:hAnsi="Arial"/>
                <w:sz w:val="14"/>
                <w:szCs w:val="14"/>
                <w:color w:val="auto"/>
              </w:rPr>
              <w:t>70,183</w:t>
            </w:r>
          </w:p>
        </w:tc>
      </w:tr>
      <w:tr>
        <w:trPr>
          <w:trHeight w:val="22"/>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97"/>
        </w:trPr>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ROU assets</w:t>
            </w:r>
          </w:p>
        </w:tc>
        <w:tc>
          <w:tcPr>
            <w:tcW w:w="33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2,305,914</w:t>
            </w:r>
          </w:p>
        </w:tc>
      </w:tr>
      <w:tr>
        <w:trPr>
          <w:trHeight w:val="20"/>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32"/>
        </w:trPr>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192"/>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33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spacing w:after="0"/>
              <w:rPr>
                <w:sz w:val="16"/>
                <w:szCs w:val="16"/>
                <w:color w:val="auto"/>
              </w:rPr>
            </w:pPr>
          </w:p>
        </w:tc>
      </w:tr>
      <w:tr>
        <w:trPr>
          <w:trHeight w:val="191"/>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Current operating lease liability</w:t>
            </w:r>
          </w:p>
        </w:tc>
        <w:tc>
          <w:tcPr>
            <w:tcW w:w="3360" w:type="dxa"/>
            <w:vAlign w:val="bottom"/>
          </w:tcPr>
          <w:p>
            <w:pPr>
              <w:ind w:left="880"/>
              <w:spacing w:after="0"/>
              <w:rPr>
                <w:sz w:val="20"/>
                <w:szCs w:val="20"/>
                <w:color w:val="auto"/>
              </w:rPr>
            </w:pPr>
            <w:r>
              <w:rPr>
                <w:rFonts w:ascii="Arial" w:cs="Arial" w:eastAsia="Arial" w:hAnsi="Arial"/>
                <w:sz w:val="14"/>
                <w:szCs w:val="14"/>
                <w:color w:val="auto"/>
              </w:rPr>
              <w:t>Accrued liabilities</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9"/>
              <w:spacing w:after="0"/>
              <w:rPr>
                <w:sz w:val="20"/>
                <w:szCs w:val="20"/>
                <w:color w:val="auto"/>
              </w:rPr>
            </w:pPr>
            <w:r>
              <w:rPr>
                <w:rFonts w:ascii="Arial" w:cs="Arial" w:eastAsia="Arial" w:hAnsi="Arial"/>
                <w:sz w:val="14"/>
                <w:szCs w:val="14"/>
                <w:color w:val="auto"/>
              </w:rPr>
              <w:t>1,283,310</w:t>
            </w:r>
          </w:p>
        </w:tc>
      </w:tr>
      <w:tr>
        <w:trPr>
          <w:trHeight w:val="22"/>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2"/>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finance lease liability</w:t>
            </w:r>
          </w:p>
        </w:tc>
        <w:tc>
          <w:tcPr>
            <w:tcW w:w="3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Accrued liabilities</w:t>
            </w:r>
          </w:p>
        </w:tc>
        <w:tc>
          <w:tcPr>
            <w:tcW w:w="30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50,307</w:t>
            </w:r>
          </w:p>
        </w:tc>
      </w:tr>
      <w:tr>
        <w:trPr>
          <w:trHeight w:val="191"/>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Long-term operating lease liability</w:t>
            </w:r>
          </w:p>
        </w:tc>
        <w:tc>
          <w:tcPr>
            <w:tcW w:w="3360" w:type="dxa"/>
            <w:vAlign w:val="bottom"/>
          </w:tcPr>
          <w:p>
            <w:pPr>
              <w:ind w:left="880"/>
              <w:spacing w:after="0"/>
              <w:rPr>
                <w:sz w:val="20"/>
                <w:szCs w:val="20"/>
                <w:color w:val="auto"/>
              </w:rPr>
            </w:pPr>
            <w:r>
              <w:rPr>
                <w:rFonts w:ascii="Arial" w:cs="Arial" w:eastAsia="Arial" w:hAnsi="Arial"/>
                <w:sz w:val="14"/>
                <w:szCs w:val="14"/>
                <w:color w:val="auto"/>
              </w:rPr>
              <w:t>Other liabilities</w:t>
            </w:r>
          </w:p>
        </w:tc>
        <w:tc>
          <w:tcPr>
            <w:tcW w:w="300" w:type="dxa"/>
            <w:vAlign w:val="bottom"/>
          </w:tcPr>
          <w:p>
            <w:pPr>
              <w:spacing w:after="0"/>
              <w:rPr>
                <w:sz w:val="16"/>
                <w:szCs w:val="16"/>
                <w:color w:val="auto"/>
              </w:rPr>
            </w:pPr>
          </w:p>
        </w:tc>
        <w:tc>
          <w:tcPr>
            <w:tcW w:w="1880" w:type="dxa"/>
            <w:vAlign w:val="bottom"/>
          </w:tcPr>
          <w:p>
            <w:pPr>
              <w:jc w:val="right"/>
              <w:ind w:right="9"/>
              <w:spacing w:after="0"/>
              <w:rPr>
                <w:sz w:val="20"/>
                <w:szCs w:val="20"/>
                <w:color w:val="auto"/>
              </w:rPr>
            </w:pPr>
            <w:r>
              <w:rPr>
                <w:rFonts w:ascii="Arial" w:cs="Arial" w:eastAsia="Arial" w:hAnsi="Arial"/>
                <w:sz w:val="14"/>
                <w:szCs w:val="14"/>
                <w:color w:val="auto"/>
              </w:rPr>
              <w:t>1,988,395</w:t>
            </w:r>
          </w:p>
        </w:tc>
      </w:tr>
      <w:tr>
        <w:trPr>
          <w:trHeight w:val="22"/>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12"/>
        </w:trPr>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finance lease liability</w:t>
            </w:r>
          </w:p>
        </w:tc>
        <w:tc>
          <w:tcPr>
            <w:tcW w:w="3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Other 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23,092</w:t>
            </w:r>
          </w:p>
        </w:tc>
      </w:tr>
      <w:tr>
        <w:trPr>
          <w:trHeight w:val="197"/>
        </w:trPr>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60" w:type="dxa"/>
            <w:vAlign w:val="bottom"/>
          </w:tcPr>
          <w:p>
            <w:pPr>
              <w:ind w:left="140"/>
              <w:spacing w:after="0"/>
              <w:rPr>
                <w:sz w:val="20"/>
                <w:szCs w:val="20"/>
                <w:color w:val="auto"/>
              </w:rPr>
            </w:pPr>
            <w:r>
              <w:rPr>
                <w:rFonts w:ascii="Arial" w:cs="Arial" w:eastAsia="Arial" w:hAnsi="Arial"/>
                <w:sz w:val="14"/>
                <w:szCs w:val="14"/>
                <w:color w:val="auto"/>
              </w:rPr>
              <w:t>Total lease liabilities</w:t>
            </w:r>
          </w:p>
        </w:tc>
        <w:tc>
          <w:tcPr>
            <w:tcW w:w="336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3,345,104</w:t>
            </w:r>
          </w:p>
        </w:tc>
      </w:tr>
      <w:tr>
        <w:trPr>
          <w:trHeight w:val="20"/>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tbl>
      <w:tblPr>
        <w:tblLayout w:type="fixed"/>
        <w:tblInd w:w="520" w:type="dxa"/>
        <w:tblCellMar>
          <w:top w:w="0" w:type="dxa"/>
          <w:left w:w="0" w:type="dxa"/>
          <w:bottom w:w="0" w:type="dxa"/>
          <w:right w:w="0" w:type="dxa"/>
        </w:tblCellMar>
      </w:tblPr>
      <w:tr>
        <w:trPr>
          <w:trHeight w:val="180"/>
        </w:trPr>
        <w:tc>
          <w:tcPr>
            <w:tcW w:w="6660" w:type="dxa"/>
            <w:vAlign w:val="bottom"/>
            <w:gridSpan w:val="3"/>
          </w:tcPr>
          <w:p>
            <w:pPr>
              <w:jc w:val="right"/>
              <w:ind w:right="49"/>
              <w:spacing w:after="0"/>
              <w:rPr>
                <w:sz w:val="20"/>
                <w:szCs w:val="20"/>
                <w:color w:val="auto"/>
              </w:rPr>
            </w:pPr>
            <w:r>
              <w:rPr>
                <w:rFonts w:ascii="Arial" w:cs="Arial" w:eastAsia="Arial" w:hAnsi="Arial"/>
                <w:sz w:val="14"/>
                <w:szCs w:val="14"/>
                <w:color w:val="auto"/>
                <w:w w:val="90"/>
              </w:rPr>
              <w:t>Rent expense is recognized on a straight-line basis over the life of the lease. Rent expense consists of the following:</w:t>
            </w:r>
          </w:p>
        </w:tc>
        <w:tc>
          <w:tcPr>
            <w:tcW w:w="1820" w:type="dxa"/>
            <w:vAlign w:val="bottom"/>
          </w:tcPr>
          <w:p>
            <w:pPr>
              <w:spacing w:after="0"/>
              <w:rPr>
                <w:sz w:val="15"/>
                <w:szCs w:val="15"/>
                <w:color w:val="auto"/>
              </w:rPr>
            </w:pPr>
          </w:p>
        </w:tc>
      </w:tr>
      <w:tr>
        <w:trPr>
          <w:trHeight w:val="276"/>
        </w:trPr>
        <w:tc>
          <w:tcPr>
            <w:tcW w:w="17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92"/>
        </w:trPr>
        <w:tc>
          <w:tcPr>
            <w:tcW w:w="1760" w:type="dxa"/>
            <w:vAlign w:val="bottom"/>
          </w:tcPr>
          <w:p>
            <w:pPr>
              <w:spacing w:after="0"/>
              <w:rPr>
                <w:sz w:val="16"/>
                <w:szCs w:val="16"/>
                <w:color w:val="auto"/>
              </w:rPr>
            </w:pPr>
          </w:p>
        </w:tc>
        <w:tc>
          <w:tcPr>
            <w:tcW w:w="44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jc w:val="right"/>
              <w:ind w:right="689"/>
              <w:spacing w:after="0"/>
              <w:rPr>
                <w:sz w:val="20"/>
                <w:szCs w:val="20"/>
                <w:color w:val="auto"/>
              </w:rPr>
            </w:pPr>
            <w:r>
              <w:rPr>
                <w:rFonts w:ascii="Arial" w:cs="Arial" w:eastAsia="Arial" w:hAnsi="Arial"/>
                <w:sz w:val="14"/>
                <w:szCs w:val="14"/>
                <w:b w:val="1"/>
                <w:bCs w:val="1"/>
                <w:color w:val="auto"/>
              </w:rPr>
              <w:t>Year Ended</w:t>
            </w:r>
          </w:p>
        </w:tc>
      </w:tr>
      <w:tr>
        <w:trPr>
          <w:trHeight w:val="191"/>
        </w:trPr>
        <w:tc>
          <w:tcPr>
            <w:tcW w:w="17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tcPr>
          <w:p>
            <w:pPr>
              <w:jc w:val="right"/>
              <w:ind w:right="489"/>
              <w:spacing w:after="0"/>
              <w:rPr>
                <w:sz w:val="20"/>
                <w:szCs w:val="20"/>
                <w:color w:val="auto"/>
              </w:rPr>
            </w:pPr>
            <w:r>
              <w:rPr>
                <w:rFonts w:ascii="Arial" w:cs="Arial" w:eastAsia="Arial" w:hAnsi="Arial"/>
                <w:sz w:val="14"/>
                <w:szCs w:val="14"/>
                <w:b w:val="1"/>
                <w:bCs w:val="1"/>
                <w:color w:val="auto"/>
                <w:w w:val="98"/>
              </w:rPr>
              <w:t>December 31, 2019</w:t>
            </w:r>
          </w:p>
        </w:tc>
      </w:tr>
      <w:tr>
        <w:trPr>
          <w:trHeight w:val="22"/>
        </w:trPr>
        <w:tc>
          <w:tcPr>
            <w:tcW w:w="1760" w:type="dxa"/>
            <w:vAlign w:val="bottom"/>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83"/>
        </w:trPr>
        <w:tc>
          <w:tcPr>
            <w:tcW w:w="1760" w:type="dxa"/>
            <w:vAlign w:val="bottom"/>
          </w:tcPr>
          <w:p>
            <w:pPr>
              <w:spacing w:after="0"/>
              <w:rPr>
                <w:sz w:val="15"/>
                <w:szCs w:val="15"/>
                <w:color w:val="auto"/>
              </w:rPr>
            </w:pPr>
          </w:p>
        </w:tc>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costs</w:t>
            </w:r>
          </w:p>
        </w:tc>
        <w:tc>
          <w:tcPr>
            <w:tcW w:w="42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1,622,476</w:t>
            </w:r>
          </w:p>
        </w:tc>
      </w:tr>
      <w:tr>
        <w:trPr>
          <w:trHeight w:val="191"/>
        </w:trPr>
        <w:tc>
          <w:tcPr>
            <w:tcW w:w="1760" w:type="dxa"/>
            <w:vAlign w:val="bottom"/>
          </w:tcPr>
          <w:p>
            <w:pPr>
              <w:spacing w:after="0"/>
              <w:rPr>
                <w:sz w:val="16"/>
                <w:szCs w:val="16"/>
                <w:color w:val="auto"/>
              </w:rPr>
            </w:pPr>
          </w:p>
        </w:tc>
        <w:tc>
          <w:tcPr>
            <w:tcW w:w="4480" w:type="dxa"/>
            <w:vAlign w:val="bottom"/>
          </w:tcPr>
          <w:p>
            <w:pPr>
              <w:ind w:left="20"/>
              <w:spacing w:after="0"/>
              <w:rPr>
                <w:sz w:val="20"/>
                <w:szCs w:val="20"/>
                <w:color w:val="auto"/>
              </w:rPr>
            </w:pPr>
            <w:r>
              <w:rPr>
                <w:rFonts w:ascii="Arial" w:cs="Arial" w:eastAsia="Arial" w:hAnsi="Arial"/>
                <w:sz w:val="14"/>
                <w:szCs w:val="14"/>
                <w:color w:val="auto"/>
              </w:rPr>
              <w:t>Variable rent costs</w:t>
            </w:r>
          </w:p>
        </w:tc>
        <w:tc>
          <w:tcPr>
            <w:tcW w:w="42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(146,542)</w:t>
            </w:r>
          </w:p>
        </w:tc>
      </w:tr>
      <w:tr>
        <w:trPr>
          <w:trHeight w:val="22"/>
        </w:trPr>
        <w:tc>
          <w:tcPr>
            <w:tcW w:w="1760" w:type="dxa"/>
            <w:vAlign w:val="bottom"/>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97"/>
        </w:trPr>
        <w:tc>
          <w:tcPr>
            <w:tcW w:w="1760" w:type="dxa"/>
            <w:vAlign w:val="bottom"/>
          </w:tcPr>
          <w:p>
            <w:pPr>
              <w:spacing w:after="0"/>
              <w:rPr>
                <w:sz w:val="17"/>
                <w:szCs w:val="17"/>
                <w:color w:val="auto"/>
              </w:rPr>
            </w:pPr>
          </w:p>
        </w:tc>
        <w:tc>
          <w:tcPr>
            <w:tcW w:w="4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rent expense</w:t>
            </w: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1,475,934</w:t>
            </w:r>
          </w:p>
        </w:tc>
      </w:tr>
      <w:tr>
        <w:trPr>
          <w:trHeight w:val="20"/>
        </w:trPr>
        <w:tc>
          <w:tcPr>
            <w:tcW w:w="17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Future minimum lease payments under non-cancelable operating leases were as follows as of December 31, 2019:</w:t>
      </w:r>
    </w:p>
    <w:p>
      <w:pPr>
        <w:spacing w:after="0" w:line="295" w:lineRule="exact"/>
        <w:rPr>
          <w:sz w:val="20"/>
          <w:szCs w:val="20"/>
          <w:color w:val="auto"/>
        </w:rPr>
      </w:pPr>
    </w:p>
    <w:tbl>
      <w:tblPr>
        <w:tblLayout w:type="fixed"/>
        <w:tblInd w:w="2250" w:type="dxa"/>
        <w:tblCellMar>
          <w:top w:w="0" w:type="dxa"/>
          <w:left w:w="0" w:type="dxa"/>
          <w:bottom w:w="0" w:type="dxa"/>
          <w:right w:w="0" w:type="dxa"/>
        </w:tblCellMar>
      </w:tblPr>
      <w:tr>
        <w:trPr>
          <w:trHeight w:val="180"/>
        </w:trPr>
        <w:tc>
          <w:tcPr>
            <w:tcW w:w="46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Year Ending December 31,</w:t>
            </w:r>
          </w:p>
        </w:tc>
        <w:tc>
          <w:tcPr>
            <w:tcW w:w="8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32"/>
        </w:trPr>
        <w:tc>
          <w:tcPr>
            <w:tcW w:w="1300" w:type="dxa"/>
            <w:vAlign w:val="bottom"/>
            <w:tcBorders>
              <w:left w:val="single" w:sz="8" w:color="CCEEFF"/>
            </w:tcBorders>
            <w:shd w:val="clear" w:color="auto" w:fill="000000"/>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r>
        <w:trPr>
          <w:trHeight w:val="191"/>
        </w:trPr>
        <w:tc>
          <w:tcPr>
            <w:tcW w:w="1300" w:type="dxa"/>
            <w:vAlign w:val="bottom"/>
          </w:tcPr>
          <w:p>
            <w:pPr>
              <w:ind w:left="20"/>
              <w:spacing w:after="0"/>
              <w:rPr>
                <w:sz w:val="20"/>
                <w:szCs w:val="20"/>
                <w:color w:val="auto"/>
              </w:rPr>
            </w:pPr>
            <w:r>
              <w:rPr>
                <w:rFonts w:ascii="Arial" w:cs="Arial" w:eastAsia="Arial" w:hAnsi="Arial"/>
                <w:sz w:val="14"/>
                <w:szCs w:val="14"/>
                <w:color w:val="auto"/>
              </w:rPr>
              <w:t>2020</w:t>
            </w:r>
          </w:p>
        </w:tc>
        <w:tc>
          <w:tcPr>
            <w:tcW w:w="3320" w:type="dxa"/>
            <w:vAlign w:val="bottom"/>
          </w:tcPr>
          <w:p>
            <w:pPr>
              <w:spacing w:after="0"/>
              <w:rPr>
                <w:sz w:val="16"/>
                <w:szCs w:val="16"/>
                <w:color w:val="auto"/>
              </w:rPr>
            </w:pPr>
          </w:p>
        </w:tc>
        <w:tc>
          <w:tcPr>
            <w:tcW w:w="820" w:type="dxa"/>
            <w:vAlign w:val="bottom"/>
          </w:tcPr>
          <w:p>
            <w:pPr>
              <w:jc w:val="right"/>
              <w:ind w:right="649"/>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1,467,701</w:t>
            </w:r>
          </w:p>
        </w:tc>
      </w:tr>
      <w:tr>
        <w:trPr>
          <w:trHeight w:val="22"/>
        </w:trPr>
        <w:tc>
          <w:tcPr>
            <w:tcW w:w="1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2"/>
        </w:trPr>
        <w:tc>
          <w:tcPr>
            <w:tcW w:w="130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3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640,800</w:t>
            </w:r>
          </w:p>
        </w:tc>
      </w:tr>
      <w:tr>
        <w:trPr>
          <w:trHeight w:val="191"/>
        </w:trPr>
        <w:tc>
          <w:tcPr>
            <w:tcW w:w="1300" w:type="dxa"/>
            <w:vAlign w:val="bottom"/>
          </w:tcPr>
          <w:p>
            <w:pPr>
              <w:ind w:left="20"/>
              <w:spacing w:after="0"/>
              <w:rPr>
                <w:sz w:val="20"/>
                <w:szCs w:val="20"/>
                <w:color w:val="auto"/>
              </w:rPr>
            </w:pPr>
            <w:r>
              <w:rPr>
                <w:rFonts w:ascii="Arial" w:cs="Arial" w:eastAsia="Arial" w:hAnsi="Arial"/>
                <w:sz w:val="14"/>
                <w:szCs w:val="14"/>
                <w:color w:val="auto"/>
              </w:rPr>
              <w:t>2022</w:t>
            </w:r>
          </w:p>
        </w:tc>
        <w:tc>
          <w:tcPr>
            <w:tcW w:w="3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544,704</w:t>
            </w:r>
          </w:p>
        </w:tc>
      </w:tr>
      <w:tr>
        <w:trPr>
          <w:trHeight w:val="22"/>
        </w:trPr>
        <w:tc>
          <w:tcPr>
            <w:tcW w:w="1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2"/>
        </w:trPr>
        <w:tc>
          <w:tcPr>
            <w:tcW w:w="130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3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544,704</w:t>
            </w:r>
          </w:p>
        </w:tc>
      </w:tr>
      <w:tr>
        <w:trPr>
          <w:trHeight w:val="191"/>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2024 and beyond</w:t>
            </w:r>
          </w:p>
        </w:tc>
        <w:tc>
          <w:tcPr>
            <w:tcW w:w="8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544,704</w:t>
            </w:r>
          </w:p>
        </w:tc>
      </w:tr>
      <w:tr>
        <w:trPr>
          <w:trHeight w:val="22"/>
        </w:trPr>
        <w:tc>
          <w:tcPr>
            <w:tcW w:w="130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03"/>
        </w:trPr>
        <w:tc>
          <w:tcPr>
            <w:tcW w:w="4620" w:type="dxa"/>
            <w:vAlign w:val="bottom"/>
            <w:tcBorders>
              <w:left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Total future minimum lease payments</w:t>
            </w:r>
          </w:p>
        </w:tc>
        <w:tc>
          <w:tcPr>
            <w:tcW w:w="8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3,742,613</w:t>
            </w:r>
          </w:p>
        </w:tc>
      </w:tr>
      <w:tr>
        <w:trPr>
          <w:trHeight w:val="181"/>
        </w:trPr>
        <w:tc>
          <w:tcPr>
            <w:tcW w:w="4620" w:type="dxa"/>
            <w:vAlign w:val="bottom"/>
            <w:gridSpan w:val="2"/>
          </w:tcPr>
          <w:p>
            <w:pPr>
              <w:ind w:left="120"/>
              <w:spacing w:after="0"/>
              <w:rPr>
                <w:sz w:val="20"/>
                <w:szCs w:val="20"/>
                <w:color w:val="auto"/>
              </w:rPr>
            </w:pPr>
            <w:r>
              <w:rPr>
                <w:rFonts w:ascii="Arial" w:cs="Arial" w:eastAsia="Arial" w:hAnsi="Arial"/>
                <w:sz w:val="14"/>
                <w:szCs w:val="14"/>
                <w:color w:val="auto"/>
              </w:rPr>
              <w:t>Less: Interest</w:t>
            </w:r>
          </w:p>
        </w:tc>
        <w:tc>
          <w:tcPr>
            <w:tcW w:w="8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470,908</w:t>
            </w:r>
          </w:p>
        </w:tc>
      </w:tr>
      <w:tr>
        <w:trPr>
          <w:trHeight w:val="22"/>
        </w:trPr>
        <w:tc>
          <w:tcPr>
            <w:tcW w:w="130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7"/>
        </w:trPr>
        <w:tc>
          <w:tcPr>
            <w:tcW w:w="4620" w:type="dxa"/>
            <w:vAlign w:val="bottom"/>
            <w:tcBorders>
              <w:left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operating lease liabilities</w:t>
            </w:r>
          </w:p>
        </w:tc>
        <w:tc>
          <w:tcPr>
            <w:tcW w:w="820" w:type="dxa"/>
            <w:vAlign w:val="bottom"/>
            <w:tcBorders>
              <w:bottom w:val="single" w:sz="8" w:color="auto"/>
            </w:tcBorders>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3,271,705</w:t>
            </w:r>
          </w:p>
        </w:tc>
      </w:tr>
      <w:tr>
        <w:trPr>
          <w:trHeight w:val="20"/>
        </w:trPr>
        <w:tc>
          <w:tcPr>
            <w:tcW w:w="1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2"/>
        </w:trPr>
        <w:tc>
          <w:tcPr>
            <w:tcW w:w="13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192"/>
        </w:trPr>
        <w:tc>
          <w:tcPr>
            <w:tcW w:w="4620" w:type="dxa"/>
            <w:vAlign w:val="bottom"/>
            <w:tcBorders>
              <w:left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Current operating lease liability</w:t>
            </w:r>
          </w:p>
        </w:tc>
        <w:tc>
          <w:tcPr>
            <w:tcW w:w="820" w:type="dxa"/>
            <w:vAlign w:val="bottom"/>
            <w:tcBorders>
              <w:bottom w:val="single" w:sz="8" w:color="CCEEFF"/>
            </w:tcBorders>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1,283,310</w:t>
            </w:r>
          </w:p>
        </w:tc>
      </w:tr>
      <w:tr>
        <w:trPr>
          <w:trHeight w:val="191"/>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Long-term operating lease liability</w:t>
            </w:r>
          </w:p>
        </w:tc>
        <w:tc>
          <w:tcPr>
            <w:tcW w:w="8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1,988,395</w:t>
            </w:r>
          </w:p>
        </w:tc>
      </w:tr>
      <w:tr>
        <w:trPr>
          <w:trHeight w:val="22"/>
        </w:trPr>
        <w:tc>
          <w:tcPr>
            <w:tcW w:w="130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7"/>
        </w:trPr>
        <w:tc>
          <w:tcPr>
            <w:tcW w:w="4620" w:type="dxa"/>
            <w:vAlign w:val="bottom"/>
            <w:tcBorders>
              <w:left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Total operating lease liabilities</w:t>
            </w:r>
          </w:p>
        </w:tc>
        <w:tc>
          <w:tcPr>
            <w:tcW w:w="820" w:type="dxa"/>
            <w:vAlign w:val="bottom"/>
            <w:tcBorders>
              <w:bottom w:val="single" w:sz="8" w:color="auto"/>
            </w:tcBorders>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3,271,705</w:t>
            </w:r>
          </w:p>
        </w:tc>
      </w:tr>
      <w:tr>
        <w:trPr>
          <w:trHeight w:val="20"/>
        </w:trPr>
        <w:tc>
          <w:tcPr>
            <w:tcW w:w="1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0159"/>
          </w:cols>
          <w:pgMar w:left="300" w:top="116" w:right="1440"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Future minimum lease payments under non-cancelable finance leases were as follows as of December 31, 2019:</w:t>
      </w:r>
    </w:p>
    <w:p>
      <w:pPr>
        <w:spacing w:after="0" w:line="295" w:lineRule="exact"/>
        <w:rPr>
          <w:sz w:val="20"/>
          <w:szCs w:val="20"/>
          <w:color w:val="auto"/>
        </w:rPr>
      </w:pPr>
    </w:p>
    <w:tbl>
      <w:tblPr>
        <w:tblLayout w:type="fixed"/>
        <w:tblInd w:w="520" w:type="dxa"/>
        <w:tblCellMar>
          <w:top w:w="0" w:type="dxa"/>
          <w:left w:w="0" w:type="dxa"/>
          <w:bottom w:w="0" w:type="dxa"/>
          <w:right w:w="0" w:type="dxa"/>
        </w:tblCellMar>
      </w:tblPr>
      <w:tr>
        <w:trPr>
          <w:trHeight w:val="180"/>
        </w:trPr>
        <w:tc>
          <w:tcPr>
            <w:tcW w:w="840" w:type="dxa"/>
            <w:vAlign w:val="bottom"/>
          </w:tcPr>
          <w:p>
            <w:pPr>
              <w:spacing w:after="0"/>
              <w:rPr>
                <w:sz w:val="15"/>
                <w:szCs w:val="15"/>
                <w:color w:val="auto"/>
              </w:rPr>
            </w:pPr>
          </w:p>
        </w:tc>
        <w:tc>
          <w:tcPr>
            <w:tcW w:w="900" w:type="dxa"/>
            <w:vAlign w:val="bottom"/>
            <w:tcBorders>
              <w:right w:val="single" w:sz="8" w:color="CCEEFF"/>
            </w:tcBorders>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Year Ending December 31,</w:t>
            </w: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840" w:type="dxa"/>
            <w:vAlign w:val="bottom"/>
          </w:tcPr>
          <w:p>
            <w:pPr>
              <w:spacing w:after="0"/>
              <w:rPr>
                <w:sz w:val="2"/>
                <w:szCs w:val="2"/>
                <w:color w:val="auto"/>
              </w:rPr>
            </w:pPr>
          </w:p>
        </w:tc>
        <w:tc>
          <w:tcPr>
            <w:tcW w:w="900" w:type="dxa"/>
            <w:vAlign w:val="bottom"/>
            <w:tcBorders>
              <w:right w:val="single" w:sz="8" w:color="CCEEFF"/>
            </w:tcBorders>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740" w:type="dxa"/>
            <w:vAlign w:val="bottom"/>
            <w:gridSpan w:val="2"/>
          </w:tcPr>
          <w:p>
            <w:pPr>
              <w:spacing w:after="0"/>
              <w:rPr>
                <w:sz w:val="16"/>
                <w:szCs w:val="16"/>
                <w:color w:val="auto"/>
              </w:rPr>
            </w:pPr>
          </w:p>
        </w:tc>
        <w:tc>
          <w:tcPr>
            <w:tcW w:w="1280" w:type="dxa"/>
            <w:vAlign w:val="bottom"/>
          </w:tcPr>
          <w:p>
            <w:pPr>
              <w:spacing w:after="0"/>
              <w:rPr>
                <w:sz w:val="20"/>
                <w:szCs w:val="20"/>
                <w:color w:val="auto"/>
              </w:rPr>
            </w:pPr>
            <w:r>
              <w:rPr>
                <w:rFonts w:ascii="Arial" w:cs="Arial" w:eastAsia="Arial" w:hAnsi="Arial"/>
                <w:sz w:val="14"/>
                <w:szCs w:val="14"/>
                <w:color w:val="auto"/>
              </w:rPr>
              <w:t>2020</w:t>
            </w:r>
          </w:p>
        </w:tc>
        <w:tc>
          <w:tcPr>
            <w:tcW w:w="3320" w:type="dxa"/>
            <w:vAlign w:val="bottom"/>
          </w:tcPr>
          <w:p>
            <w:pPr>
              <w:spacing w:after="0"/>
              <w:rPr>
                <w:sz w:val="16"/>
                <w:szCs w:val="16"/>
                <w:color w:val="auto"/>
              </w:rPr>
            </w:pPr>
          </w:p>
        </w:tc>
        <w:tc>
          <w:tcPr>
            <w:tcW w:w="1040" w:type="dxa"/>
            <w:vAlign w:val="bottom"/>
          </w:tcPr>
          <w:p>
            <w:pPr>
              <w:jc w:val="right"/>
              <w:ind w:right="8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56,020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40" w:type="dxa"/>
            <w:vAlign w:val="bottom"/>
          </w:tcPr>
          <w:p>
            <w:pPr>
              <w:spacing w:after="0"/>
              <w:rPr>
                <w:sz w:val="16"/>
                <w:szCs w:val="16"/>
                <w:color w:val="auto"/>
              </w:rPr>
            </w:pPr>
          </w:p>
        </w:tc>
        <w:tc>
          <w:tcPr>
            <w:tcW w:w="900" w:type="dxa"/>
            <w:vAlign w:val="bottom"/>
            <w:tcBorders>
              <w:right w:val="single" w:sz="8" w:color="CCEEFF"/>
            </w:tcBorders>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2021</w:t>
            </w:r>
          </w:p>
        </w:tc>
        <w:tc>
          <w:tcPr>
            <w:tcW w:w="3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10,710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20" w:type="dxa"/>
            <w:vAlign w:val="bottom"/>
            <w:gridSpan w:val="3"/>
          </w:tcPr>
          <w:p>
            <w:pPr>
              <w:ind w:left="1740"/>
              <w:spacing w:after="0"/>
              <w:rPr>
                <w:sz w:val="20"/>
                <w:szCs w:val="20"/>
                <w:color w:val="auto"/>
              </w:rPr>
            </w:pPr>
            <w:r>
              <w:rPr>
                <w:rFonts w:ascii="Arial" w:cs="Arial" w:eastAsia="Arial" w:hAnsi="Arial"/>
                <w:sz w:val="14"/>
                <w:szCs w:val="14"/>
                <w:color w:val="auto"/>
              </w:rPr>
              <w:t>2022</w:t>
            </w:r>
          </w:p>
        </w:tc>
        <w:tc>
          <w:tcPr>
            <w:tcW w:w="3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10,083</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40" w:type="dxa"/>
            <w:vAlign w:val="bottom"/>
          </w:tcPr>
          <w:p>
            <w:pPr>
              <w:spacing w:after="0"/>
              <w:rPr>
                <w:sz w:val="16"/>
                <w:szCs w:val="16"/>
                <w:color w:val="auto"/>
              </w:rPr>
            </w:pPr>
          </w:p>
        </w:tc>
        <w:tc>
          <w:tcPr>
            <w:tcW w:w="900" w:type="dxa"/>
            <w:vAlign w:val="bottom"/>
            <w:tcBorders>
              <w:right w:val="single" w:sz="8" w:color="CCEEFF"/>
            </w:tcBorders>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2023</w:t>
            </w:r>
          </w:p>
        </w:tc>
        <w:tc>
          <w:tcPr>
            <w:tcW w:w="3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5,042</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0" w:type="dxa"/>
            <w:vAlign w:val="bottom"/>
            <w:gridSpan w:val="2"/>
          </w:tcPr>
          <w:p>
            <w:pPr>
              <w:spacing w:after="0"/>
              <w:rPr>
                <w:sz w:val="20"/>
                <w:szCs w:val="20"/>
                <w:color w:val="auto"/>
              </w:rPr>
            </w:pPr>
            <w:r>
              <w:rPr>
                <w:rFonts w:ascii="Arial" w:cs="Arial" w:eastAsia="Arial" w:hAnsi="Arial"/>
                <w:sz w:val="14"/>
                <w:szCs w:val="14"/>
                <w:color w:val="auto"/>
              </w:rPr>
              <w:t>2024 and beyond</w:t>
            </w: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2"/>
          </w:tcPr>
          <w:p>
            <w:pPr>
              <w:jc w:val="right"/>
              <w:ind w:right="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900" w:type="dxa"/>
            <w:vAlign w:val="bottom"/>
            <w:tcBorders>
              <w:right w:val="single" w:sz="8" w:color="CCEEFF"/>
            </w:tcBorders>
          </w:tcPr>
          <w:p>
            <w:pPr>
              <w:spacing w:after="0"/>
              <w:rPr>
                <w:sz w:val="17"/>
                <w:szCs w:val="17"/>
                <w:color w:val="auto"/>
              </w:rPr>
            </w:pPr>
          </w:p>
        </w:tc>
        <w:tc>
          <w:tcPr>
            <w:tcW w:w="4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Total future minimum lease payments</w:t>
            </w:r>
          </w:p>
        </w:tc>
        <w:tc>
          <w:tcPr>
            <w:tcW w:w="10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81,855</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0" w:type="dxa"/>
            <w:vAlign w:val="bottom"/>
            <w:gridSpan w:val="2"/>
          </w:tcPr>
          <w:p>
            <w:pPr>
              <w:ind w:left="100"/>
              <w:spacing w:after="0"/>
              <w:rPr>
                <w:sz w:val="20"/>
                <w:szCs w:val="20"/>
                <w:color w:val="auto"/>
              </w:rPr>
            </w:pPr>
            <w:r>
              <w:rPr>
                <w:rFonts w:ascii="Arial" w:cs="Arial" w:eastAsia="Arial" w:hAnsi="Arial"/>
                <w:sz w:val="14"/>
                <w:szCs w:val="14"/>
                <w:color w:val="auto"/>
              </w:rPr>
              <w:t>Less: Interest</w:t>
            </w:r>
          </w:p>
        </w:tc>
        <w:tc>
          <w:tcPr>
            <w:tcW w:w="10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8,456</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840" w:type="dxa"/>
            <w:vAlign w:val="bottom"/>
          </w:tcPr>
          <w:p>
            <w:pPr>
              <w:spacing w:after="0"/>
              <w:rPr>
                <w:sz w:val="17"/>
                <w:szCs w:val="17"/>
                <w:color w:val="auto"/>
              </w:rPr>
            </w:pPr>
          </w:p>
        </w:tc>
        <w:tc>
          <w:tcPr>
            <w:tcW w:w="900" w:type="dxa"/>
            <w:vAlign w:val="bottom"/>
            <w:tcBorders>
              <w:right w:val="single" w:sz="8" w:color="CCEEFF"/>
            </w:tcBorders>
          </w:tcPr>
          <w:p>
            <w:pPr>
              <w:spacing w:after="0"/>
              <w:rPr>
                <w:sz w:val="17"/>
                <w:szCs w:val="17"/>
                <w:color w:val="auto"/>
              </w:rPr>
            </w:pPr>
          </w:p>
        </w:tc>
        <w:tc>
          <w:tcPr>
            <w:tcW w:w="4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Total finance lease liabilities</w:t>
            </w: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73,399</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840" w:type="dxa"/>
            <w:vAlign w:val="bottom"/>
          </w:tcPr>
          <w:p>
            <w:pPr>
              <w:spacing w:after="0"/>
              <w:rPr>
                <w:sz w:val="16"/>
                <w:szCs w:val="16"/>
                <w:color w:val="auto"/>
              </w:rPr>
            </w:pPr>
          </w:p>
        </w:tc>
        <w:tc>
          <w:tcPr>
            <w:tcW w:w="900" w:type="dxa"/>
            <w:vAlign w:val="bottom"/>
            <w:tcBorders>
              <w:right w:val="single" w:sz="8" w:color="CCEEFF"/>
            </w:tcBorders>
          </w:tcPr>
          <w:p>
            <w:pPr>
              <w:spacing w:after="0"/>
              <w:rPr>
                <w:sz w:val="16"/>
                <w:szCs w:val="16"/>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Current finance lease liability</w:t>
            </w:r>
          </w:p>
        </w:tc>
        <w:tc>
          <w:tcPr>
            <w:tcW w:w="1040" w:type="dxa"/>
            <w:vAlign w:val="bottom"/>
            <w:tcBorders>
              <w:bottom w:val="single" w:sz="8" w:color="CCEEFF"/>
            </w:tcBorders>
            <w:shd w:val="clear" w:color="auto" w:fill="CCEEFF"/>
          </w:tcPr>
          <w:p>
            <w:pPr>
              <w:jc w:val="right"/>
              <w:ind w:right="86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50,307</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0" w:type="dxa"/>
            <w:vAlign w:val="bottom"/>
            <w:gridSpan w:val="2"/>
          </w:tcPr>
          <w:p>
            <w:pPr>
              <w:spacing w:after="0"/>
              <w:rPr>
                <w:sz w:val="20"/>
                <w:szCs w:val="20"/>
                <w:color w:val="auto"/>
              </w:rPr>
            </w:pPr>
            <w:r>
              <w:rPr>
                <w:rFonts w:ascii="Arial" w:cs="Arial" w:eastAsia="Arial" w:hAnsi="Arial"/>
                <w:sz w:val="14"/>
                <w:szCs w:val="14"/>
                <w:color w:val="auto"/>
              </w:rPr>
              <w:t>Long-term finance lease liability</w:t>
            </w: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23,092</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840" w:type="dxa"/>
            <w:vAlign w:val="bottom"/>
          </w:tcPr>
          <w:p>
            <w:pPr>
              <w:spacing w:after="0"/>
              <w:rPr>
                <w:sz w:val="17"/>
                <w:szCs w:val="17"/>
                <w:color w:val="auto"/>
              </w:rPr>
            </w:pPr>
          </w:p>
        </w:tc>
        <w:tc>
          <w:tcPr>
            <w:tcW w:w="900" w:type="dxa"/>
            <w:vAlign w:val="bottom"/>
            <w:tcBorders>
              <w:right w:val="single" w:sz="8" w:color="CCEEFF"/>
            </w:tcBorders>
          </w:tcPr>
          <w:p>
            <w:pPr>
              <w:spacing w:after="0"/>
              <w:rPr>
                <w:sz w:val="17"/>
                <w:szCs w:val="17"/>
                <w:color w:val="auto"/>
              </w:rPr>
            </w:pPr>
          </w:p>
        </w:tc>
        <w:tc>
          <w:tcPr>
            <w:tcW w:w="4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Total finance lease liabilities</w:t>
            </w: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73,399</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gridSpan w:val="4"/>
            <w:vMerge w:val="restart"/>
          </w:tcPr>
          <w:p>
            <w:pPr>
              <w:spacing w:after="0"/>
              <w:rPr>
                <w:sz w:val="20"/>
                <w:szCs w:val="20"/>
                <w:color w:val="auto"/>
              </w:rPr>
            </w:pPr>
            <w:r>
              <w:rPr>
                <w:rFonts w:ascii="Arial" w:cs="Arial" w:eastAsia="Arial" w:hAnsi="Arial"/>
                <w:sz w:val="14"/>
                <w:szCs w:val="14"/>
                <w:color w:val="auto"/>
              </w:rPr>
              <w:t>Other information related to leases is as follows:</w:t>
            </w: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6340" w:type="dxa"/>
            <w:vAlign w:val="bottom"/>
            <w:gridSpan w:val="4"/>
            <w:vMerge w:val="continue"/>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40" w:type="dxa"/>
            <w:vAlign w:val="bottom"/>
          </w:tcPr>
          <w:p>
            <w:pPr>
              <w:spacing w:after="0"/>
              <w:rPr>
                <w:sz w:val="16"/>
                <w:szCs w:val="16"/>
                <w:color w:val="auto"/>
              </w:rPr>
            </w:pPr>
          </w:p>
        </w:tc>
        <w:tc>
          <w:tcPr>
            <w:tcW w:w="900" w:type="dxa"/>
            <w:vAlign w:val="bottom"/>
            <w:tcBorders>
              <w:bottom w:val="single" w:sz="8" w:color="CCEEFF"/>
              <w:right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3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Finance lease cost:</w:t>
            </w:r>
          </w:p>
        </w:tc>
        <w:tc>
          <w:tcPr>
            <w:tcW w:w="10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5500" w:type="dxa"/>
            <w:vAlign w:val="bottom"/>
            <w:gridSpan w:val="3"/>
          </w:tcPr>
          <w:p>
            <w:pPr>
              <w:ind w:left="120"/>
              <w:spacing w:after="0"/>
              <w:rPr>
                <w:sz w:val="20"/>
                <w:szCs w:val="20"/>
                <w:color w:val="auto"/>
              </w:rPr>
            </w:pPr>
            <w:r>
              <w:rPr>
                <w:rFonts w:ascii="Arial" w:cs="Arial" w:eastAsia="Arial" w:hAnsi="Arial"/>
                <w:sz w:val="14"/>
                <w:szCs w:val="14"/>
                <w:color w:val="auto"/>
              </w:rPr>
              <w:t>Amortization of right-of-use assets</w:t>
            </w:r>
          </w:p>
        </w:tc>
        <w:tc>
          <w:tcPr>
            <w:tcW w:w="130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46,498</w:t>
            </w: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40" w:type="dxa"/>
            <w:vAlign w:val="bottom"/>
          </w:tcPr>
          <w:p>
            <w:pPr>
              <w:spacing w:after="0"/>
              <w:rPr>
                <w:sz w:val="18"/>
                <w:szCs w:val="18"/>
                <w:color w:val="auto"/>
              </w:rPr>
            </w:pPr>
          </w:p>
        </w:tc>
        <w:tc>
          <w:tcPr>
            <w:tcW w:w="55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Interest on lease liabilities</w:t>
            </w:r>
          </w:p>
        </w:tc>
        <w:tc>
          <w:tcPr>
            <w:tcW w:w="10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4,926</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550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Total finance lease cost</w:t>
            </w:r>
          </w:p>
        </w:tc>
        <w:tc>
          <w:tcPr>
            <w:tcW w:w="104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7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51,424</w:t>
            </w:r>
          </w:p>
        </w:tc>
        <w:tc>
          <w:tcPr>
            <w:tcW w:w="0" w:type="dxa"/>
            <w:vAlign w:val="bottom"/>
          </w:tcPr>
          <w:p>
            <w:pPr>
              <w:spacing w:after="0"/>
              <w:rPr>
                <w:sz w:val="1"/>
                <w:szCs w:val="1"/>
                <w:color w:val="auto"/>
              </w:rPr>
            </w:pPr>
          </w:p>
        </w:tc>
      </w:tr>
      <w:tr>
        <w:trPr>
          <w:trHeight w:val="232"/>
        </w:trPr>
        <w:tc>
          <w:tcPr>
            <w:tcW w:w="840" w:type="dxa"/>
            <w:vAlign w:val="bottom"/>
          </w:tcPr>
          <w:p>
            <w:pPr>
              <w:spacing w:after="0"/>
              <w:rPr>
                <w:sz w:val="20"/>
                <w:szCs w:val="20"/>
                <w:color w:val="auto"/>
              </w:rPr>
            </w:pPr>
          </w:p>
        </w:tc>
        <w:tc>
          <w:tcPr>
            <w:tcW w:w="900" w:type="dxa"/>
            <w:vAlign w:val="bottom"/>
            <w:tcBorders>
              <w:right w:val="single" w:sz="8" w:color="CCEEFF"/>
            </w:tcBorders>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550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 information:</w:t>
            </w: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40" w:type="dxa"/>
            <w:vAlign w:val="bottom"/>
          </w:tcPr>
          <w:p>
            <w:pPr>
              <w:spacing w:after="0"/>
              <w:rPr>
                <w:sz w:val="16"/>
                <w:szCs w:val="16"/>
                <w:color w:val="auto"/>
              </w:rPr>
            </w:pPr>
          </w:p>
        </w:tc>
        <w:tc>
          <w:tcPr>
            <w:tcW w:w="5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10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5500" w:type="dxa"/>
            <w:vAlign w:val="bottom"/>
            <w:gridSpan w:val="3"/>
          </w:tcPr>
          <w:p>
            <w:pPr>
              <w:ind w:left="120"/>
              <w:spacing w:after="0"/>
              <w:rPr>
                <w:sz w:val="20"/>
                <w:szCs w:val="20"/>
                <w:color w:val="auto"/>
              </w:rPr>
            </w:pPr>
            <w:r>
              <w:rPr>
                <w:rFonts w:ascii="Arial" w:cs="Arial" w:eastAsia="Arial" w:hAnsi="Arial"/>
                <w:sz w:val="14"/>
                <w:szCs w:val="14"/>
                <w:color w:val="auto"/>
              </w:rPr>
              <w:t>Operating cash flows from operating leases</w:t>
            </w:r>
          </w:p>
        </w:tc>
        <w:tc>
          <w:tcPr>
            <w:tcW w:w="130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1,622,476</w:t>
            </w: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40" w:type="dxa"/>
            <w:vAlign w:val="bottom"/>
          </w:tcPr>
          <w:p>
            <w:pPr>
              <w:spacing w:after="0"/>
              <w:rPr>
                <w:sz w:val="16"/>
                <w:szCs w:val="16"/>
                <w:color w:val="auto"/>
              </w:rPr>
            </w:pPr>
          </w:p>
        </w:tc>
        <w:tc>
          <w:tcPr>
            <w:tcW w:w="55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Finance cash flows from finance leases</w:t>
            </w:r>
          </w:p>
        </w:tc>
        <w:tc>
          <w:tcPr>
            <w:tcW w:w="1300" w:type="dxa"/>
            <w:vAlign w:val="bottom"/>
            <w:tcBorders>
              <w:bottom w:val="single" w:sz="8" w:color="CCEEFF"/>
            </w:tcBorders>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40,047</w:t>
            </w: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5500" w:type="dxa"/>
            <w:vAlign w:val="bottom"/>
            <w:gridSpan w:val="3"/>
          </w:tcPr>
          <w:p>
            <w:pPr>
              <w:ind w:left="20"/>
              <w:spacing w:after="0"/>
              <w:rPr>
                <w:sz w:val="20"/>
                <w:szCs w:val="20"/>
                <w:color w:val="auto"/>
              </w:rPr>
            </w:pPr>
            <w:r>
              <w:rPr>
                <w:rFonts w:ascii="Arial" w:cs="Arial" w:eastAsia="Arial" w:hAnsi="Arial"/>
                <w:sz w:val="14"/>
                <w:szCs w:val="14"/>
                <w:color w:val="auto"/>
              </w:rPr>
              <w:t>Right-of-use assets obtained in exchange for new finance lease liabilities</w:t>
            </w:r>
          </w:p>
        </w:tc>
        <w:tc>
          <w:tcPr>
            <w:tcW w:w="130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14,541</w:t>
            </w: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40" w:type="dxa"/>
            <w:vAlign w:val="bottom"/>
          </w:tcPr>
          <w:p>
            <w:pPr>
              <w:spacing w:after="0"/>
              <w:rPr>
                <w:sz w:val="16"/>
                <w:szCs w:val="16"/>
                <w:color w:val="auto"/>
              </w:rPr>
            </w:pPr>
          </w:p>
        </w:tc>
        <w:tc>
          <w:tcPr>
            <w:tcW w:w="5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 (years) - operating leases</w:t>
            </w:r>
          </w:p>
        </w:tc>
        <w:tc>
          <w:tcPr>
            <w:tcW w:w="10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5500" w:type="dxa"/>
            <w:vAlign w:val="bottom"/>
            <w:gridSpan w:val="3"/>
          </w:tcPr>
          <w:p>
            <w:pPr>
              <w:ind w:left="20"/>
              <w:spacing w:after="0"/>
              <w:rPr>
                <w:sz w:val="20"/>
                <w:szCs w:val="20"/>
                <w:color w:val="auto"/>
              </w:rPr>
            </w:pPr>
            <w:r>
              <w:rPr>
                <w:rFonts w:ascii="Arial" w:cs="Arial" w:eastAsia="Arial" w:hAnsi="Arial"/>
                <w:sz w:val="14"/>
                <w:szCs w:val="14"/>
                <w:color w:val="auto"/>
              </w:rPr>
              <w:t>Weighted-average remaining lease term (years) - finance leases</w:t>
            </w: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bl>
    <w:p>
      <w:pPr>
        <w:spacing w:after="0" w:line="22" w:lineRule="exact"/>
        <w:rPr>
          <w:sz w:val="20"/>
          <w:szCs w:val="20"/>
          <w:color w:val="auto"/>
        </w:rPr>
      </w:pPr>
    </w:p>
    <w:tbl>
      <w:tblPr>
        <w:tblLayout w:type="fixed"/>
        <w:tblInd w:w="1360" w:type="dxa"/>
        <w:tblCellMar>
          <w:top w:w="0" w:type="dxa"/>
          <w:left w:w="0" w:type="dxa"/>
          <w:bottom w:w="0" w:type="dxa"/>
          <w:right w:w="0" w:type="dxa"/>
        </w:tblCellMar>
      </w:tblPr>
      <w:tr>
        <w:trPr>
          <w:trHeight w:val="21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discount rate - operating leases</w:t>
            </w:r>
          </w:p>
        </w:tc>
        <w:tc>
          <w:tcPr>
            <w:tcW w:w="2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91"/>
        </w:trPr>
        <w:tc>
          <w:tcPr>
            <w:tcW w:w="5600" w:type="dxa"/>
            <w:vAlign w:val="bottom"/>
          </w:tcPr>
          <w:p>
            <w:pPr>
              <w:ind w:left="20"/>
              <w:spacing w:after="0"/>
              <w:rPr>
                <w:sz w:val="20"/>
                <w:szCs w:val="20"/>
                <w:color w:val="auto"/>
              </w:rPr>
            </w:pPr>
            <w:r>
              <w:rPr>
                <w:rFonts w:ascii="Arial" w:cs="Arial" w:eastAsia="Arial" w:hAnsi="Arial"/>
                <w:sz w:val="14"/>
                <w:szCs w:val="14"/>
                <w:color w:val="auto"/>
              </w:rPr>
              <w:t>Weighted-average discount rate - finance leases</w:t>
            </w:r>
          </w:p>
        </w:tc>
        <w:tc>
          <w:tcPr>
            <w:tcW w:w="2980" w:type="dxa"/>
            <w:vAlign w:val="bottom"/>
          </w:tcPr>
          <w:p>
            <w:pPr>
              <w:jc w:val="right"/>
              <w:spacing w:after="0"/>
              <w:rPr>
                <w:sz w:val="20"/>
                <w:szCs w:val="20"/>
                <w:color w:val="auto"/>
              </w:rPr>
            </w:pPr>
            <w:r>
              <w:rPr>
                <w:rFonts w:ascii="Arial" w:cs="Arial" w:eastAsia="Arial" w:hAnsi="Arial"/>
                <w:sz w:val="14"/>
                <w:szCs w:val="14"/>
                <w:color w:val="auto"/>
              </w:rPr>
              <w:t>7%</w:t>
            </w:r>
          </w:p>
        </w:tc>
      </w:tr>
    </w:tbl>
    <w:p>
      <w:pPr>
        <w:spacing w:after="0" w:line="18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At December 31, 2019, we had no operating or finance leases that have not yet commenced.</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Prior to the adoption of ASC 842, lease expense of approximately $1.0 million was recognized in our consolidated statement of operations for the year ended December 31, 2018.</w:t>
      </w:r>
    </w:p>
    <w:p>
      <w:pPr>
        <w:spacing w:after="0" w:line="200" w:lineRule="exact"/>
        <w:rPr>
          <w:sz w:val="20"/>
          <w:szCs w:val="20"/>
          <w:color w:val="auto"/>
        </w:rPr>
      </w:pPr>
    </w:p>
    <w:p>
      <w:pPr>
        <w:spacing w:after="0" w:line="32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11.</w:t>
      </w:r>
      <w:r>
        <w:rPr>
          <w:sz w:val="20"/>
          <w:szCs w:val="20"/>
          <w:color w:val="auto"/>
        </w:rPr>
        <w:tab/>
      </w:r>
      <w:r>
        <w:rPr>
          <w:rFonts w:ascii="Arial" w:cs="Arial" w:eastAsia="Arial" w:hAnsi="Arial"/>
          <w:sz w:val="12"/>
          <w:szCs w:val="12"/>
          <w:b w:val="1"/>
          <w:bCs w:val="1"/>
          <w:color w:val="auto"/>
        </w:rPr>
        <w:t>Stockholders’ Equity</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Series A Convertible Preferred Stock</w:t>
      </w:r>
    </w:p>
    <w:p>
      <w:pPr>
        <w:spacing w:after="0" w:line="72" w:lineRule="exact"/>
        <w:rPr>
          <w:sz w:val="20"/>
          <w:szCs w:val="20"/>
          <w:color w:val="auto"/>
        </w:rPr>
      </w:pPr>
    </w:p>
    <w:p>
      <w:pPr>
        <w:ind w:firstLine="340"/>
        <w:spacing w:after="0" w:line="321" w:lineRule="auto"/>
        <w:rPr>
          <w:sz w:val="20"/>
          <w:szCs w:val="20"/>
          <w:color w:val="auto"/>
        </w:rPr>
      </w:pPr>
      <w:r>
        <w:rPr>
          <w:rFonts w:ascii="Arial" w:cs="Arial" w:eastAsia="Arial" w:hAnsi="Arial"/>
          <w:sz w:val="13"/>
          <w:szCs w:val="13"/>
          <w:color w:val="auto"/>
        </w:rPr>
        <w:t>In January 2010, we entered into a transaction with Carilion, in which Carilion agreed to exchange all of its Senior Convertible Promissory Notes with an original principal amount of $5.0 million plus all accrued but unpaid interest, totaling $1.2 million, for 1,321,514 shares of our newly designated Series A Convertible Preferred Stock. The Series A Convertible</w:t>
      </w:r>
    </w:p>
    <w:p>
      <w:pPr>
        <w:spacing w:after="0" w:line="109"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0940"/>
          </w:cols>
          <w:pgMar w:left="300" w:top="125" w:right="65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ind w:right="160"/>
        <w:spacing w:after="0" w:line="267" w:lineRule="auto"/>
        <w:rPr>
          <w:sz w:val="20"/>
          <w:szCs w:val="20"/>
          <w:color w:val="auto"/>
        </w:rPr>
      </w:pPr>
      <w:r>
        <w:rPr>
          <w:rFonts w:ascii="Arial" w:cs="Arial" w:eastAsia="Arial" w:hAnsi="Arial"/>
          <w:sz w:val="14"/>
          <w:szCs w:val="14"/>
          <w:color w:val="auto"/>
        </w:rPr>
        <w:t>Preferred Stock is non-voting, carries a dividend of 6% payable in shares of common stock and maintains a liquidation preference up to $6.2 million. In September 2019, Carilion elected to convert the 1,321,514 shares of preferred stock into an equal number of shares of our common stock. In addition, we issued 770,454 shares of our common stock in satisfaction of the accrued dividends earned on the preferred stock prior to its conversion.</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Equity Incentive Plans</w:t>
      </w:r>
    </w:p>
    <w:p>
      <w:pPr>
        <w:spacing w:after="0" w:line="136" w:lineRule="exact"/>
        <w:rPr>
          <w:sz w:val="20"/>
          <w:szCs w:val="20"/>
          <w:color w:val="auto"/>
        </w:rPr>
      </w:pPr>
    </w:p>
    <w:p>
      <w:pPr>
        <w:ind w:right="100" w:firstLine="340"/>
        <w:spacing w:after="0" w:line="262" w:lineRule="auto"/>
        <w:rPr>
          <w:sz w:val="20"/>
          <w:szCs w:val="20"/>
          <w:color w:val="auto"/>
        </w:rPr>
      </w:pPr>
      <w:r>
        <w:rPr>
          <w:rFonts w:ascii="Arial" w:cs="Arial" w:eastAsia="Arial" w:hAnsi="Arial"/>
          <w:sz w:val="14"/>
          <w:szCs w:val="14"/>
          <w:color w:val="auto"/>
        </w:rPr>
        <w:t>In April 2016, we adopted our 2016 Equity Incentive Plan (the "2016 Plan") as a successor to the 2006 Plan. Under the 2016 Plan, our Board of Directors is authorized to grant both incentive and non-statutory stock options to purchase common stock and restricted stock awards to our employees, directors, and consultants. The 2016 Plan provides for the issuance of 3,500,000 shares plus any amounts forfeited from grants under the 2006 Plan after the expiration date of the 2006 Plan. Options generally have a life of 10 years and exercise price equal to or greater than the fair market value of the Common Stock as determined by the Board of Directors. Vesting typically occurs over a four-year period.</w:t>
      </w:r>
    </w:p>
    <w:p>
      <w:pPr>
        <w:spacing w:after="0" w:line="103" w:lineRule="exact"/>
        <w:rPr>
          <w:sz w:val="20"/>
          <w:szCs w:val="20"/>
          <w:color w:val="auto"/>
        </w:rPr>
      </w:pPr>
    </w:p>
    <w:p>
      <w:pPr>
        <w:ind w:right="140" w:firstLine="340"/>
        <w:spacing w:after="0" w:line="281" w:lineRule="auto"/>
        <w:rPr>
          <w:sz w:val="20"/>
          <w:szCs w:val="20"/>
          <w:color w:val="auto"/>
        </w:rPr>
      </w:pPr>
      <w:r>
        <w:rPr>
          <w:rFonts w:ascii="Arial" w:cs="Arial" w:eastAsia="Arial" w:hAnsi="Arial"/>
          <w:sz w:val="14"/>
          <w:szCs w:val="14"/>
          <w:color w:val="auto"/>
        </w:rPr>
        <w:t>The following table sets forth the activity of the options to purchase common stock under the 2006 Plan and the 2016 Plan. The prices represent the closing price of our Common Stock on the Nasdaq Capital Market on the respective dates.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38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Options Outstanding</w:t>
            </w: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w w:val="98"/>
              </w:rPr>
              <w:t>Options Exercisable</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3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center"/>
              <w:ind w:right="380"/>
              <w:spacing w:after="0" w:line="116" w:lineRule="exact"/>
              <w:rPr>
                <w:sz w:val="20"/>
                <w:szCs w:val="20"/>
                <w:color w:val="auto"/>
              </w:rPr>
            </w:pPr>
            <w:r>
              <w:rPr>
                <w:rFonts w:ascii="Arial" w:cs="Arial" w:eastAsia="Arial" w:hAnsi="Arial"/>
                <w:sz w:val="11"/>
                <w:szCs w:val="11"/>
                <w:b w:val="1"/>
                <w:bCs w:val="1"/>
                <w:color w:val="auto"/>
                <w:w w:val="92"/>
              </w:rPr>
              <w:t>Weighted</w:t>
            </w:r>
          </w:p>
        </w:tc>
        <w:tc>
          <w:tcPr>
            <w:tcW w:w="24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center"/>
              <w:ind w:right="340"/>
              <w:spacing w:after="0"/>
              <w:rPr>
                <w:sz w:val="20"/>
                <w:szCs w:val="20"/>
                <w:color w:val="auto"/>
              </w:rPr>
            </w:pPr>
            <w:r>
              <w:rPr>
                <w:rFonts w:ascii="Arial" w:cs="Arial" w:eastAsia="Arial" w:hAnsi="Arial"/>
                <w:sz w:val="11"/>
                <w:szCs w:val="11"/>
                <w:b w:val="1"/>
                <w:bCs w:val="1"/>
                <w:color w:val="auto"/>
                <w:w w:val="91"/>
              </w:rPr>
              <w:t>Aggregate</w:t>
            </w: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center"/>
              <w:ind w:right="260"/>
              <w:spacing w:after="0" w:line="116" w:lineRule="exact"/>
              <w:rPr>
                <w:sz w:val="20"/>
                <w:szCs w:val="20"/>
                <w:color w:val="auto"/>
              </w:rPr>
            </w:pPr>
            <w:r>
              <w:rPr>
                <w:rFonts w:ascii="Arial" w:cs="Arial" w:eastAsia="Arial" w:hAnsi="Arial"/>
                <w:sz w:val="11"/>
                <w:szCs w:val="11"/>
                <w:b w:val="1"/>
                <w:bCs w:val="1"/>
                <w:color w:val="auto"/>
                <w:w w:val="92"/>
              </w:rPr>
              <w:t>Weighted</w:t>
            </w:r>
          </w:p>
        </w:tc>
        <w:tc>
          <w:tcPr>
            <w:tcW w:w="22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center"/>
              <w:ind w:right="136"/>
              <w:spacing w:after="0"/>
              <w:rPr>
                <w:sz w:val="20"/>
                <w:szCs w:val="20"/>
                <w:color w:val="auto"/>
              </w:rPr>
            </w:pPr>
            <w:r>
              <w:rPr>
                <w:rFonts w:ascii="Arial" w:cs="Arial" w:eastAsia="Arial" w:hAnsi="Arial"/>
                <w:sz w:val="11"/>
                <w:szCs w:val="11"/>
                <w:b w:val="1"/>
                <w:bCs w:val="1"/>
                <w:color w:val="auto"/>
                <w:w w:val="91"/>
              </w:rPr>
              <w:t>Aggregate</w:t>
            </w:r>
          </w:p>
        </w:tc>
        <w:tc>
          <w:tcPr>
            <w:tcW w:w="0" w:type="dxa"/>
            <w:vAlign w:val="bottom"/>
          </w:tcPr>
          <w:p>
            <w:pPr>
              <w:spacing w:after="0"/>
              <w:rPr>
                <w:sz w:val="1"/>
                <w:szCs w:val="1"/>
                <w:color w:val="auto"/>
              </w:rPr>
            </w:pPr>
          </w:p>
        </w:tc>
      </w:tr>
      <w:tr>
        <w:trPr>
          <w:trHeight w:val="117"/>
        </w:trPr>
        <w:tc>
          <w:tcPr>
            <w:tcW w:w="2380" w:type="dxa"/>
            <w:vAlign w:val="bottom"/>
            <w:shd w:val="clear" w:color="auto" w:fill="CCEEFF"/>
          </w:tcPr>
          <w:p>
            <w:pPr>
              <w:spacing w:after="0"/>
              <w:rPr>
                <w:sz w:val="10"/>
                <w:szCs w:val="10"/>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1"/>
                <w:szCs w:val="11"/>
                <w:b w:val="1"/>
                <w:bCs w:val="1"/>
                <w:color w:val="auto"/>
                <w:w w:val="94"/>
              </w:rPr>
              <w:t>Number of</w:t>
            </w:r>
          </w:p>
        </w:tc>
        <w:tc>
          <w:tcPr>
            <w:tcW w:w="15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1"/>
                <w:szCs w:val="11"/>
                <w:b w:val="1"/>
                <w:bCs w:val="1"/>
                <w:color w:val="auto"/>
                <w:w w:val="93"/>
              </w:rPr>
              <w:t>Price per</w:t>
            </w:r>
          </w:p>
        </w:tc>
        <w:tc>
          <w:tcPr>
            <w:tcW w:w="2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center"/>
              <w:ind w:right="360"/>
              <w:spacing w:after="0" w:line="117" w:lineRule="exact"/>
              <w:rPr>
                <w:sz w:val="20"/>
                <w:szCs w:val="20"/>
                <w:color w:val="auto"/>
              </w:rPr>
            </w:pPr>
            <w:r>
              <w:rPr>
                <w:rFonts w:ascii="Arial" w:cs="Arial" w:eastAsia="Arial" w:hAnsi="Arial"/>
                <w:sz w:val="11"/>
                <w:szCs w:val="11"/>
                <w:b w:val="1"/>
                <w:bCs w:val="1"/>
                <w:color w:val="auto"/>
                <w:w w:val="92"/>
              </w:rPr>
              <w:t>Average</w:t>
            </w:r>
          </w:p>
        </w:tc>
        <w:tc>
          <w:tcPr>
            <w:tcW w:w="240" w:type="dxa"/>
            <w:vAlign w:val="bottom"/>
            <w:shd w:val="clear" w:color="auto" w:fill="CCEEFF"/>
          </w:tcPr>
          <w:p>
            <w:pPr>
              <w:spacing w:after="0"/>
              <w:rPr>
                <w:sz w:val="10"/>
                <w:szCs w:val="10"/>
                <w:color w:val="auto"/>
              </w:rPr>
            </w:pPr>
          </w:p>
        </w:tc>
        <w:tc>
          <w:tcPr>
            <w:tcW w:w="1120" w:type="dxa"/>
            <w:vAlign w:val="bottom"/>
            <w:gridSpan w:val="2"/>
            <w:vMerge w:val="continue"/>
            <w:shd w:val="clear" w:color="auto" w:fill="CCEEFF"/>
          </w:tcPr>
          <w:p>
            <w:pPr>
              <w:spacing w:after="0"/>
              <w:rPr>
                <w:sz w:val="10"/>
                <w:szCs w:val="10"/>
                <w:color w:val="auto"/>
              </w:rPr>
            </w:pPr>
          </w:p>
        </w:tc>
        <w:tc>
          <w:tcPr>
            <w:tcW w:w="12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1"/>
                <w:szCs w:val="11"/>
                <w:b w:val="1"/>
                <w:bCs w:val="1"/>
                <w:color w:val="auto"/>
                <w:w w:val="94"/>
              </w:rPr>
              <w:t>Number of</w:t>
            </w:r>
          </w:p>
        </w:tc>
        <w:tc>
          <w:tcPr>
            <w:tcW w:w="1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center"/>
              <w:ind w:right="280"/>
              <w:spacing w:after="0" w:line="117" w:lineRule="exact"/>
              <w:rPr>
                <w:sz w:val="20"/>
                <w:szCs w:val="20"/>
                <w:color w:val="auto"/>
              </w:rPr>
            </w:pPr>
            <w:r>
              <w:rPr>
                <w:rFonts w:ascii="Arial" w:cs="Arial" w:eastAsia="Arial" w:hAnsi="Arial"/>
                <w:sz w:val="11"/>
                <w:szCs w:val="11"/>
                <w:b w:val="1"/>
                <w:bCs w:val="1"/>
                <w:color w:val="auto"/>
                <w:w w:val="92"/>
              </w:rPr>
              <w:t>Average</w:t>
            </w:r>
          </w:p>
        </w:tc>
        <w:tc>
          <w:tcPr>
            <w:tcW w:w="220" w:type="dxa"/>
            <w:vAlign w:val="bottom"/>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80" w:type="dxa"/>
            <w:vAlign w:val="bottom"/>
            <w:shd w:val="clear" w:color="auto" w:fill="CCEEFF"/>
          </w:tcPr>
          <w:p>
            <w:pPr>
              <w:spacing w:after="0"/>
              <w:rPr>
                <w:sz w:val="10"/>
                <w:szCs w:val="10"/>
                <w:color w:val="auto"/>
              </w:rPr>
            </w:pPr>
          </w:p>
        </w:tc>
        <w:tc>
          <w:tcPr>
            <w:tcW w:w="1380" w:type="dxa"/>
            <w:vAlign w:val="bottom"/>
            <w:gridSpan w:val="2"/>
            <w:vMerge w:val="continue"/>
            <w:shd w:val="clear" w:color="auto" w:fill="CCEEFF"/>
          </w:tcPr>
          <w:p>
            <w:pPr>
              <w:spacing w:after="0"/>
              <w:rPr>
                <w:sz w:val="10"/>
                <w:szCs w:val="10"/>
                <w:color w:val="auto"/>
              </w:rPr>
            </w:pPr>
          </w:p>
        </w:tc>
        <w:tc>
          <w:tcPr>
            <w:tcW w:w="1580" w:type="dxa"/>
            <w:vAlign w:val="bottom"/>
            <w:gridSpan w:val="2"/>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center"/>
              <w:ind w:right="360"/>
              <w:spacing w:after="0" w:line="117" w:lineRule="exact"/>
              <w:rPr>
                <w:sz w:val="20"/>
                <w:szCs w:val="20"/>
                <w:color w:val="auto"/>
              </w:rPr>
            </w:pPr>
            <w:r>
              <w:rPr>
                <w:rFonts w:ascii="Arial" w:cs="Arial" w:eastAsia="Arial" w:hAnsi="Arial"/>
                <w:sz w:val="11"/>
                <w:szCs w:val="11"/>
                <w:b w:val="1"/>
                <w:bCs w:val="1"/>
                <w:color w:val="auto"/>
                <w:w w:val="88"/>
              </w:rPr>
              <w:t>Exercise</w:t>
            </w:r>
          </w:p>
        </w:tc>
        <w:tc>
          <w:tcPr>
            <w:tcW w:w="24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center"/>
              <w:ind w:right="340"/>
              <w:spacing w:after="0" w:line="117" w:lineRule="exact"/>
              <w:rPr>
                <w:sz w:val="20"/>
                <w:szCs w:val="20"/>
                <w:color w:val="auto"/>
              </w:rPr>
            </w:pPr>
            <w:r>
              <w:rPr>
                <w:rFonts w:ascii="Arial" w:cs="Arial" w:eastAsia="Arial" w:hAnsi="Arial"/>
                <w:sz w:val="11"/>
                <w:szCs w:val="11"/>
                <w:b w:val="1"/>
                <w:bCs w:val="1"/>
                <w:color w:val="auto"/>
                <w:w w:val="98"/>
              </w:rPr>
              <w:t>Intrinsic</w:t>
            </w:r>
          </w:p>
        </w:tc>
        <w:tc>
          <w:tcPr>
            <w:tcW w:w="122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center"/>
              <w:ind w:right="280"/>
              <w:spacing w:after="0" w:line="117" w:lineRule="exact"/>
              <w:rPr>
                <w:sz w:val="20"/>
                <w:szCs w:val="20"/>
                <w:color w:val="auto"/>
              </w:rPr>
            </w:pPr>
            <w:r>
              <w:rPr>
                <w:rFonts w:ascii="Arial" w:cs="Arial" w:eastAsia="Arial" w:hAnsi="Arial"/>
                <w:sz w:val="11"/>
                <w:szCs w:val="11"/>
                <w:b w:val="1"/>
                <w:bCs w:val="1"/>
                <w:color w:val="auto"/>
                <w:w w:val="88"/>
              </w:rPr>
              <w:t>Exercise</w:t>
            </w: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jc w:val="center"/>
              <w:ind w:right="136"/>
              <w:spacing w:after="0" w:line="117" w:lineRule="exact"/>
              <w:rPr>
                <w:sz w:val="20"/>
                <w:szCs w:val="20"/>
                <w:color w:val="auto"/>
              </w:rPr>
            </w:pPr>
            <w:r>
              <w:rPr>
                <w:rFonts w:ascii="Arial" w:cs="Arial" w:eastAsia="Arial" w:hAnsi="Arial"/>
                <w:sz w:val="11"/>
                <w:szCs w:val="11"/>
                <w:b w:val="1"/>
                <w:bCs w:val="1"/>
                <w:color w:val="auto"/>
                <w:w w:val="98"/>
              </w:rPr>
              <w:t>Intrinsic</w:t>
            </w:r>
          </w:p>
        </w:tc>
        <w:tc>
          <w:tcPr>
            <w:tcW w:w="0" w:type="dxa"/>
            <w:vAlign w:val="bottom"/>
          </w:tcPr>
          <w:p>
            <w:pPr>
              <w:spacing w:after="0"/>
              <w:rPr>
                <w:sz w:val="1"/>
                <w:szCs w:val="1"/>
                <w:color w:val="auto"/>
              </w:rPr>
            </w:pPr>
          </w:p>
        </w:tc>
      </w:tr>
      <w:tr>
        <w:trPr>
          <w:trHeight w:val="155"/>
        </w:trPr>
        <w:tc>
          <w:tcPr>
            <w:tcW w:w="238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140"/>
              <w:spacing w:after="0"/>
              <w:rPr>
                <w:sz w:val="20"/>
                <w:szCs w:val="20"/>
                <w:color w:val="auto"/>
              </w:rPr>
            </w:pPr>
            <w:r>
              <w:rPr>
                <w:rFonts w:ascii="Arial" w:cs="Arial" w:eastAsia="Arial" w:hAnsi="Arial"/>
                <w:sz w:val="11"/>
                <w:szCs w:val="11"/>
                <w:b w:val="1"/>
                <w:bCs w:val="1"/>
                <w:color w:val="auto"/>
                <w:w w:val="87"/>
              </w:rPr>
              <w:t>Shares</w:t>
            </w: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b w:val="1"/>
                <w:bCs w:val="1"/>
                <w:color w:val="auto"/>
                <w:w w:val="92"/>
              </w:rPr>
              <w:t>Share Range</w:t>
            </w:r>
          </w:p>
        </w:tc>
        <w:tc>
          <w:tcPr>
            <w:tcW w:w="2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center"/>
              <w:ind w:right="360"/>
              <w:spacing w:after="0"/>
              <w:rPr>
                <w:sz w:val="20"/>
                <w:szCs w:val="20"/>
                <w:color w:val="auto"/>
              </w:rPr>
            </w:pPr>
            <w:r>
              <w:rPr>
                <w:rFonts w:ascii="Arial" w:cs="Arial" w:eastAsia="Arial" w:hAnsi="Arial"/>
                <w:sz w:val="11"/>
                <w:szCs w:val="11"/>
                <w:b w:val="1"/>
                <w:bCs w:val="1"/>
                <w:color w:val="auto"/>
                <w:w w:val="89"/>
              </w:rPr>
              <w:t>Price</w:t>
            </w: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center"/>
              <w:ind w:right="340"/>
              <w:spacing w:after="0"/>
              <w:rPr>
                <w:sz w:val="20"/>
                <w:szCs w:val="20"/>
                <w:color w:val="auto"/>
              </w:rPr>
            </w:pPr>
            <w:r>
              <w:rPr>
                <w:rFonts w:ascii="Arial" w:cs="Arial" w:eastAsia="Arial" w:hAnsi="Arial"/>
                <w:sz w:val="11"/>
                <w:szCs w:val="11"/>
                <w:b w:val="1"/>
                <w:bCs w:val="1"/>
                <w:color w:val="auto"/>
                <w:w w:val="91"/>
              </w:rPr>
              <w:t>Value (1)</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center"/>
              <w:ind w:right="280"/>
              <w:spacing w:after="0"/>
              <w:rPr>
                <w:sz w:val="20"/>
                <w:szCs w:val="20"/>
                <w:color w:val="auto"/>
              </w:rPr>
            </w:pPr>
            <w:r>
              <w:rPr>
                <w:rFonts w:ascii="Arial" w:cs="Arial" w:eastAsia="Arial" w:hAnsi="Arial"/>
                <w:sz w:val="11"/>
                <w:szCs w:val="11"/>
                <w:b w:val="1"/>
                <w:bCs w:val="1"/>
                <w:color w:val="auto"/>
                <w:w w:val="89"/>
              </w:rPr>
              <w:t>Price</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center"/>
              <w:ind w:right="136"/>
              <w:spacing w:after="0"/>
              <w:rPr>
                <w:sz w:val="20"/>
                <w:szCs w:val="20"/>
                <w:color w:val="auto"/>
              </w:rPr>
            </w:pPr>
            <w:r>
              <w:rPr>
                <w:rFonts w:ascii="Arial" w:cs="Arial" w:eastAsia="Arial" w:hAnsi="Arial"/>
                <w:sz w:val="11"/>
                <w:szCs w:val="11"/>
                <w:b w:val="1"/>
                <w:bCs w:val="1"/>
                <w:color w:val="auto"/>
                <w:w w:val="91"/>
              </w:rPr>
              <w:t>Value (1)</w:t>
            </w:r>
          </w:p>
        </w:tc>
        <w:tc>
          <w:tcPr>
            <w:tcW w:w="0" w:type="dxa"/>
            <w:vAlign w:val="bottom"/>
          </w:tcPr>
          <w:p>
            <w:pPr>
              <w:spacing w:after="0"/>
              <w:rPr>
                <w:sz w:val="1"/>
                <w:szCs w:val="1"/>
                <w:color w:val="auto"/>
              </w:rPr>
            </w:pPr>
          </w:p>
        </w:tc>
      </w:tr>
      <w:tr>
        <w:trPr>
          <w:trHeight w:val="181"/>
        </w:trPr>
        <w:tc>
          <w:tcPr>
            <w:tcW w:w="2380" w:type="dxa"/>
            <w:vAlign w:val="bottom"/>
          </w:tcPr>
          <w:p>
            <w:pPr>
              <w:ind w:left="20"/>
              <w:spacing w:after="0"/>
              <w:rPr>
                <w:sz w:val="20"/>
                <w:szCs w:val="20"/>
                <w:color w:val="auto"/>
              </w:rPr>
            </w:pPr>
            <w:r>
              <w:rPr>
                <w:rFonts w:ascii="Arial" w:cs="Arial" w:eastAsia="Arial" w:hAnsi="Arial"/>
                <w:sz w:val="14"/>
                <w:szCs w:val="14"/>
                <w:b w:val="1"/>
                <w:bCs w:val="1"/>
                <w:color w:val="auto"/>
              </w:rPr>
              <w:t>Balance at January 1, 2018</w:t>
            </w:r>
          </w:p>
        </w:tc>
        <w:tc>
          <w:tcPr>
            <w:tcW w:w="12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2,714,561</w:t>
            </w:r>
          </w:p>
        </w:tc>
        <w:tc>
          <w:tcPr>
            <w:tcW w:w="120" w:type="dxa"/>
            <w:vAlign w:val="bottom"/>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$0.61 - 6.55</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56"/>
              <w:spacing w:after="0"/>
              <w:rPr>
                <w:sz w:val="20"/>
                <w:szCs w:val="20"/>
                <w:color w:val="auto"/>
              </w:rPr>
            </w:pPr>
            <w:r>
              <w:rPr>
                <w:rFonts w:ascii="Arial" w:cs="Arial" w:eastAsia="Arial" w:hAnsi="Arial"/>
                <w:sz w:val="14"/>
                <w:szCs w:val="14"/>
                <w:color w:val="auto"/>
              </w:rPr>
              <w:t>2,098,195</w:t>
            </w:r>
          </w:p>
        </w:tc>
        <w:tc>
          <w:tcPr>
            <w:tcW w:w="100" w:type="dxa"/>
            <w:vAlign w:val="bottom"/>
          </w:tcPr>
          <w:p>
            <w:pPr>
              <w:spacing w:after="0"/>
              <w:rPr>
                <w:sz w:val="15"/>
                <w:szCs w:val="15"/>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4"/>
                <w:szCs w:val="14"/>
                <w:color w:val="auto"/>
              </w:rPr>
              <w:t>2,590,030</w:t>
            </w:r>
          </w:p>
        </w:tc>
        <w:tc>
          <w:tcPr>
            <w:tcW w:w="100" w:type="dxa"/>
            <w:vAlign w:val="bottom"/>
          </w:tcPr>
          <w:p>
            <w:pPr>
              <w:spacing w:after="0"/>
              <w:rPr>
                <w:sz w:val="15"/>
                <w:szCs w:val="15"/>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4"/>
                <w:szCs w:val="14"/>
                <w:color w:val="auto"/>
              </w:rPr>
              <w:t>2,013,034</w:t>
            </w:r>
          </w:p>
        </w:tc>
        <w:tc>
          <w:tcPr>
            <w:tcW w:w="0" w:type="dxa"/>
            <w:vAlign w:val="bottom"/>
          </w:tcPr>
          <w:p>
            <w:pPr>
              <w:spacing w:after="0"/>
              <w:rPr>
                <w:sz w:val="1"/>
                <w:szCs w:val="1"/>
                <w:color w:val="auto"/>
              </w:rPr>
            </w:pPr>
          </w:p>
        </w:tc>
      </w:tr>
      <w:tr>
        <w:trPr>
          <w:trHeight w:val="62"/>
        </w:trPr>
        <w:tc>
          <w:tcPr>
            <w:tcW w:w="238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380" w:type="dxa"/>
            <w:vAlign w:val="bottom"/>
            <w:tcBorders>
              <w:bottom w:val="single" w:sz="8" w:color="CCEEFF"/>
            </w:tcBorders>
            <w:shd w:val="clear" w:color="auto" w:fill="CCEEFF"/>
          </w:tcPr>
          <w:p>
            <w:pPr>
              <w:ind w:left="300"/>
              <w:spacing w:after="0" w:line="141" w:lineRule="exact"/>
              <w:rPr>
                <w:sz w:val="20"/>
                <w:szCs w:val="20"/>
                <w:color w:val="auto"/>
              </w:rPr>
            </w:pPr>
            <w:r>
              <w:rPr>
                <w:rFonts w:ascii="Arial" w:cs="Arial" w:eastAsia="Arial" w:hAnsi="Arial"/>
                <w:sz w:val="14"/>
                <w:szCs w:val="14"/>
                <w:color w:val="auto"/>
              </w:rPr>
              <w:t>Forfeited</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(675,607)</w:t>
            </w:r>
          </w:p>
        </w:tc>
        <w:tc>
          <w:tcPr>
            <w:tcW w:w="12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$1.15 - 6.55</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1.90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380" w:type="dxa"/>
            <w:vAlign w:val="bottom"/>
          </w:tcPr>
          <w:p>
            <w:pPr>
              <w:ind w:left="300"/>
              <w:spacing w:after="0"/>
              <w:rPr>
                <w:sz w:val="20"/>
                <w:szCs w:val="20"/>
                <w:color w:val="auto"/>
              </w:rPr>
            </w:pPr>
            <w:r>
              <w:rPr>
                <w:rFonts w:ascii="Arial" w:cs="Arial" w:eastAsia="Arial" w:hAnsi="Arial"/>
                <w:sz w:val="14"/>
                <w:szCs w:val="14"/>
                <w:color w:val="auto"/>
              </w:rPr>
              <w:t>Exercised</w:t>
            </w: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(96,425)</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$0.65 - 2.46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Granted</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1,166,339</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$2.67 - 3.53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3.09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38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12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3,108,868</w:t>
            </w:r>
          </w:p>
        </w:tc>
        <w:tc>
          <w:tcPr>
            <w:tcW w:w="120" w:type="dxa"/>
            <w:vAlign w:val="bottom"/>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$0.61 - 6.55</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56"/>
              <w:spacing w:after="0"/>
              <w:rPr>
                <w:sz w:val="20"/>
                <w:szCs w:val="20"/>
                <w:color w:val="auto"/>
              </w:rPr>
            </w:pPr>
            <w:r>
              <w:rPr>
                <w:rFonts w:ascii="Arial" w:cs="Arial" w:eastAsia="Arial" w:hAnsi="Arial"/>
                <w:sz w:val="14"/>
                <w:szCs w:val="14"/>
                <w:color w:val="auto"/>
              </w:rPr>
              <w:t>3,669,794</w:t>
            </w:r>
          </w:p>
        </w:tc>
        <w:tc>
          <w:tcPr>
            <w:tcW w:w="100" w:type="dxa"/>
            <w:vAlign w:val="bottom"/>
          </w:tcPr>
          <w:p>
            <w:pPr>
              <w:spacing w:after="0"/>
              <w:rPr>
                <w:sz w:val="15"/>
                <w:szCs w:val="15"/>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4"/>
                <w:szCs w:val="14"/>
                <w:color w:val="auto"/>
              </w:rPr>
              <w:t>1,986,740</w:t>
            </w:r>
          </w:p>
        </w:tc>
        <w:tc>
          <w:tcPr>
            <w:tcW w:w="100" w:type="dxa"/>
            <w:vAlign w:val="bottom"/>
          </w:tcPr>
          <w:p>
            <w:pPr>
              <w:spacing w:after="0"/>
              <w:rPr>
                <w:sz w:val="15"/>
                <w:szCs w:val="15"/>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4"/>
                <w:szCs w:val="14"/>
                <w:color w:val="auto"/>
              </w:rPr>
              <w:t>3,314,494</w:t>
            </w:r>
          </w:p>
        </w:tc>
        <w:tc>
          <w:tcPr>
            <w:tcW w:w="0" w:type="dxa"/>
            <w:vAlign w:val="bottom"/>
          </w:tcPr>
          <w:p>
            <w:pPr>
              <w:spacing w:after="0"/>
              <w:rPr>
                <w:sz w:val="1"/>
                <w:szCs w:val="1"/>
                <w:color w:val="auto"/>
              </w:rPr>
            </w:pPr>
          </w:p>
        </w:tc>
      </w:tr>
      <w:tr>
        <w:trPr>
          <w:trHeight w:val="62"/>
        </w:trPr>
        <w:tc>
          <w:tcPr>
            <w:tcW w:w="238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380" w:type="dxa"/>
            <w:vAlign w:val="bottom"/>
            <w:tcBorders>
              <w:bottom w:val="single" w:sz="8" w:color="CCEEFF"/>
            </w:tcBorders>
            <w:shd w:val="clear" w:color="auto" w:fill="CCEEFF"/>
          </w:tcPr>
          <w:p>
            <w:pPr>
              <w:ind w:left="300"/>
              <w:spacing w:after="0" w:line="141" w:lineRule="exact"/>
              <w:rPr>
                <w:sz w:val="20"/>
                <w:szCs w:val="20"/>
                <w:color w:val="auto"/>
              </w:rPr>
            </w:pPr>
            <w:r>
              <w:rPr>
                <w:rFonts w:ascii="Arial" w:cs="Arial" w:eastAsia="Arial" w:hAnsi="Arial"/>
                <w:sz w:val="14"/>
                <w:szCs w:val="14"/>
                <w:color w:val="auto"/>
              </w:rPr>
              <w:t>Forfeited</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(14,707)</w:t>
            </w:r>
          </w:p>
        </w:tc>
        <w:tc>
          <w:tcPr>
            <w:tcW w:w="12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$1.47 - 3.37</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2.51</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380" w:type="dxa"/>
            <w:vAlign w:val="bottom"/>
          </w:tcPr>
          <w:p>
            <w:pPr>
              <w:ind w:left="300"/>
              <w:spacing w:after="0"/>
              <w:rPr>
                <w:sz w:val="20"/>
                <w:szCs w:val="20"/>
                <w:color w:val="auto"/>
              </w:rPr>
            </w:pPr>
            <w:r>
              <w:rPr>
                <w:rFonts w:ascii="Arial" w:cs="Arial" w:eastAsia="Arial" w:hAnsi="Arial"/>
                <w:sz w:val="14"/>
                <w:szCs w:val="14"/>
                <w:color w:val="auto"/>
              </w:rPr>
              <w:t>Exercised</w:t>
            </w: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(558,834)</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$0.61 - 1.81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Granted</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625,070</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$3.21 - 7.37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3.63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38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12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3,160,397</w:t>
            </w:r>
          </w:p>
        </w:tc>
        <w:tc>
          <w:tcPr>
            <w:tcW w:w="120" w:type="dxa"/>
            <w:vAlign w:val="bottom"/>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$1.18 - 7.37</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56"/>
              <w:spacing w:after="0"/>
              <w:rPr>
                <w:sz w:val="20"/>
                <w:szCs w:val="20"/>
                <w:color w:val="auto"/>
              </w:rPr>
            </w:pPr>
            <w:r>
              <w:rPr>
                <w:rFonts w:ascii="Arial" w:cs="Arial" w:eastAsia="Arial" w:hAnsi="Arial"/>
                <w:sz w:val="14"/>
                <w:szCs w:val="14"/>
                <w:color w:val="auto"/>
              </w:rPr>
              <w:t>14,459,884</w:t>
            </w:r>
          </w:p>
        </w:tc>
        <w:tc>
          <w:tcPr>
            <w:tcW w:w="100" w:type="dxa"/>
            <w:vAlign w:val="bottom"/>
          </w:tcPr>
          <w:p>
            <w:pPr>
              <w:spacing w:after="0"/>
              <w:rPr>
                <w:sz w:val="15"/>
                <w:szCs w:val="15"/>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4"/>
                <w:szCs w:val="14"/>
                <w:color w:val="auto"/>
              </w:rPr>
              <w:t>1,835,799</w:t>
            </w:r>
          </w:p>
        </w:tc>
        <w:tc>
          <w:tcPr>
            <w:tcW w:w="100" w:type="dxa"/>
            <w:vAlign w:val="bottom"/>
          </w:tcPr>
          <w:p>
            <w:pPr>
              <w:spacing w:after="0"/>
              <w:rPr>
                <w:sz w:val="15"/>
                <w:szCs w:val="15"/>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4"/>
                <w:szCs w:val="14"/>
                <w:color w:val="auto"/>
              </w:rPr>
              <w:t>9,197,775</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340" w:right="1580" w:hanging="165"/>
        <w:spacing w:after="0" w:line="706" w:lineRule="auto"/>
        <w:tabs>
          <w:tab w:leader="none" w:pos="425"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intrinsic value of an option represents the amount by which the market value of the stock exceeds the exercise price of the option of in-the-money options only. The fair value of each option granted is estimated as of the grant date using the Black-Scholes option pricing model with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4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2720" w:type="dxa"/>
            <w:vAlign w:val="bottom"/>
            <w:tcBorders>
              <w:bottom w:val="single" w:sz="8" w:color="auto"/>
            </w:tcBorders>
            <w:gridSpan w:val="3"/>
            <w:shd w:val="clear" w:color="auto" w:fill="CCEEFF"/>
          </w:tcPr>
          <w:p>
            <w:pPr>
              <w:ind w:left="120"/>
              <w:spacing w:after="0"/>
              <w:rPr>
                <w:sz w:val="20"/>
                <w:szCs w:val="20"/>
                <w:color w:val="auto"/>
              </w:rPr>
            </w:pPr>
            <w:r>
              <w:rPr>
                <w:rFonts w:ascii="Arial" w:cs="Arial" w:eastAsia="Arial" w:hAnsi="Arial"/>
                <w:sz w:val="11"/>
                <w:szCs w:val="11"/>
                <w:b w:val="1"/>
                <w:bCs w:val="1"/>
                <w:color w:val="auto"/>
              </w:rPr>
              <w:t>Years ended December 31,</w:t>
            </w:r>
          </w:p>
        </w:tc>
      </w:tr>
      <w:tr>
        <w:trPr>
          <w:trHeight w:val="203"/>
        </w:trPr>
        <w:tc>
          <w:tcPr>
            <w:tcW w:w="734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center"/>
              <w:ind w:left="652"/>
              <w:spacing w:after="0"/>
              <w:rPr>
                <w:sz w:val="20"/>
                <w:szCs w:val="20"/>
                <w:color w:val="auto"/>
              </w:rPr>
            </w:pPr>
            <w:r>
              <w:rPr>
                <w:rFonts w:ascii="Arial" w:cs="Arial" w:eastAsia="Arial" w:hAnsi="Arial"/>
                <w:sz w:val="11"/>
                <w:szCs w:val="11"/>
                <w:b w:val="1"/>
                <w:bCs w:val="1"/>
                <w:color w:val="auto"/>
                <w:w w:val="89"/>
              </w:rPr>
              <w:t>2019</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2018</w:t>
            </w:r>
          </w:p>
        </w:tc>
      </w:tr>
      <w:tr>
        <w:trPr>
          <w:trHeight w:val="187"/>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Risk-free interest rate range</w:t>
            </w:r>
          </w:p>
        </w:tc>
        <w:tc>
          <w:tcPr>
            <w:tcW w:w="1220" w:type="dxa"/>
            <w:vAlign w:val="bottom"/>
            <w:tcBorders>
              <w:bottom w:val="single" w:sz="8" w:color="CCEEFF"/>
            </w:tcBorders>
            <w:shd w:val="clear" w:color="auto" w:fill="CCEEFF"/>
          </w:tcPr>
          <w:p>
            <w:pPr>
              <w:jc w:val="center"/>
              <w:ind w:left="652"/>
              <w:spacing w:after="0"/>
              <w:rPr>
                <w:sz w:val="20"/>
                <w:szCs w:val="20"/>
                <w:color w:val="auto"/>
              </w:rPr>
            </w:pPr>
            <w:r>
              <w:rPr>
                <w:rFonts w:ascii="Arial" w:cs="Arial" w:eastAsia="Arial" w:hAnsi="Arial"/>
                <w:sz w:val="14"/>
                <w:szCs w:val="14"/>
                <w:color w:val="auto"/>
                <w:w w:val="93"/>
              </w:rPr>
              <w:t>2.5%</w:t>
            </w:r>
          </w:p>
        </w:tc>
        <w:tc>
          <w:tcPr>
            <w:tcW w:w="2720" w:type="dxa"/>
            <w:vAlign w:val="bottom"/>
            <w:tcBorders>
              <w:bottom w:val="single" w:sz="8" w:color="CCEEFF"/>
            </w:tcBorders>
            <w:gridSpan w:val="3"/>
            <w:shd w:val="clear" w:color="auto" w:fill="CCEEFF"/>
          </w:tcPr>
          <w:p>
            <w:pPr>
              <w:jc w:val="center"/>
              <w:ind w:left="753"/>
              <w:spacing w:after="0"/>
              <w:rPr>
                <w:sz w:val="20"/>
                <w:szCs w:val="20"/>
                <w:color w:val="auto"/>
              </w:rPr>
            </w:pPr>
            <w:r>
              <w:rPr>
                <w:rFonts w:ascii="Arial" w:cs="Arial" w:eastAsia="Arial" w:hAnsi="Arial"/>
                <w:sz w:val="14"/>
                <w:szCs w:val="14"/>
                <w:color w:val="auto"/>
                <w:w w:val="95"/>
              </w:rPr>
              <w:t>3.04%</w:t>
            </w:r>
          </w:p>
        </w:tc>
      </w:tr>
      <w:tr>
        <w:trPr>
          <w:trHeight w:val="191"/>
        </w:trPr>
        <w:tc>
          <w:tcPr>
            <w:tcW w:w="7340" w:type="dxa"/>
            <w:vAlign w:val="bottom"/>
          </w:tcPr>
          <w:p>
            <w:pPr>
              <w:ind w:left="20"/>
              <w:spacing w:after="0"/>
              <w:rPr>
                <w:sz w:val="20"/>
                <w:szCs w:val="20"/>
                <w:color w:val="auto"/>
              </w:rPr>
            </w:pPr>
            <w:r>
              <w:rPr>
                <w:rFonts w:ascii="Arial" w:cs="Arial" w:eastAsia="Arial" w:hAnsi="Arial"/>
                <w:sz w:val="14"/>
                <w:szCs w:val="14"/>
                <w:color w:val="auto"/>
              </w:rPr>
              <w:t>Expected life of option-years</w:t>
            </w:r>
          </w:p>
        </w:tc>
        <w:tc>
          <w:tcPr>
            <w:tcW w:w="1220" w:type="dxa"/>
            <w:vAlign w:val="bottom"/>
          </w:tcPr>
          <w:p>
            <w:pPr>
              <w:jc w:val="center"/>
              <w:ind w:left="652"/>
              <w:spacing w:after="0"/>
              <w:rPr>
                <w:sz w:val="20"/>
                <w:szCs w:val="20"/>
                <w:color w:val="auto"/>
              </w:rPr>
            </w:pPr>
            <w:r>
              <w:rPr>
                <w:rFonts w:ascii="Arial" w:cs="Arial" w:eastAsia="Arial" w:hAnsi="Arial"/>
                <w:sz w:val="14"/>
                <w:szCs w:val="14"/>
                <w:color w:val="auto"/>
                <w:w w:val="76"/>
              </w:rPr>
              <w:t>7</w:t>
            </w:r>
          </w:p>
        </w:tc>
        <w:tc>
          <w:tcPr>
            <w:tcW w:w="2720" w:type="dxa"/>
            <w:vAlign w:val="bottom"/>
            <w:gridSpan w:val="3"/>
          </w:tcPr>
          <w:p>
            <w:pPr>
              <w:jc w:val="center"/>
              <w:ind w:left="753"/>
              <w:spacing w:after="0"/>
              <w:rPr>
                <w:sz w:val="20"/>
                <w:szCs w:val="20"/>
                <w:color w:val="auto"/>
              </w:rPr>
            </w:pPr>
            <w:r>
              <w:rPr>
                <w:rFonts w:ascii="Arial" w:cs="Arial" w:eastAsia="Arial" w:hAnsi="Arial"/>
                <w:sz w:val="14"/>
                <w:szCs w:val="14"/>
                <w:color w:val="auto"/>
                <w:w w:val="76"/>
              </w:rPr>
              <w:t>7</w:t>
            </w:r>
          </w:p>
        </w:tc>
      </w:tr>
      <w:tr>
        <w:trPr>
          <w:trHeight w:val="22"/>
        </w:trPr>
        <w:tc>
          <w:tcPr>
            <w:tcW w:w="7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2"/>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stock price volatility</w:t>
            </w:r>
          </w:p>
        </w:tc>
        <w:tc>
          <w:tcPr>
            <w:tcW w:w="1220" w:type="dxa"/>
            <w:vAlign w:val="bottom"/>
            <w:tcBorders>
              <w:bottom w:val="single" w:sz="8" w:color="CCEEFF"/>
            </w:tcBorders>
            <w:shd w:val="clear" w:color="auto" w:fill="CCEEFF"/>
          </w:tcPr>
          <w:p>
            <w:pPr>
              <w:jc w:val="center"/>
              <w:ind w:left="652"/>
              <w:spacing w:after="0"/>
              <w:rPr>
                <w:sz w:val="20"/>
                <w:szCs w:val="20"/>
                <w:color w:val="auto"/>
              </w:rPr>
            </w:pPr>
            <w:r>
              <w:rPr>
                <w:rFonts w:ascii="Arial" w:cs="Arial" w:eastAsia="Arial" w:hAnsi="Arial"/>
                <w:sz w:val="14"/>
                <w:szCs w:val="14"/>
                <w:color w:val="auto"/>
                <w:w w:val="92"/>
              </w:rPr>
              <w:t>65%</w:t>
            </w:r>
          </w:p>
        </w:tc>
        <w:tc>
          <w:tcPr>
            <w:tcW w:w="2720" w:type="dxa"/>
            <w:vAlign w:val="bottom"/>
            <w:tcBorders>
              <w:bottom w:val="single" w:sz="8" w:color="CCEEFF"/>
            </w:tcBorders>
            <w:gridSpan w:val="3"/>
            <w:shd w:val="clear" w:color="auto" w:fill="CCEEFF"/>
          </w:tcPr>
          <w:p>
            <w:pPr>
              <w:jc w:val="center"/>
              <w:ind w:left="753"/>
              <w:spacing w:after="0"/>
              <w:rPr>
                <w:sz w:val="20"/>
                <w:szCs w:val="20"/>
                <w:color w:val="auto"/>
              </w:rPr>
            </w:pPr>
            <w:r>
              <w:rPr>
                <w:rFonts w:ascii="Arial" w:cs="Arial" w:eastAsia="Arial" w:hAnsi="Arial"/>
                <w:sz w:val="14"/>
                <w:szCs w:val="14"/>
                <w:color w:val="auto"/>
                <w:w w:val="92"/>
              </w:rPr>
              <w:t>67%</w:t>
            </w:r>
          </w:p>
        </w:tc>
      </w:tr>
      <w:tr>
        <w:trPr>
          <w:trHeight w:val="191"/>
        </w:trPr>
        <w:tc>
          <w:tcPr>
            <w:tcW w:w="734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1220" w:type="dxa"/>
            <w:vAlign w:val="bottom"/>
          </w:tcPr>
          <w:p>
            <w:pPr>
              <w:jc w:val="center"/>
              <w:ind w:left="652"/>
              <w:spacing w:after="0"/>
              <w:rPr>
                <w:sz w:val="20"/>
                <w:szCs w:val="20"/>
                <w:color w:val="auto"/>
              </w:rPr>
            </w:pPr>
            <w:r>
              <w:rPr>
                <w:rFonts w:ascii="Arial" w:cs="Arial" w:eastAsia="Arial" w:hAnsi="Arial"/>
                <w:sz w:val="14"/>
                <w:szCs w:val="14"/>
                <w:color w:val="auto"/>
                <w:w w:val="98"/>
              </w:rPr>
              <w:t>—%</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8"/>
              </w:rPr>
              <w:t>—%</w:t>
            </w:r>
          </w:p>
        </w:tc>
      </w:tr>
    </w:tbl>
    <w:p>
      <w:pPr>
        <w:spacing w:after="0" w:line="138" w:lineRule="exact"/>
        <w:rPr>
          <w:sz w:val="20"/>
          <w:szCs w:val="20"/>
          <w:color w:val="auto"/>
        </w:rPr>
      </w:pPr>
    </w:p>
    <w:p>
      <w:pPr>
        <w:ind w:right="220" w:firstLine="340"/>
        <w:spacing w:after="0" w:line="262" w:lineRule="auto"/>
        <w:rPr>
          <w:sz w:val="20"/>
          <w:szCs w:val="20"/>
          <w:color w:val="auto"/>
        </w:rPr>
      </w:pPr>
      <w:r>
        <w:rPr>
          <w:rFonts w:ascii="Arial" w:cs="Arial" w:eastAsia="Arial" w:hAnsi="Arial"/>
          <w:sz w:val="14"/>
          <w:szCs w:val="14"/>
          <w:color w:val="auto"/>
        </w:rPr>
        <w:t>The risk-free interest rate is based on U.S. Treasury interest rates, the terms of which are consistent with the expected life of the stock options. Expected volatility is based upon the average historical volatility of our common stock over the period commensurate with the expected term of the related instrument. The expected life and estimated post-employment termination behavior is based upon historical experience of homogeneous groups, executives and non-executes, within our company. We do not currently pay dividends on our common stock nor do we expect to in the foreseeable future.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280"/>
          </w:cols>
          <w:pgMar w:left="300" w:top="125" w:right="31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Options Outstanding</w:t>
            </w:r>
          </w:p>
        </w:tc>
        <w:tc>
          <w:tcPr>
            <w:tcW w:w="1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5"/>
          </w:tcPr>
          <w:p>
            <w:pPr>
              <w:ind w:left="260"/>
              <w:spacing w:after="0"/>
              <w:rPr>
                <w:sz w:val="20"/>
                <w:szCs w:val="20"/>
                <w:color w:val="auto"/>
              </w:rPr>
            </w:pPr>
            <w:r>
              <w:rPr>
                <w:rFonts w:ascii="Arial" w:cs="Arial" w:eastAsia="Arial" w:hAnsi="Arial"/>
                <w:sz w:val="11"/>
                <w:szCs w:val="11"/>
                <w:b w:val="1"/>
                <w:bCs w:val="1"/>
                <w:color w:val="auto"/>
              </w:rPr>
              <w:t>Options Exercisable</w:t>
            </w:r>
          </w:p>
        </w:tc>
        <w:tc>
          <w:tcPr>
            <w:tcW w:w="13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6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2"/>
              </w:rPr>
              <w:t>Weighted</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vMerge w:val="restart"/>
          </w:tcPr>
          <w:p>
            <w:pPr>
              <w:jc w:val="center"/>
              <w:ind w:left="340"/>
              <w:spacing w:after="0"/>
              <w:rPr>
                <w:sz w:val="20"/>
                <w:szCs w:val="20"/>
                <w:color w:val="auto"/>
              </w:rPr>
            </w:pPr>
            <w:r>
              <w:rPr>
                <w:rFonts w:ascii="Arial" w:cs="Arial" w:eastAsia="Arial" w:hAnsi="Arial"/>
                <w:sz w:val="11"/>
                <w:szCs w:val="11"/>
                <w:b w:val="1"/>
                <w:bCs w:val="1"/>
                <w:color w:val="auto"/>
                <w:w w:val="92"/>
              </w:rPr>
              <w:t>Weighted</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jc w:val="center"/>
              <w:ind w:right="180"/>
              <w:spacing w:after="0" w:line="116" w:lineRule="exact"/>
              <w:rPr>
                <w:sz w:val="20"/>
                <w:szCs w:val="20"/>
                <w:color w:val="auto"/>
              </w:rPr>
            </w:pPr>
            <w:r>
              <w:rPr>
                <w:rFonts w:ascii="Arial" w:cs="Arial" w:eastAsia="Arial" w:hAnsi="Arial"/>
                <w:sz w:val="11"/>
                <w:szCs w:val="11"/>
                <w:b w:val="1"/>
                <w:bCs w:val="1"/>
                <w:color w:val="auto"/>
                <w:w w:val="88"/>
              </w:rPr>
              <w:t>Weighted</w:t>
            </w:r>
          </w:p>
        </w:tc>
        <w:tc>
          <w:tcPr>
            <w:tcW w:w="0" w:type="dxa"/>
            <w:vAlign w:val="bottom"/>
          </w:tcPr>
          <w:p>
            <w:pPr>
              <w:spacing w:after="0"/>
              <w:rPr>
                <w:sz w:val="1"/>
                <w:szCs w:val="1"/>
                <w:color w:val="auto"/>
              </w:rPr>
            </w:pPr>
          </w:p>
        </w:tc>
      </w:tr>
      <w:tr>
        <w:trPr>
          <w:trHeight w:val="117"/>
        </w:trPr>
        <w:tc>
          <w:tcPr>
            <w:tcW w:w="16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2"/>
              </w:rPr>
              <w:t>Weighted</w:t>
            </w: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jc w:val="center"/>
              <w:ind w:right="180"/>
              <w:spacing w:after="0" w:line="117" w:lineRule="exact"/>
              <w:rPr>
                <w:sz w:val="20"/>
                <w:szCs w:val="20"/>
                <w:color w:val="auto"/>
              </w:rPr>
            </w:pPr>
            <w:r>
              <w:rPr>
                <w:rFonts w:ascii="Arial" w:cs="Arial" w:eastAsia="Arial" w:hAnsi="Arial"/>
                <w:sz w:val="11"/>
                <w:szCs w:val="11"/>
                <w:b w:val="1"/>
                <w:bCs w:val="1"/>
                <w:color w:val="auto"/>
                <w:w w:val="92"/>
              </w:rPr>
              <w:t>Average</w:t>
            </w:r>
          </w:p>
        </w:tc>
        <w:tc>
          <w:tcPr>
            <w:tcW w:w="0" w:type="dxa"/>
            <w:vAlign w:val="bottom"/>
          </w:tcPr>
          <w:p>
            <w:pPr>
              <w:spacing w:after="0"/>
              <w:rPr>
                <w:sz w:val="1"/>
                <w:szCs w:val="1"/>
                <w:color w:val="auto"/>
              </w:rPr>
            </w:pPr>
          </w:p>
        </w:tc>
      </w:tr>
      <w:tr>
        <w:trPr>
          <w:trHeight w:val="117"/>
        </w:trPr>
        <w:tc>
          <w:tcPr>
            <w:tcW w:w="16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120"/>
              <w:spacing w:after="0" w:line="117" w:lineRule="exact"/>
              <w:rPr>
                <w:sz w:val="20"/>
                <w:szCs w:val="20"/>
                <w:color w:val="auto"/>
              </w:rPr>
            </w:pPr>
            <w:r>
              <w:rPr>
                <w:rFonts w:ascii="Arial" w:cs="Arial" w:eastAsia="Arial" w:hAnsi="Arial"/>
                <w:sz w:val="11"/>
                <w:szCs w:val="11"/>
                <w:b w:val="1"/>
                <w:bCs w:val="1"/>
                <w:color w:val="auto"/>
                <w:w w:val="92"/>
              </w:rPr>
              <w:t>Average</w:t>
            </w:r>
          </w:p>
        </w:tc>
        <w:tc>
          <w:tcPr>
            <w:tcW w:w="12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left="340"/>
              <w:spacing w:after="0" w:line="117" w:lineRule="exact"/>
              <w:rPr>
                <w:sz w:val="20"/>
                <w:szCs w:val="20"/>
                <w:color w:val="auto"/>
              </w:rPr>
            </w:pPr>
            <w:r>
              <w:rPr>
                <w:rFonts w:ascii="Arial" w:cs="Arial" w:eastAsia="Arial" w:hAnsi="Arial"/>
                <w:sz w:val="11"/>
                <w:szCs w:val="11"/>
                <w:b w:val="1"/>
                <w:bCs w:val="1"/>
                <w:color w:val="auto"/>
                <w:w w:val="87"/>
              </w:rPr>
              <w:t>Average</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jc w:val="center"/>
              <w:ind w:right="180"/>
              <w:spacing w:after="0" w:line="117" w:lineRule="exact"/>
              <w:rPr>
                <w:sz w:val="20"/>
                <w:szCs w:val="20"/>
                <w:color w:val="auto"/>
              </w:rPr>
            </w:pPr>
            <w:r>
              <w:rPr>
                <w:rFonts w:ascii="Arial" w:cs="Arial" w:eastAsia="Arial" w:hAnsi="Arial"/>
                <w:sz w:val="11"/>
                <w:szCs w:val="11"/>
                <w:b w:val="1"/>
                <w:bCs w:val="1"/>
                <w:color w:val="auto"/>
                <w:w w:val="88"/>
              </w:rPr>
              <w:t>Exercise</w:t>
            </w:r>
          </w:p>
        </w:tc>
        <w:tc>
          <w:tcPr>
            <w:tcW w:w="0" w:type="dxa"/>
            <w:vAlign w:val="bottom"/>
          </w:tcPr>
          <w:p>
            <w:pPr>
              <w:spacing w:after="0"/>
              <w:rPr>
                <w:sz w:val="1"/>
                <w:szCs w:val="1"/>
                <w:color w:val="auto"/>
              </w:rPr>
            </w:pPr>
          </w:p>
        </w:tc>
      </w:tr>
      <w:tr>
        <w:trPr>
          <w:trHeight w:val="117"/>
        </w:trPr>
        <w:tc>
          <w:tcPr>
            <w:tcW w:w="1680" w:type="dxa"/>
            <w:vAlign w:val="bottom"/>
          </w:tcPr>
          <w:p>
            <w:pPr>
              <w:spacing w:after="0"/>
              <w:rPr>
                <w:sz w:val="10"/>
                <w:szCs w:val="10"/>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3"/>
              </w:rPr>
              <w:t>Range of</w:t>
            </w:r>
          </w:p>
        </w:tc>
        <w:tc>
          <w:tcPr>
            <w:tcW w:w="1360" w:type="dxa"/>
            <w:vAlign w:val="bottom"/>
            <w:vMerge w:val="restart"/>
          </w:tcPr>
          <w:p>
            <w:pPr>
              <w:jc w:val="right"/>
              <w:ind w:right="436"/>
              <w:spacing w:after="0"/>
              <w:rPr>
                <w:sz w:val="20"/>
                <w:szCs w:val="20"/>
                <w:color w:val="auto"/>
              </w:rPr>
            </w:pPr>
            <w:r>
              <w:rPr>
                <w:rFonts w:ascii="Arial" w:cs="Arial" w:eastAsia="Arial" w:hAnsi="Arial"/>
                <w:sz w:val="11"/>
                <w:szCs w:val="11"/>
                <w:b w:val="1"/>
                <w:bCs w:val="1"/>
                <w:color w:val="auto"/>
              </w:rPr>
              <w:t>Options</w:t>
            </w:r>
          </w:p>
        </w:tc>
        <w:tc>
          <w:tcPr>
            <w:tcW w:w="100" w:type="dxa"/>
            <w:vAlign w:val="bottom"/>
          </w:tcPr>
          <w:p>
            <w:pPr>
              <w:spacing w:after="0"/>
              <w:rPr>
                <w:sz w:val="10"/>
                <w:szCs w:val="10"/>
                <w:color w:val="auto"/>
              </w:rPr>
            </w:pPr>
          </w:p>
        </w:tc>
        <w:tc>
          <w:tcPr>
            <w:tcW w:w="1240" w:type="dxa"/>
            <w:vAlign w:val="bottom"/>
            <w:gridSpan w:val="2"/>
          </w:tcPr>
          <w:p>
            <w:pPr>
              <w:jc w:val="center"/>
              <w:ind w:right="120"/>
              <w:spacing w:after="0" w:line="117" w:lineRule="exact"/>
              <w:rPr>
                <w:sz w:val="20"/>
                <w:szCs w:val="20"/>
                <w:color w:val="auto"/>
              </w:rPr>
            </w:pPr>
            <w:r>
              <w:rPr>
                <w:rFonts w:ascii="Arial" w:cs="Arial" w:eastAsia="Arial" w:hAnsi="Arial"/>
                <w:sz w:val="11"/>
                <w:szCs w:val="11"/>
                <w:b w:val="1"/>
                <w:bCs w:val="1"/>
                <w:color w:val="auto"/>
                <w:w w:val="92"/>
              </w:rPr>
              <w:t>Remaining</w:t>
            </w:r>
          </w:p>
        </w:tc>
        <w:tc>
          <w:tcPr>
            <w:tcW w:w="120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1"/>
              </w:rPr>
              <w:t>Options</w:t>
            </w:r>
          </w:p>
        </w:tc>
        <w:tc>
          <w:tcPr>
            <w:tcW w:w="940" w:type="dxa"/>
            <w:vAlign w:val="bottom"/>
            <w:gridSpan w:val="3"/>
          </w:tcPr>
          <w:p>
            <w:pPr>
              <w:jc w:val="center"/>
              <w:ind w:left="340"/>
              <w:spacing w:after="0" w:line="117" w:lineRule="exact"/>
              <w:rPr>
                <w:sz w:val="20"/>
                <w:szCs w:val="20"/>
                <w:color w:val="auto"/>
              </w:rPr>
            </w:pPr>
            <w:r>
              <w:rPr>
                <w:rFonts w:ascii="Arial" w:cs="Arial" w:eastAsia="Arial" w:hAnsi="Arial"/>
                <w:sz w:val="11"/>
                <w:szCs w:val="11"/>
                <w:b w:val="1"/>
                <w:bCs w:val="1"/>
                <w:color w:val="auto"/>
                <w:w w:val="95"/>
              </w:rPr>
              <w:t>Remaining</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jc w:val="center"/>
              <w:ind w:right="180"/>
              <w:spacing w:after="0" w:line="117" w:lineRule="exact"/>
              <w:rPr>
                <w:sz w:val="20"/>
                <w:szCs w:val="20"/>
                <w:color w:val="auto"/>
              </w:rPr>
            </w:pPr>
            <w:r>
              <w:rPr>
                <w:rFonts w:ascii="Arial" w:cs="Arial" w:eastAsia="Arial" w:hAnsi="Arial"/>
                <w:sz w:val="11"/>
                <w:szCs w:val="11"/>
                <w:b w:val="1"/>
                <w:bCs w:val="1"/>
                <w:color w:val="auto"/>
                <w:w w:val="89"/>
              </w:rPr>
              <w:t>Price of</w:t>
            </w:r>
          </w:p>
        </w:tc>
        <w:tc>
          <w:tcPr>
            <w:tcW w:w="0" w:type="dxa"/>
            <w:vAlign w:val="bottom"/>
          </w:tcPr>
          <w:p>
            <w:pPr>
              <w:spacing w:after="0"/>
              <w:rPr>
                <w:sz w:val="1"/>
                <w:szCs w:val="1"/>
                <w:color w:val="auto"/>
              </w:rPr>
            </w:pPr>
          </w:p>
        </w:tc>
      </w:tr>
      <w:tr>
        <w:trPr>
          <w:trHeight w:val="117"/>
        </w:trPr>
        <w:tc>
          <w:tcPr>
            <w:tcW w:w="168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120"/>
              <w:spacing w:after="0" w:line="117" w:lineRule="exact"/>
              <w:rPr>
                <w:sz w:val="20"/>
                <w:szCs w:val="20"/>
                <w:color w:val="auto"/>
              </w:rPr>
            </w:pPr>
            <w:r>
              <w:rPr>
                <w:rFonts w:ascii="Arial" w:cs="Arial" w:eastAsia="Arial" w:hAnsi="Arial"/>
                <w:sz w:val="11"/>
                <w:szCs w:val="11"/>
                <w:b w:val="1"/>
                <w:bCs w:val="1"/>
                <w:color w:val="auto"/>
                <w:w w:val="98"/>
              </w:rPr>
              <w:t>Life in</w:t>
            </w:r>
          </w:p>
        </w:tc>
        <w:tc>
          <w:tcPr>
            <w:tcW w:w="120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92"/>
              </w:rPr>
              <w:t>Exercise</w:t>
            </w: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40" w:type="dxa"/>
            <w:vAlign w:val="bottom"/>
            <w:gridSpan w:val="3"/>
          </w:tcPr>
          <w:p>
            <w:pPr>
              <w:jc w:val="center"/>
              <w:ind w:left="320"/>
              <w:spacing w:after="0" w:line="117" w:lineRule="exact"/>
              <w:rPr>
                <w:sz w:val="20"/>
                <w:szCs w:val="20"/>
                <w:color w:val="auto"/>
              </w:rPr>
            </w:pPr>
            <w:r>
              <w:rPr>
                <w:rFonts w:ascii="Arial" w:cs="Arial" w:eastAsia="Arial" w:hAnsi="Arial"/>
                <w:sz w:val="11"/>
                <w:szCs w:val="11"/>
                <w:b w:val="1"/>
                <w:bCs w:val="1"/>
                <w:color w:val="auto"/>
                <w:w w:val="98"/>
              </w:rPr>
              <w:t>Life in</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jc w:val="center"/>
              <w:ind w:right="180"/>
              <w:spacing w:after="0" w:line="117" w:lineRule="exact"/>
              <w:rPr>
                <w:sz w:val="20"/>
                <w:szCs w:val="20"/>
                <w:color w:val="auto"/>
              </w:rPr>
            </w:pPr>
            <w:r>
              <w:rPr>
                <w:rFonts w:ascii="Arial" w:cs="Arial" w:eastAsia="Arial" w:hAnsi="Arial"/>
                <w:sz w:val="11"/>
                <w:szCs w:val="11"/>
                <w:b w:val="1"/>
                <w:bCs w:val="1"/>
                <w:color w:val="auto"/>
                <w:w w:val="96"/>
              </w:rPr>
              <w:t>Options</w:t>
            </w:r>
          </w:p>
        </w:tc>
        <w:tc>
          <w:tcPr>
            <w:tcW w:w="0" w:type="dxa"/>
            <w:vAlign w:val="bottom"/>
          </w:tcPr>
          <w:p>
            <w:pPr>
              <w:spacing w:after="0"/>
              <w:rPr>
                <w:sz w:val="1"/>
                <w:szCs w:val="1"/>
                <w:color w:val="auto"/>
              </w:rPr>
            </w:pPr>
          </w:p>
        </w:tc>
      </w:tr>
      <w:tr>
        <w:trPr>
          <w:trHeight w:val="151"/>
        </w:trPr>
        <w:tc>
          <w:tcPr>
            <w:tcW w:w="1680" w:type="dxa"/>
            <w:vAlign w:val="bottom"/>
          </w:tcPr>
          <w:p>
            <w:pPr>
              <w:spacing w:after="0"/>
              <w:rPr>
                <w:sz w:val="13"/>
                <w:szCs w:val="13"/>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Exercise Prices</w:t>
            </w:r>
          </w:p>
        </w:tc>
        <w:tc>
          <w:tcPr>
            <w:tcW w:w="1360" w:type="dxa"/>
            <w:vAlign w:val="bottom"/>
          </w:tcPr>
          <w:p>
            <w:pPr>
              <w:jc w:val="right"/>
              <w:ind w:right="316"/>
              <w:spacing w:after="0"/>
              <w:rPr>
                <w:sz w:val="20"/>
                <w:szCs w:val="20"/>
                <w:color w:val="auto"/>
              </w:rPr>
            </w:pPr>
            <w:r>
              <w:rPr>
                <w:rFonts w:ascii="Arial" w:cs="Arial" w:eastAsia="Arial" w:hAnsi="Arial"/>
                <w:sz w:val="11"/>
                <w:szCs w:val="11"/>
                <w:b w:val="1"/>
                <w:bCs w:val="1"/>
                <w:color w:val="auto"/>
              </w:rPr>
              <w:t>Outstanding</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Years</w:t>
            </w:r>
          </w:p>
        </w:tc>
        <w:tc>
          <w:tcPr>
            <w:tcW w:w="12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Price</w:t>
            </w:r>
          </w:p>
        </w:tc>
        <w:tc>
          <w:tcPr>
            <w:tcW w:w="100" w:type="dxa"/>
            <w:vAlign w:val="bottom"/>
          </w:tcPr>
          <w:p>
            <w:pPr>
              <w:spacing w:after="0"/>
              <w:rPr>
                <w:sz w:val="13"/>
                <w:szCs w:val="13"/>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Exercisable</w:t>
            </w:r>
          </w:p>
        </w:tc>
        <w:tc>
          <w:tcPr>
            <w:tcW w:w="940" w:type="dxa"/>
            <w:vAlign w:val="bottom"/>
            <w:gridSpan w:val="3"/>
          </w:tcPr>
          <w:p>
            <w:pPr>
              <w:jc w:val="center"/>
              <w:ind w:left="340"/>
              <w:spacing w:after="0"/>
              <w:rPr>
                <w:sz w:val="20"/>
                <w:szCs w:val="20"/>
                <w:color w:val="auto"/>
              </w:rPr>
            </w:pPr>
            <w:r>
              <w:rPr>
                <w:rFonts w:ascii="Arial" w:cs="Arial" w:eastAsia="Arial" w:hAnsi="Arial"/>
                <w:sz w:val="11"/>
                <w:szCs w:val="11"/>
                <w:b w:val="1"/>
                <w:bCs w:val="1"/>
                <w:color w:val="auto"/>
                <w:w w:val="86"/>
              </w:rPr>
              <w:t>Years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Exercisable</w:t>
            </w:r>
          </w:p>
        </w:tc>
        <w:tc>
          <w:tcPr>
            <w:tcW w:w="0" w:type="dxa"/>
            <w:vAlign w:val="bottom"/>
          </w:tcPr>
          <w:p>
            <w:pPr>
              <w:spacing w:after="0"/>
              <w:rPr>
                <w:sz w:val="1"/>
                <w:szCs w:val="1"/>
                <w:color w:val="auto"/>
              </w:rPr>
            </w:pPr>
          </w:p>
        </w:tc>
      </w:tr>
      <w:tr>
        <w:trPr>
          <w:trHeight w:val="165"/>
        </w:trPr>
        <w:tc>
          <w:tcPr>
            <w:tcW w:w="1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9"/>
              </w:rPr>
              <w:t>Year ended December 31,</w:t>
            </w:r>
          </w:p>
        </w:tc>
        <w:tc>
          <w:tcPr>
            <w:tcW w:w="1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132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4"/>
                <w:szCs w:val="14"/>
                <w:color w:val="auto"/>
                <w:w w:val="90"/>
              </w:rPr>
              <w:t>$0.61 - 6.55</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3,108,868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1,986,740</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80" w:type="dxa"/>
            <w:vAlign w:val="bottom"/>
          </w:tcPr>
          <w:p>
            <w:pPr>
              <w:ind w:left="20"/>
              <w:spacing w:after="0"/>
              <w:rPr>
                <w:sz w:val="20"/>
                <w:szCs w:val="20"/>
                <w:color w:val="auto"/>
              </w:rPr>
            </w:pPr>
            <w:r>
              <w:rPr>
                <w:rFonts w:ascii="Arial" w:cs="Arial" w:eastAsia="Arial" w:hAnsi="Arial"/>
                <w:sz w:val="14"/>
                <w:szCs w:val="14"/>
                <w:color w:val="auto"/>
                <w:w w:val="99"/>
              </w:rPr>
              <w:t>Year ended December 31,</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80" w:type="dxa"/>
            <w:vAlign w:val="bottom"/>
          </w:tcPr>
          <w:p>
            <w:pPr>
              <w:ind w:left="20"/>
              <w:spacing w:after="0"/>
              <w:rPr>
                <w:sz w:val="20"/>
                <w:szCs w:val="20"/>
                <w:color w:val="auto"/>
              </w:rPr>
            </w:pPr>
            <w:r>
              <w:rPr>
                <w:rFonts w:ascii="Arial" w:cs="Arial" w:eastAsia="Arial" w:hAnsi="Arial"/>
                <w:sz w:val="14"/>
                <w:szCs w:val="14"/>
                <w:color w:val="auto"/>
              </w:rPr>
              <w:t>2019</w:t>
            </w:r>
          </w:p>
        </w:tc>
        <w:tc>
          <w:tcPr>
            <w:tcW w:w="1320" w:type="dxa"/>
            <w:vAlign w:val="bottom"/>
          </w:tcPr>
          <w:p>
            <w:pPr>
              <w:jc w:val="right"/>
              <w:ind w:right="556"/>
              <w:spacing w:after="0"/>
              <w:rPr>
                <w:sz w:val="20"/>
                <w:szCs w:val="20"/>
                <w:color w:val="auto"/>
              </w:rPr>
            </w:pPr>
            <w:r>
              <w:rPr>
                <w:rFonts w:ascii="Arial" w:cs="Arial" w:eastAsia="Arial" w:hAnsi="Arial"/>
                <w:sz w:val="14"/>
                <w:szCs w:val="14"/>
                <w:color w:val="auto"/>
                <w:w w:val="90"/>
              </w:rPr>
              <w:t>$1.18 - 7.37</w:t>
            </w:r>
          </w:p>
        </w:tc>
        <w:tc>
          <w:tcPr>
            <w:tcW w:w="120" w:type="dxa"/>
            <w:vAlign w:val="bottom"/>
          </w:tcPr>
          <w:p>
            <w:pPr>
              <w:spacing w:after="0"/>
              <w:rPr>
                <w:sz w:val="15"/>
                <w:szCs w:val="15"/>
                <w:color w:val="auto"/>
              </w:rPr>
            </w:pPr>
          </w:p>
        </w:tc>
        <w:tc>
          <w:tcPr>
            <w:tcW w:w="1360" w:type="dxa"/>
            <w:vAlign w:val="bottom"/>
          </w:tcPr>
          <w:p>
            <w:pPr>
              <w:jc w:val="right"/>
              <w:ind w:right="56"/>
              <w:spacing w:after="0"/>
              <w:rPr>
                <w:sz w:val="20"/>
                <w:szCs w:val="20"/>
                <w:color w:val="auto"/>
              </w:rPr>
            </w:pPr>
            <w:r>
              <w:rPr>
                <w:rFonts w:ascii="Arial" w:cs="Arial" w:eastAsia="Arial" w:hAnsi="Arial"/>
                <w:sz w:val="14"/>
                <w:szCs w:val="14"/>
                <w:color w:val="auto"/>
              </w:rPr>
              <w:t>3,160,397</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6.24</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5"/>
                <w:szCs w:val="15"/>
                <w:color w:val="auto"/>
              </w:rPr>
            </w:pPr>
          </w:p>
        </w:tc>
        <w:tc>
          <w:tcPr>
            <w:tcW w:w="1220" w:type="dxa"/>
            <w:vAlign w:val="bottom"/>
            <w:gridSpan w:val="2"/>
          </w:tcPr>
          <w:p>
            <w:pPr>
              <w:ind w:left="540"/>
              <w:spacing w:after="0"/>
              <w:rPr>
                <w:sz w:val="20"/>
                <w:szCs w:val="20"/>
                <w:color w:val="auto"/>
              </w:rPr>
            </w:pPr>
            <w:r>
              <w:rPr>
                <w:rFonts w:ascii="Arial" w:cs="Arial" w:eastAsia="Arial" w:hAnsi="Arial"/>
                <w:sz w:val="14"/>
                <w:szCs w:val="14"/>
                <w:color w:val="auto"/>
              </w:rPr>
              <w:t>1,835,799</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$2.28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7"/>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5"/>
          </w:tcPr>
          <w:p>
            <w:pPr>
              <w:ind w:left="460"/>
              <w:spacing w:after="0"/>
              <w:rPr>
                <w:sz w:val="20"/>
                <w:szCs w:val="20"/>
                <w:color w:val="auto"/>
              </w:rPr>
            </w:pPr>
            <w:r>
              <w:rPr>
                <w:rFonts w:ascii="Arial" w:cs="Arial" w:eastAsia="Arial" w:hAnsi="Arial"/>
                <w:sz w:val="11"/>
                <w:szCs w:val="11"/>
                <w:b w:val="1"/>
                <w:bCs w:val="1"/>
                <w:color w:val="auto"/>
              </w:rPr>
              <w:t>Total Intrinsic Value of</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1"/>
                <w:szCs w:val="11"/>
                <w:b w:val="1"/>
                <w:bCs w:val="1"/>
                <w:color w:val="auto"/>
                <w:w w:val="96"/>
              </w:rPr>
              <w:t>Total Fair Value of</w:t>
            </w:r>
          </w:p>
        </w:tc>
        <w:tc>
          <w:tcPr>
            <w:tcW w:w="0" w:type="dxa"/>
            <w:vAlign w:val="bottom"/>
          </w:tcPr>
          <w:p>
            <w:pPr>
              <w:spacing w:after="0"/>
              <w:rPr>
                <w:sz w:val="1"/>
                <w:szCs w:val="1"/>
                <w:color w:val="auto"/>
              </w:rPr>
            </w:pPr>
          </w:p>
        </w:tc>
      </w:tr>
      <w:tr>
        <w:trPr>
          <w:trHeight w:val="151"/>
        </w:trPr>
        <w:tc>
          <w:tcPr>
            <w:tcW w:w="1680" w:type="dxa"/>
            <w:vAlign w:val="bottom"/>
            <w:tcBorders>
              <w:bottom w:val="single" w:sz="8" w:color="CCEEFF"/>
            </w:tcBorders>
          </w:tcPr>
          <w:p>
            <w:pPr>
              <w:spacing w:after="0"/>
              <w:rPr>
                <w:sz w:val="13"/>
                <w:szCs w:val="13"/>
                <w:color w:val="auto"/>
              </w:rPr>
            </w:pPr>
          </w:p>
        </w:tc>
        <w:tc>
          <w:tcPr>
            <w:tcW w:w="13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3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4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1"/>
                <w:szCs w:val="11"/>
                <w:b w:val="1"/>
                <w:bCs w:val="1"/>
                <w:color w:val="auto"/>
              </w:rPr>
              <w:t>Options Exercised</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1"/>
                <w:szCs w:val="11"/>
                <w:b w:val="1"/>
                <w:bCs w:val="1"/>
                <w:color w:val="auto"/>
              </w:rPr>
              <w:t>Options Vested</w:t>
            </w:r>
          </w:p>
        </w:tc>
        <w:tc>
          <w:tcPr>
            <w:tcW w:w="0" w:type="dxa"/>
            <w:vAlign w:val="bottom"/>
          </w:tcPr>
          <w:p>
            <w:pPr>
              <w:spacing w:after="0"/>
              <w:rPr>
                <w:sz w:val="1"/>
                <w:szCs w:val="1"/>
                <w:color w:val="auto"/>
              </w:rPr>
            </w:pPr>
          </w:p>
        </w:tc>
      </w:tr>
      <w:tr>
        <w:trPr>
          <w:trHeight w:val="187"/>
        </w:trPr>
        <w:tc>
          <w:tcPr>
            <w:tcW w:w="3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Year ended December 31, 2018</w:t>
            </w:r>
          </w:p>
        </w:tc>
        <w:tc>
          <w:tcPr>
            <w:tcW w:w="1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983"/>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4"/>
                <w:szCs w:val="14"/>
                <w:color w:val="auto"/>
              </w:rPr>
              <w:t>112,213</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2,980,110</w:t>
            </w:r>
          </w:p>
        </w:tc>
        <w:tc>
          <w:tcPr>
            <w:tcW w:w="0" w:type="dxa"/>
            <w:vAlign w:val="bottom"/>
          </w:tcPr>
          <w:p>
            <w:pPr>
              <w:spacing w:after="0"/>
              <w:rPr>
                <w:sz w:val="1"/>
                <w:szCs w:val="1"/>
                <w:color w:val="auto"/>
              </w:rPr>
            </w:pPr>
          </w:p>
        </w:tc>
      </w:tr>
      <w:tr>
        <w:trPr>
          <w:trHeight w:val="191"/>
        </w:trPr>
        <w:tc>
          <w:tcPr>
            <w:tcW w:w="3120" w:type="dxa"/>
            <w:vAlign w:val="bottom"/>
            <w:gridSpan w:val="3"/>
          </w:tcPr>
          <w:p>
            <w:pPr>
              <w:ind w:left="20"/>
              <w:spacing w:after="0"/>
              <w:rPr>
                <w:sz w:val="20"/>
                <w:szCs w:val="20"/>
                <w:color w:val="auto"/>
              </w:rPr>
            </w:pPr>
            <w:r>
              <w:rPr>
                <w:rFonts w:ascii="Arial" w:cs="Arial" w:eastAsia="Arial" w:hAnsi="Arial"/>
                <w:sz w:val="14"/>
                <w:szCs w:val="14"/>
                <w:color w:val="auto"/>
              </w:rPr>
              <w:t>Year ended December 31, 2019</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98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Arial" w:cs="Arial" w:eastAsia="Arial" w:hAnsi="Arial"/>
                <w:sz w:val="14"/>
                <w:szCs w:val="14"/>
                <w:color w:val="auto"/>
              </w:rPr>
              <w:t>1,641,687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6"/>
                <w:szCs w:val="16"/>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3,267,672</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right="420" w:firstLine="340"/>
        <w:spacing w:after="0" w:line="321" w:lineRule="auto"/>
        <w:rPr>
          <w:sz w:val="20"/>
          <w:szCs w:val="20"/>
          <w:color w:val="auto"/>
        </w:rPr>
      </w:pPr>
      <w:r>
        <w:rPr>
          <w:rFonts w:ascii="Arial" w:cs="Arial" w:eastAsia="Arial" w:hAnsi="Arial"/>
          <w:sz w:val="13"/>
          <w:szCs w:val="13"/>
          <w:color w:val="auto"/>
        </w:rPr>
        <w:t>For the years ended December 31, 2019 and 2018, the weighted average grant date fair value of options granted was $2.32 and $2.07 per share, respectively. We estimate the fair value of options at the grant date using the Black-Scholes model. For all stock options granted through December 31, 2019, the weighted average remaining service period is 3.4 years.</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Unamortized stock option expense at December 31, 2019 that will be amortized over the weighted-average remaining service period of 2.9 years totaled $2.8 million.</w:t>
      </w: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Stock and Restricted Stock Units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Historically, we have granted shares of restricted stock to certain employees that have vested in three equal annual installments on the anniversary dates of their grant. However, beginning in</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2019, we altered our approach for these grants to replace the grant of restricted stock subject to time-based vesting with the grant of a combination of restricted stock units ("RSUs") subject to time-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based vesting and performance-based vesting. Each RSU represents the contingent right to receive a single share of our common stock upon the vesting of the award. For the year ended</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December 31, 2019, we granted an aggregate of 280,000 RSUs to certain employees. Of the RSUs granted during 2019, 217,000 of such RSUs are subject to time-based vesting and are scheduled to</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vest in three equal annual installments on the anniversary dates of the grant. The remaining 63,000 RSUs are performance-based awards that will vest based on our achievement of long-term</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performance goals, in particular, based on our levels of 2021 revenue and operating income. The 63,000 shares issuable upon vesting of the performance-based RSUs represent the maximum payout</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under our performance-based awards, based upon 150% of our target performance for 2021 revenue and operating income (the payout of such awards based on target performance for 2021 revenue</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and operating income would be 42,000 shares). In the case of the time-based and performance-based RSUs, vesting is also subject to the employee's continuous service with us through vesting. In</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2018, we granted 280,000 shares of restricted stock to certain employees. Shares issued to employees vest in three equal annual installments on the anniversary dates of their grant. In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1851025</wp:posOffset>
            </wp:positionH>
            <wp:positionV relativeFrom="paragraph">
              <wp:posOffset>-33020</wp:posOffset>
            </wp:positionV>
            <wp:extent cx="2222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194,333 and 182,500 shares of restricted stock vested, respectively.</w:t>
      </w:r>
    </w:p>
    <w:p>
      <w:pPr>
        <w:spacing w:after="0" w:line="296" w:lineRule="exact"/>
        <w:rPr>
          <w:sz w:val="20"/>
          <w:szCs w:val="20"/>
          <w:color w:val="auto"/>
        </w:rPr>
      </w:pPr>
    </w:p>
    <w:p>
      <w:pPr>
        <w:ind w:right="140" w:firstLine="318"/>
        <w:spacing w:after="0" w:line="260" w:lineRule="auto"/>
        <w:rPr>
          <w:sz w:val="20"/>
          <w:szCs w:val="20"/>
          <w:color w:val="auto"/>
        </w:rPr>
      </w:pPr>
      <w:r>
        <w:rPr>
          <w:rFonts w:ascii="Arial" w:cs="Arial" w:eastAsia="Arial" w:hAnsi="Arial"/>
          <w:sz w:val="14"/>
          <w:szCs w:val="14"/>
          <w:color w:val="auto"/>
        </w:rPr>
        <w:t>In addition, in conjunction with our 2018 and 2019 Annual Meetings of Stockholders, we granted RSUs to certain members of our Board of Directors in respect of the annual equity compensation under our non-employee director compensation policy (other members of our Board of Directors elected to receive their annual equity compensation for Board service in the form of stock units under our Deferred Compensation Plan as described below). In 2019 and 2018, we granted 11,600 and 16,286, respectively, RSUs to members of our Board of Directors in respect of the annual equity compensation under our non-employee director compensation policy. RSUs issued to our Board of Directors vest at the earlier of the one-year anniversary of their grant or the next annual stockholders' meeting. In 2019 and 2018, 16,286 and 129,865 RSUs, respectively, vested.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280"/>
          </w:cols>
          <w:pgMar w:left="300" w:top="125" w:right="31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aggregate restricted stock awards and RSU activity in 2019 and 2018:</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880" w:type="dxa"/>
            <w:vAlign w:val="bottom"/>
          </w:tcPr>
          <w:p>
            <w:pPr>
              <w:spacing w:after="0"/>
              <w:rPr>
                <w:sz w:val="10"/>
                <w:szCs w:val="10"/>
                <w:color w:val="auto"/>
              </w:rPr>
            </w:pPr>
          </w:p>
        </w:tc>
        <w:tc>
          <w:tcPr>
            <w:tcW w:w="19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Number of Unvested Shares</w:t>
            </w:r>
          </w:p>
        </w:tc>
        <w:tc>
          <w:tcPr>
            <w:tcW w:w="18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Weighted Average Grant Date</w:t>
            </w:r>
          </w:p>
        </w:tc>
        <w:tc>
          <w:tcPr>
            <w:tcW w:w="1680" w:type="dxa"/>
            <w:vAlign w:val="bottom"/>
            <w:gridSpan w:val="2"/>
          </w:tcPr>
          <w:p>
            <w:pPr>
              <w:ind w:left="40"/>
              <w:spacing w:after="0"/>
              <w:rPr>
                <w:sz w:val="20"/>
                <w:szCs w:val="20"/>
                <w:color w:val="auto"/>
              </w:rPr>
            </w:pPr>
            <w:r>
              <w:rPr>
                <w:rFonts w:ascii="Arial" w:cs="Arial" w:eastAsia="Arial" w:hAnsi="Arial"/>
                <w:sz w:val="11"/>
                <w:szCs w:val="11"/>
                <w:b w:val="1"/>
                <w:bCs w:val="1"/>
                <w:color w:val="auto"/>
                <w:w w:val="95"/>
              </w:rPr>
              <w:t>Aggregate Grant Date Fair Value</w:t>
            </w:r>
          </w:p>
        </w:tc>
        <w:tc>
          <w:tcPr>
            <w:tcW w:w="0" w:type="dxa"/>
            <w:vAlign w:val="bottom"/>
          </w:tcPr>
          <w:p>
            <w:pPr>
              <w:spacing w:after="0"/>
              <w:rPr>
                <w:sz w:val="1"/>
                <w:szCs w:val="1"/>
                <w:color w:val="auto"/>
              </w:rPr>
            </w:pPr>
          </w:p>
        </w:tc>
      </w:tr>
      <w:tr>
        <w:trPr>
          <w:trHeight w:val="151"/>
        </w:trPr>
        <w:tc>
          <w:tcPr>
            <w:tcW w:w="5880" w:type="dxa"/>
            <w:vAlign w:val="bottom"/>
          </w:tcPr>
          <w:p>
            <w:pPr>
              <w:spacing w:after="0"/>
              <w:rPr>
                <w:sz w:val="13"/>
                <w:szCs w:val="13"/>
                <w:color w:val="auto"/>
              </w:rPr>
            </w:pPr>
          </w:p>
        </w:tc>
        <w:tc>
          <w:tcPr>
            <w:tcW w:w="1920" w:type="dxa"/>
            <w:vAlign w:val="bottom"/>
            <w:gridSpan w:val="2"/>
            <w:vMerge w:val="continue"/>
          </w:tcPr>
          <w:p>
            <w:pPr>
              <w:spacing w:after="0"/>
              <w:rPr>
                <w:sz w:val="13"/>
                <w:szCs w:val="13"/>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Fair Value</w:t>
            </w:r>
          </w:p>
        </w:tc>
        <w:tc>
          <w:tcPr>
            <w:tcW w:w="240" w:type="dxa"/>
            <w:vAlign w:val="bottom"/>
          </w:tcPr>
          <w:p>
            <w:pPr>
              <w:spacing w:after="0"/>
              <w:rPr>
                <w:sz w:val="13"/>
                <w:szCs w:val="13"/>
                <w:color w:val="auto"/>
              </w:rPr>
            </w:pPr>
          </w:p>
        </w:tc>
        <w:tc>
          <w:tcPr>
            <w:tcW w:w="1440" w:type="dxa"/>
            <w:vAlign w:val="bottom"/>
          </w:tcPr>
          <w:p>
            <w:pPr>
              <w:jc w:val="right"/>
              <w:ind w:right="311"/>
              <w:spacing w:after="0"/>
              <w:rPr>
                <w:sz w:val="20"/>
                <w:szCs w:val="20"/>
                <w:color w:val="auto"/>
              </w:rPr>
            </w:pPr>
            <w:r>
              <w:rPr>
                <w:rFonts w:ascii="Arial" w:cs="Arial" w:eastAsia="Arial" w:hAnsi="Arial"/>
                <w:sz w:val="11"/>
                <w:szCs w:val="11"/>
                <w:b w:val="1"/>
                <w:bCs w:val="1"/>
                <w:color w:val="auto"/>
              </w:rPr>
              <w:t>of Unvested Shares</w:t>
            </w:r>
          </w:p>
        </w:tc>
        <w:tc>
          <w:tcPr>
            <w:tcW w:w="0" w:type="dxa"/>
            <w:vAlign w:val="bottom"/>
          </w:tcPr>
          <w:p>
            <w:pPr>
              <w:spacing w:after="0"/>
              <w:rPr>
                <w:sz w:val="1"/>
                <w:szCs w:val="1"/>
                <w:color w:val="auto"/>
              </w:rPr>
            </w:pPr>
          </w:p>
        </w:tc>
      </w:tr>
      <w:tr>
        <w:trPr>
          <w:trHeight w:val="187"/>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1, 2017</w:t>
            </w:r>
          </w:p>
        </w:tc>
        <w:tc>
          <w:tcPr>
            <w:tcW w:w="16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489,698</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738,345</w:t>
            </w:r>
          </w:p>
        </w:tc>
        <w:tc>
          <w:tcPr>
            <w:tcW w:w="0" w:type="dxa"/>
            <w:vAlign w:val="bottom"/>
          </w:tcPr>
          <w:p>
            <w:pPr>
              <w:spacing w:after="0"/>
              <w:rPr>
                <w:sz w:val="1"/>
                <w:szCs w:val="1"/>
                <w:color w:val="auto"/>
              </w:rPr>
            </w:pPr>
          </w:p>
        </w:tc>
      </w:tr>
      <w:tr>
        <w:trPr>
          <w:trHeight w:val="191"/>
        </w:trPr>
        <w:tc>
          <w:tcPr>
            <w:tcW w:w="5880" w:type="dxa"/>
            <w:vAlign w:val="bottom"/>
          </w:tcPr>
          <w:p>
            <w:pPr>
              <w:ind w:left="20"/>
              <w:spacing w:after="0"/>
              <w:rPr>
                <w:sz w:val="20"/>
                <w:szCs w:val="20"/>
                <w:color w:val="auto"/>
              </w:rPr>
            </w:pPr>
            <w:r>
              <w:rPr>
                <w:rFonts w:ascii="Arial" w:cs="Arial" w:eastAsia="Arial" w:hAnsi="Arial"/>
                <w:sz w:val="14"/>
                <w:szCs w:val="14"/>
                <w:color w:val="auto"/>
              </w:rPr>
              <w:t>Granted</w:t>
            </w:r>
          </w:p>
        </w:tc>
        <w:tc>
          <w:tcPr>
            <w:tcW w:w="1680" w:type="dxa"/>
            <w:vAlign w:val="bottom"/>
          </w:tcPr>
          <w:p>
            <w:pPr>
              <w:jc w:val="right"/>
              <w:ind w:right="31"/>
              <w:spacing w:after="0"/>
              <w:rPr>
                <w:sz w:val="20"/>
                <w:szCs w:val="20"/>
                <w:color w:val="auto"/>
              </w:rPr>
            </w:pPr>
            <w:r>
              <w:rPr>
                <w:rFonts w:ascii="Arial" w:cs="Arial" w:eastAsia="Arial" w:hAnsi="Arial"/>
                <w:sz w:val="14"/>
                <w:szCs w:val="14"/>
                <w:color w:val="auto"/>
              </w:rPr>
              <w:t>296,287</w:t>
            </w: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1"/>
              <w:spacing w:after="0"/>
              <w:rPr>
                <w:sz w:val="20"/>
                <w:szCs w:val="20"/>
                <w:color w:val="auto"/>
              </w:rPr>
            </w:pPr>
            <w:r>
              <w:rPr>
                <w:rFonts w:ascii="Arial" w:cs="Arial" w:eastAsia="Arial" w:hAnsi="Arial"/>
                <w:sz w:val="14"/>
                <w:szCs w:val="14"/>
                <w:color w:val="auto"/>
              </w:rPr>
              <w:t>909,600</w:t>
            </w:r>
          </w:p>
        </w:tc>
        <w:tc>
          <w:tcPr>
            <w:tcW w:w="0" w:type="dxa"/>
            <w:vAlign w:val="bottom"/>
          </w:tcPr>
          <w:p>
            <w:pPr>
              <w:spacing w:after="0"/>
              <w:rPr>
                <w:sz w:val="1"/>
                <w:szCs w:val="1"/>
                <w:color w:val="auto"/>
              </w:rPr>
            </w:pPr>
          </w:p>
        </w:tc>
      </w:tr>
      <w:tr>
        <w:trPr>
          <w:trHeight w:val="22"/>
        </w:trPr>
        <w:tc>
          <w:tcPr>
            <w:tcW w:w="5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(312,365)</w:t>
            </w:r>
          </w:p>
        </w:tc>
        <w:tc>
          <w:tcPr>
            <w:tcW w:w="2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(454,339)</w:t>
            </w:r>
          </w:p>
        </w:tc>
        <w:tc>
          <w:tcPr>
            <w:tcW w:w="0" w:type="dxa"/>
            <w:vAlign w:val="bottom"/>
          </w:tcPr>
          <w:p>
            <w:pPr>
              <w:spacing w:after="0"/>
              <w:rPr>
                <w:sz w:val="1"/>
                <w:szCs w:val="1"/>
                <w:color w:val="auto"/>
              </w:rPr>
            </w:pPr>
          </w:p>
        </w:tc>
      </w:tr>
      <w:tr>
        <w:trPr>
          <w:trHeight w:val="191"/>
        </w:trPr>
        <w:tc>
          <w:tcPr>
            <w:tcW w:w="5880" w:type="dxa"/>
            <w:vAlign w:val="bottom"/>
          </w:tcPr>
          <w:p>
            <w:pPr>
              <w:ind w:left="20"/>
              <w:spacing w:after="0"/>
              <w:rPr>
                <w:sz w:val="20"/>
                <w:szCs w:val="20"/>
                <w:color w:val="auto"/>
              </w:rPr>
            </w:pPr>
            <w:r>
              <w:rPr>
                <w:rFonts w:ascii="Arial" w:cs="Arial" w:eastAsia="Arial" w:hAnsi="Arial"/>
                <w:sz w:val="14"/>
                <w:szCs w:val="14"/>
                <w:color w:val="auto"/>
              </w:rPr>
              <w:t>Forfeitures</w:t>
            </w:r>
          </w:p>
        </w:tc>
        <w:tc>
          <w:tcPr>
            <w:tcW w:w="1680" w:type="dxa"/>
            <w:vAlign w:val="bottom"/>
          </w:tcPr>
          <w:p>
            <w:pPr>
              <w:jc w:val="right"/>
              <w:spacing w:after="0"/>
              <w:rPr>
                <w:sz w:val="20"/>
                <w:szCs w:val="20"/>
                <w:color w:val="auto"/>
              </w:rPr>
            </w:pPr>
            <w:r>
              <w:rPr>
                <w:rFonts w:ascii="Arial" w:cs="Arial" w:eastAsia="Arial" w:hAnsi="Arial"/>
                <w:sz w:val="14"/>
                <w:szCs w:val="14"/>
                <w:color w:val="auto"/>
              </w:rPr>
              <w:t>(15,000)</w:t>
            </w: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(21,150)</w:t>
            </w:r>
          </w:p>
        </w:tc>
        <w:tc>
          <w:tcPr>
            <w:tcW w:w="0" w:type="dxa"/>
            <w:vAlign w:val="bottom"/>
          </w:tcPr>
          <w:p>
            <w:pPr>
              <w:spacing w:after="0"/>
              <w:rPr>
                <w:sz w:val="1"/>
                <w:szCs w:val="1"/>
                <w:color w:val="auto"/>
              </w:rPr>
            </w:pPr>
          </w:p>
        </w:tc>
      </w:tr>
      <w:tr>
        <w:trPr>
          <w:trHeight w:val="22"/>
        </w:trPr>
        <w:tc>
          <w:tcPr>
            <w:tcW w:w="58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458,620</w:t>
            </w:r>
          </w:p>
        </w:tc>
        <w:tc>
          <w:tcPr>
            <w:tcW w:w="24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1,172,456</w:t>
            </w:r>
          </w:p>
        </w:tc>
        <w:tc>
          <w:tcPr>
            <w:tcW w:w="0" w:type="dxa"/>
            <w:vAlign w:val="bottom"/>
          </w:tcPr>
          <w:p>
            <w:pPr>
              <w:spacing w:after="0"/>
              <w:rPr>
                <w:sz w:val="1"/>
                <w:szCs w:val="1"/>
                <w:color w:val="auto"/>
              </w:rPr>
            </w:pPr>
          </w:p>
        </w:tc>
      </w:tr>
      <w:tr>
        <w:trPr>
          <w:trHeight w:val="191"/>
        </w:trPr>
        <w:tc>
          <w:tcPr>
            <w:tcW w:w="5880" w:type="dxa"/>
            <w:vAlign w:val="bottom"/>
          </w:tcPr>
          <w:p>
            <w:pPr>
              <w:ind w:left="20"/>
              <w:spacing w:after="0"/>
              <w:rPr>
                <w:sz w:val="20"/>
                <w:szCs w:val="20"/>
                <w:color w:val="auto"/>
              </w:rPr>
            </w:pPr>
            <w:r>
              <w:rPr>
                <w:rFonts w:ascii="Arial" w:cs="Arial" w:eastAsia="Arial" w:hAnsi="Arial"/>
                <w:sz w:val="14"/>
                <w:szCs w:val="14"/>
                <w:color w:val="auto"/>
              </w:rPr>
              <w:t>Granted</w:t>
            </w:r>
          </w:p>
        </w:tc>
        <w:tc>
          <w:tcPr>
            <w:tcW w:w="1680" w:type="dxa"/>
            <w:vAlign w:val="bottom"/>
          </w:tcPr>
          <w:p>
            <w:pPr>
              <w:jc w:val="right"/>
              <w:ind w:right="31"/>
              <w:spacing w:after="0"/>
              <w:rPr>
                <w:sz w:val="20"/>
                <w:szCs w:val="20"/>
                <w:color w:val="auto"/>
              </w:rPr>
            </w:pPr>
            <w:r>
              <w:rPr>
                <w:rFonts w:ascii="Arial" w:cs="Arial" w:eastAsia="Arial" w:hAnsi="Arial"/>
                <w:sz w:val="14"/>
                <w:szCs w:val="14"/>
                <w:color w:val="auto"/>
              </w:rPr>
              <w:t>291,600</w:t>
            </w: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1"/>
              <w:spacing w:after="0"/>
              <w:rPr>
                <w:sz w:val="20"/>
                <w:szCs w:val="20"/>
                <w:color w:val="auto"/>
              </w:rPr>
            </w:pPr>
            <w:r>
              <w:rPr>
                <w:rFonts w:ascii="Arial" w:cs="Arial" w:eastAsia="Arial" w:hAnsi="Arial"/>
                <w:sz w:val="14"/>
                <w:szCs w:val="14"/>
                <w:color w:val="auto"/>
              </w:rPr>
              <w:t>1,094,430</w:t>
            </w:r>
          </w:p>
        </w:tc>
        <w:tc>
          <w:tcPr>
            <w:tcW w:w="0" w:type="dxa"/>
            <w:vAlign w:val="bottom"/>
          </w:tcPr>
          <w:p>
            <w:pPr>
              <w:spacing w:after="0"/>
              <w:rPr>
                <w:sz w:val="1"/>
                <w:szCs w:val="1"/>
                <w:color w:val="auto"/>
              </w:rPr>
            </w:pPr>
          </w:p>
        </w:tc>
      </w:tr>
      <w:tr>
        <w:trPr>
          <w:trHeight w:val="22"/>
        </w:trPr>
        <w:tc>
          <w:tcPr>
            <w:tcW w:w="5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(210,619)</w:t>
            </w:r>
          </w:p>
        </w:tc>
        <w:tc>
          <w:tcPr>
            <w:tcW w:w="2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(490,769)</w:t>
            </w:r>
          </w:p>
        </w:tc>
        <w:tc>
          <w:tcPr>
            <w:tcW w:w="0" w:type="dxa"/>
            <w:vAlign w:val="bottom"/>
          </w:tcPr>
          <w:p>
            <w:pPr>
              <w:spacing w:after="0"/>
              <w:rPr>
                <w:sz w:val="1"/>
                <w:szCs w:val="1"/>
                <w:color w:val="auto"/>
              </w:rPr>
            </w:pPr>
          </w:p>
        </w:tc>
      </w:tr>
      <w:tr>
        <w:trPr>
          <w:trHeight w:val="191"/>
        </w:trPr>
        <w:tc>
          <w:tcPr>
            <w:tcW w:w="5880" w:type="dxa"/>
            <w:vAlign w:val="bottom"/>
          </w:tcPr>
          <w:p>
            <w:pPr>
              <w:ind w:left="20"/>
              <w:spacing w:after="0"/>
              <w:rPr>
                <w:sz w:val="20"/>
                <w:szCs w:val="20"/>
                <w:color w:val="auto"/>
              </w:rPr>
            </w:pPr>
            <w:r>
              <w:rPr>
                <w:rFonts w:ascii="Arial" w:cs="Arial" w:eastAsia="Arial" w:hAnsi="Arial"/>
                <w:sz w:val="14"/>
                <w:szCs w:val="14"/>
                <w:color w:val="auto"/>
              </w:rPr>
              <w:t>Forfeitures</w:t>
            </w:r>
          </w:p>
        </w:tc>
        <w:tc>
          <w:tcPr>
            <w:tcW w:w="1680" w:type="dxa"/>
            <w:vAlign w:val="bottom"/>
          </w:tcPr>
          <w:p>
            <w:pPr>
              <w:jc w:val="right"/>
              <w:spacing w:after="0"/>
              <w:rPr>
                <w:sz w:val="20"/>
                <w:szCs w:val="20"/>
                <w:color w:val="auto"/>
              </w:rPr>
            </w:pPr>
            <w:r>
              <w:rPr>
                <w:rFonts w:ascii="Arial" w:cs="Arial" w:eastAsia="Arial" w:hAnsi="Arial"/>
                <w:sz w:val="14"/>
                <w:szCs w:val="14"/>
                <w:color w:val="auto"/>
              </w:rPr>
              <w:t>(37,499)</w:t>
            </w: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(111,115)</w:t>
            </w:r>
          </w:p>
        </w:tc>
        <w:tc>
          <w:tcPr>
            <w:tcW w:w="0" w:type="dxa"/>
            <w:vAlign w:val="bottom"/>
          </w:tcPr>
          <w:p>
            <w:pPr>
              <w:spacing w:after="0"/>
              <w:rPr>
                <w:sz w:val="1"/>
                <w:szCs w:val="1"/>
                <w:color w:val="auto"/>
              </w:rPr>
            </w:pPr>
          </w:p>
        </w:tc>
      </w:tr>
      <w:tr>
        <w:trPr>
          <w:trHeight w:val="22"/>
        </w:trPr>
        <w:tc>
          <w:tcPr>
            <w:tcW w:w="58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1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502,102</w:t>
            </w:r>
          </w:p>
        </w:tc>
        <w:tc>
          <w:tcPr>
            <w:tcW w:w="24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1,665,002</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right="60" w:firstLine="340"/>
        <w:spacing w:after="0" w:line="267" w:lineRule="auto"/>
        <w:rPr>
          <w:sz w:val="20"/>
          <w:szCs w:val="20"/>
          <w:color w:val="auto"/>
        </w:rPr>
      </w:pPr>
      <w:r>
        <w:rPr>
          <w:rFonts w:ascii="Arial" w:cs="Arial" w:eastAsia="Arial" w:hAnsi="Arial"/>
          <w:sz w:val="14"/>
          <w:szCs w:val="14"/>
          <w:color w:val="auto"/>
        </w:rPr>
        <w:t>We recognized $1.5 million and $0.6 million in stock-based compensation expense, which is recorded in selling, general and administrative expense on the consolidated statement of operations for the years ended December 31, 2019 and 2018, respectively, and we will recognize $4.0 million over the remaining requisite service period for unamortized restricted stock, RSUs and stock options.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Unamortized restricted stock and RSUs expense at December 31, 2019 that will be amortized over the weighted-average remaining service period of 2 years totaled $1.2 million.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Non-employee Director Deferred Compensation Plan</w:t>
      </w:r>
    </w:p>
    <w:p>
      <w:pPr>
        <w:spacing w:after="0" w:line="136"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We maintain a non-employee director deferred compensation plan (the “Deferred Compensation Plan”) that permits our non-employee directors to defer receipt of certain compensation that they receive for serving on our board and board committees. The Deferred Compensation Plan has historically permitted the participants to elect to defer cash fees to which they were entitled for board and committee service. For participating directors, in lieu of payment of cash fees, we credit their accounts under the Deferred Compensation Plan with a number of stock units based on the trading price of our common stock as of the date of the deferral. These stock units vest immediately, although the participating directors do not receive the shares represented by such units until a future qualifying event.</w:t>
      </w:r>
    </w:p>
    <w:p>
      <w:pPr>
        <w:spacing w:after="0" w:line="104" w:lineRule="exact"/>
        <w:rPr>
          <w:sz w:val="20"/>
          <w:szCs w:val="20"/>
          <w:color w:val="auto"/>
        </w:rPr>
      </w:pPr>
    </w:p>
    <w:p>
      <w:pPr>
        <w:ind w:right="140" w:firstLine="318"/>
        <w:spacing w:after="0" w:line="260" w:lineRule="auto"/>
        <w:rPr>
          <w:sz w:val="20"/>
          <w:szCs w:val="20"/>
          <w:color w:val="auto"/>
        </w:rPr>
      </w:pPr>
      <w:r>
        <w:rPr>
          <w:rFonts w:ascii="Arial" w:cs="Arial" w:eastAsia="Arial" w:hAnsi="Arial"/>
          <w:sz w:val="14"/>
          <w:szCs w:val="14"/>
          <w:color w:val="auto"/>
        </w:rPr>
        <w:t>In December 2017, we amended and restated our Deferred Compensation Plan to also permit participants to defer the annual equity compensation for board service (which would otherwise be issued in the form of restricted stock units) under our non-employee director compensation policy. For participating directors, we credit their accounts under the Deferred Compensation Plan with a number of stock units based on the trading price of our common stock as of the date of the deferral. These stock units are vested upon the earlier of the one-year anniversary date of the grant or next annual meeting of stockholders, although the participating directors do not receive the shares represented by such units until a future qualifying event. A summary of stock unit activity under the Deferred Compensation Plan for 2019 and 2018 is as follows.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280"/>
          </w:cols>
          <w:pgMar w:left="300" w:top="125" w:right="31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26"/>
        </w:trPr>
        <w:tc>
          <w:tcPr>
            <w:tcW w:w="38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Weighted Average</w:t>
            </w:r>
          </w:p>
        </w:tc>
        <w:tc>
          <w:tcPr>
            <w:tcW w:w="200" w:type="dxa"/>
            <w:vAlign w:val="bottom"/>
          </w:tcPr>
          <w:p>
            <w:pPr>
              <w:spacing w:after="0"/>
              <w:rPr>
                <w:sz w:val="10"/>
                <w:szCs w:val="10"/>
                <w:color w:val="auto"/>
              </w:rPr>
            </w:pPr>
          </w:p>
        </w:tc>
        <w:tc>
          <w:tcPr>
            <w:tcW w:w="1140" w:type="dxa"/>
            <w:vAlign w:val="bottom"/>
            <w:vMerge w:val="restart"/>
          </w:tcPr>
          <w:p>
            <w:pPr>
              <w:jc w:val="right"/>
              <w:ind w:right="235"/>
              <w:spacing w:after="0"/>
              <w:rPr>
                <w:sz w:val="20"/>
                <w:szCs w:val="20"/>
                <w:color w:val="auto"/>
              </w:rPr>
            </w:pPr>
            <w:r>
              <w:rPr>
                <w:rFonts w:ascii="Arial" w:cs="Arial" w:eastAsia="Arial" w:hAnsi="Arial"/>
                <w:sz w:val="11"/>
                <w:szCs w:val="11"/>
                <w:b w:val="1"/>
                <w:bCs w:val="1"/>
                <w:color w:val="auto"/>
              </w:rPr>
              <w:t>Intrinsic Value</w:t>
            </w: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Number of Stock Units</w:t>
            </w:r>
          </w:p>
        </w:tc>
        <w:tc>
          <w:tcPr>
            <w:tcW w:w="1300" w:type="dxa"/>
            <w:vAlign w:val="bottom"/>
            <w:gridSpan w:val="2"/>
          </w:tcPr>
          <w:p>
            <w:pPr>
              <w:jc w:val="center"/>
              <w:ind w:right="140"/>
              <w:spacing w:after="0" w:line="117" w:lineRule="exact"/>
              <w:rPr>
                <w:sz w:val="20"/>
                <w:szCs w:val="20"/>
                <w:color w:val="auto"/>
              </w:rPr>
            </w:pPr>
            <w:r>
              <w:rPr>
                <w:rFonts w:ascii="Arial" w:cs="Arial" w:eastAsia="Arial" w:hAnsi="Arial"/>
                <w:sz w:val="11"/>
                <w:szCs w:val="11"/>
                <w:b w:val="1"/>
                <w:bCs w:val="1"/>
                <w:color w:val="auto"/>
                <w:w w:val="96"/>
              </w:rPr>
              <w:t>Grant Date Fair Value</w:t>
            </w:r>
          </w:p>
        </w:tc>
        <w:tc>
          <w:tcPr>
            <w:tcW w:w="2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86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per Share</w:t>
            </w:r>
          </w:p>
        </w:tc>
        <w:tc>
          <w:tcPr>
            <w:tcW w:w="200" w:type="dxa"/>
            <w:vAlign w:val="bottom"/>
          </w:tcPr>
          <w:p>
            <w:pPr>
              <w:spacing w:after="0"/>
              <w:rPr>
                <w:sz w:val="13"/>
                <w:szCs w:val="13"/>
                <w:color w:val="auto"/>
              </w:rPr>
            </w:pPr>
          </w:p>
        </w:tc>
        <w:tc>
          <w:tcPr>
            <w:tcW w:w="1140" w:type="dxa"/>
            <w:vAlign w:val="bottom"/>
          </w:tcPr>
          <w:p>
            <w:pPr>
              <w:jc w:val="right"/>
              <w:ind w:right="295"/>
              <w:spacing w:after="0"/>
              <w:rPr>
                <w:sz w:val="20"/>
                <w:szCs w:val="20"/>
                <w:color w:val="auto"/>
              </w:rPr>
            </w:pPr>
            <w:r>
              <w:rPr>
                <w:rFonts w:ascii="Arial" w:cs="Arial" w:eastAsia="Arial" w:hAnsi="Arial"/>
                <w:sz w:val="11"/>
                <w:szCs w:val="11"/>
                <w:b w:val="1"/>
                <w:bCs w:val="1"/>
                <w:color w:val="auto"/>
              </w:rPr>
              <w:t>Outstanding</w:t>
            </w:r>
          </w:p>
        </w:tc>
        <w:tc>
          <w:tcPr>
            <w:tcW w:w="0" w:type="dxa"/>
            <w:vAlign w:val="bottom"/>
          </w:tcPr>
          <w:p>
            <w:pPr>
              <w:spacing w:after="0"/>
              <w:rPr>
                <w:sz w:val="1"/>
                <w:szCs w:val="1"/>
                <w:color w:val="auto"/>
              </w:rPr>
            </w:pPr>
          </w:p>
        </w:tc>
      </w:tr>
      <w:tr>
        <w:trPr>
          <w:trHeight w:val="187"/>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January 1, 2018</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466,702</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1,134,086</w:t>
            </w:r>
          </w:p>
        </w:tc>
        <w:tc>
          <w:tcPr>
            <w:tcW w:w="0" w:type="dxa"/>
            <w:vAlign w:val="bottom"/>
          </w:tcPr>
          <w:p>
            <w:pPr>
              <w:spacing w:after="0"/>
              <w:rPr>
                <w:sz w:val="1"/>
                <w:szCs w:val="1"/>
                <w:color w:val="auto"/>
              </w:rPr>
            </w:pPr>
          </w:p>
        </w:tc>
      </w:tr>
      <w:tr>
        <w:trPr>
          <w:trHeight w:val="191"/>
        </w:trPr>
        <w:tc>
          <w:tcPr>
            <w:tcW w:w="3860" w:type="dxa"/>
            <w:vAlign w:val="bottom"/>
          </w:tcPr>
          <w:p>
            <w:pPr>
              <w:ind w:left="20"/>
              <w:spacing w:after="0"/>
              <w:rPr>
                <w:sz w:val="20"/>
                <w:szCs w:val="20"/>
                <w:color w:val="auto"/>
              </w:rPr>
            </w:pPr>
            <w:r>
              <w:rPr>
                <w:rFonts w:ascii="Arial" w:cs="Arial" w:eastAsia="Arial" w:hAnsi="Arial"/>
                <w:sz w:val="14"/>
                <w:szCs w:val="14"/>
                <w:color w:val="auto"/>
              </w:rPr>
              <w:t>Granted</w:t>
            </w:r>
          </w:p>
        </w:tc>
        <w:tc>
          <w:tcPr>
            <w:tcW w:w="1180" w:type="dxa"/>
            <w:vAlign w:val="bottom"/>
          </w:tcPr>
          <w:p>
            <w:pPr>
              <w:jc w:val="right"/>
              <w:ind w:right="12"/>
              <w:spacing w:after="0"/>
              <w:rPr>
                <w:sz w:val="20"/>
                <w:szCs w:val="20"/>
                <w:color w:val="auto"/>
              </w:rPr>
            </w:pPr>
            <w:r>
              <w:rPr>
                <w:rFonts w:ascii="Arial" w:cs="Arial" w:eastAsia="Arial" w:hAnsi="Arial"/>
                <w:sz w:val="14"/>
                <w:szCs w:val="14"/>
                <w:color w:val="auto"/>
              </w:rPr>
              <w:t>40,588</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December 31, 2018</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507,290</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1,699,422</w:t>
            </w:r>
          </w:p>
        </w:tc>
        <w:tc>
          <w:tcPr>
            <w:tcW w:w="0" w:type="dxa"/>
            <w:vAlign w:val="bottom"/>
          </w:tcPr>
          <w:p>
            <w:pPr>
              <w:spacing w:after="0"/>
              <w:rPr>
                <w:sz w:val="1"/>
                <w:szCs w:val="1"/>
                <w:color w:val="auto"/>
              </w:rPr>
            </w:pPr>
          </w:p>
        </w:tc>
      </w:tr>
      <w:tr>
        <w:trPr>
          <w:trHeight w:val="191"/>
        </w:trPr>
        <w:tc>
          <w:tcPr>
            <w:tcW w:w="3860" w:type="dxa"/>
            <w:vAlign w:val="bottom"/>
          </w:tcPr>
          <w:p>
            <w:pPr>
              <w:ind w:left="20"/>
              <w:spacing w:after="0"/>
              <w:rPr>
                <w:sz w:val="20"/>
                <w:szCs w:val="20"/>
                <w:color w:val="auto"/>
              </w:rPr>
            </w:pPr>
            <w:r>
              <w:rPr>
                <w:rFonts w:ascii="Arial" w:cs="Arial" w:eastAsia="Arial" w:hAnsi="Arial"/>
                <w:sz w:val="14"/>
                <w:szCs w:val="14"/>
                <w:color w:val="auto"/>
              </w:rPr>
              <w:t>Granted</w:t>
            </w:r>
          </w:p>
        </w:tc>
        <w:tc>
          <w:tcPr>
            <w:tcW w:w="1180" w:type="dxa"/>
            <w:vAlign w:val="bottom"/>
          </w:tcPr>
          <w:p>
            <w:pPr>
              <w:jc w:val="right"/>
              <w:ind w:right="12"/>
              <w:spacing w:after="0"/>
              <w:rPr>
                <w:sz w:val="20"/>
                <w:szCs w:val="20"/>
                <w:color w:val="auto"/>
              </w:rPr>
            </w:pPr>
            <w:r>
              <w:rPr>
                <w:rFonts w:ascii="Arial" w:cs="Arial" w:eastAsia="Arial" w:hAnsi="Arial"/>
                <w:sz w:val="14"/>
                <w:szCs w:val="14"/>
                <w:color w:val="auto"/>
              </w:rPr>
              <w:t>121,713</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8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December 31, 2019</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629,003</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4,585,432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 of December 31, 2019, 37,546 of the outstanding stock units had not yet vested.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 Repurchase Program</w:t>
      </w:r>
    </w:p>
    <w:p>
      <w:pPr>
        <w:spacing w:after="0" w:line="179" w:lineRule="exact"/>
        <w:rPr>
          <w:sz w:val="20"/>
          <w:szCs w:val="20"/>
          <w:color w:val="auto"/>
        </w:rPr>
      </w:pPr>
    </w:p>
    <w:p>
      <w:pPr>
        <w:ind w:firstLine="340"/>
        <w:spacing w:after="0" w:line="319" w:lineRule="auto"/>
        <w:rPr>
          <w:sz w:val="20"/>
          <w:szCs w:val="20"/>
          <w:color w:val="auto"/>
        </w:rPr>
      </w:pPr>
      <w:r>
        <w:rPr>
          <w:rFonts w:ascii="Arial" w:cs="Arial" w:eastAsia="Arial" w:hAnsi="Arial"/>
          <w:sz w:val="12"/>
          <w:szCs w:val="12"/>
          <w:color w:val="auto"/>
        </w:rPr>
        <w:t>In September 2017, our board of directors authorized a new stock repurchase program providing for the repurchase of up to $2.0 million of our common stock through September 19, 2018. Our stock repurchase program did not obligate us to acquire any specific number of shares. Under the program, shares may be repurchased in privately negotiated or open market transactions, including under plans complying with Rule 10b5-1 under the Securities Exchange Act of 1934, as amended. As of September 19, 2018, we had repurchased a total of 565,629 shares, respectively, for an aggregate purchase price of $1.1 million under this stock repurchase program. We currently maintain all repurchased shares under these stock repurchase programs as treasury stock.</w:t>
      </w:r>
    </w:p>
    <w:p>
      <w:pPr>
        <w:spacing w:after="0" w:line="115" w:lineRule="exact"/>
        <w:rPr>
          <w:sz w:val="20"/>
          <w:szCs w:val="20"/>
          <w:color w:val="auto"/>
        </w:rPr>
      </w:pPr>
    </w:p>
    <w:p>
      <w:pPr>
        <w:ind w:right="20" w:firstLine="340"/>
        <w:spacing w:after="0" w:line="267" w:lineRule="auto"/>
        <w:rPr>
          <w:sz w:val="20"/>
          <w:szCs w:val="20"/>
          <w:color w:val="auto"/>
        </w:rPr>
      </w:pPr>
      <w:r>
        <w:rPr>
          <w:rFonts w:ascii="Arial" w:cs="Arial" w:eastAsia="Arial" w:hAnsi="Arial"/>
          <w:sz w:val="14"/>
          <w:szCs w:val="14"/>
          <w:color w:val="auto"/>
        </w:rPr>
        <w:t>In August 2019, our board of directors authorized a new stock repurchase program which allowed us to repurchase up to $2.0 million of our common stock through August 2020. As of September 30, 2019, we had repurchased a total of 333,953 shares for an aggregate purchase price of $2.0 million under this new stock repurchase program, and accordingly the program expired. We currently maintain all repurchased shares under this stock repurchase program as treasury stock.</w:t>
      </w:r>
    </w:p>
    <w:p>
      <w:pPr>
        <w:spacing w:after="0" w:line="26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12.</w:t>
      </w:r>
      <w:r>
        <w:rPr>
          <w:sz w:val="20"/>
          <w:szCs w:val="20"/>
          <w:color w:val="auto"/>
        </w:rPr>
        <w:tab/>
      </w:r>
      <w:r>
        <w:rPr>
          <w:rFonts w:ascii="Arial" w:cs="Arial" w:eastAsia="Arial" w:hAnsi="Arial"/>
          <w:sz w:val="12"/>
          <w:szCs w:val="12"/>
          <w:b w:val="1"/>
          <w:bCs w:val="1"/>
          <w:color w:val="auto"/>
        </w:rPr>
        <w:t>Revenue Recognition</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Our operations are divided into two operating segments—“Products and Licensing” and “Technology Development”.</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Products and Licensing segment derives its revenues from product sales, funded product development and technology licenses.</w:t>
      </w:r>
    </w:p>
    <w:p>
      <w:pPr>
        <w:spacing w:after="0" w:line="94" w:lineRule="exact"/>
        <w:rPr>
          <w:sz w:val="20"/>
          <w:szCs w:val="20"/>
          <w:color w:val="auto"/>
        </w:rPr>
      </w:pPr>
    </w:p>
    <w:p>
      <w:pPr>
        <w:ind w:right="40" w:firstLine="509"/>
        <w:spacing w:after="0" w:line="297" w:lineRule="auto"/>
        <w:rPr>
          <w:sz w:val="20"/>
          <w:szCs w:val="20"/>
          <w:color w:val="auto"/>
        </w:rPr>
      </w:pPr>
      <w:r>
        <w:rPr>
          <w:rFonts w:ascii="Arial" w:cs="Arial" w:eastAsia="Arial" w:hAnsi="Arial"/>
          <w:sz w:val="13"/>
          <w:szCs w:val="13"/>
          <w:color w:val="auto"/>
        </w:rPr>
        <w:t>The Technology Development segment provides applied research to customers in our areas of focus. Our engineers and scientists collaborate with our network of government, academic and industry experts to identify technologies and ideas with promising market potential. We then compete to win fee-for-service contracts from government agencies and industrial customers who seek innovative solutions to practical problems that require new technology. The Technology Development segment derives its revenues primarily from services.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Disaggregation of Revenue</w:t>
      </w:r>
    </w:p>
    <w:p>
      <w:pPr>
        <w:spacing w:after="0" w:line="179" w:lineRule="exact"/>
        <w:rPr>
          <w:sz w:val="20"/>
          <w:szCs w:val="20"/>
          <w:color w:val="auto"/>
        </w:rPr>
      </w:pPr>
    </w:p>
    <w:p>
      <w:pPr>
        <w:ind w:right="120" w:firstLine="318"/>
        <w:spacing w:after="0" w:line="281" w:lineRule="auto"/>
        <w:rPr>
          <w:sz w:val="20"/>
          <w:szCs w:val="20"/>
          <w:color w:val="auto"/>
        </w:rPr>
      </w:pPr>
      <w:r>
        <w:rPr>
          <w:rFonts w:ascii="Arial" w:cs="Arial" w:eastAsia="Arial" w:hAnsi="Arial"/>
          <w:sz w:val="14"/>
          <w:szCs w:val="14"/>
          <w:color w:val="auto"/>
        </w:rPr>
        <w:t>We disaggregate our revenue from contracts with customers by geographic locations, customer-type, contract type, timing of recognition, and major categories for each of our segments, as we believe it best depicts how the nature, amount, timing and uncertainty of our revenue and cash flows are affected by economic factors.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details are listed in the table below for the 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40"/>
          </w:cols>
          <w:pgMar w:left="300" w:top="125" w:right="35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p>
      <w:pPr>
        <w:jc w:val="right"/>
        <w:ind w:right="3180"/>
        <w:spacing w:after="0"/>
        <w:rPr>
          <w:sz w:val="20"/>
          <w:szCs w:val="20"/>
          <w:color w:val="auto"/>
        </w:rPr>
      </w:pPr>
      <w:r>
        <w:rPr>
          <w:rFonts w:ascii="Arial" w:cs="Arial" w:eastAsia="Arial" w:hAnsi="Arial"/>
          <w:sz w:val="11"/>
          <w:szCs w:val="11"/>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18415</wp:posOffset>
            </wp:positionV>
            <wp:extent cx="486410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64100"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6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71"/>
              <w:spacing w:after="0"/>
              <w:rPr>
                <w:sz w:val="20"/>
                <w:szCs w:val="20"/>
                <w:color w:val="auto"/>
              </w:rPr>
            </w:pPr>
            <w:r>
              <w:rPr>
                <w:rFonts w:ascii="Arial" w:cs="Arial" w:eastAsia="Arial" w:hAnsi="Arial"/>
                <w:sz w:val="11"/>
                <w:szCs w:val="11"/>
                <w:b w:val="1"/>
                <w:bCs w:val="1"/>
                <w:color w:val="auto"/>
                <w:w w:val="89"/>
              </w:rPr>
              <w:t>2019</w:t>
            </w: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620" w:type="dxa"/>
            <w:vAlign w:val="bottom"/>
          </w:tcPr>
          <w:p>
            <w:pPr>
              <w:spacing w:after="0"/>
              <w:rPr>
                <w:sz w:val="10"/>
                <w:szCs w:val="10"/>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4"/>
              </w:rPr>
              <w:t>Products and Licensing</w:t>
            </w:r>
          </w:p>
        </w:tc>
        <w:tc>
          <w:tcPr>
            <w:tcW w:w="220" w:type="dxa"/>
            <w:vAlign w:val="bottom"/>
          </w:tcPr>
          <w:p>
            <w:pPr>
              <w:spacing w:after="0"/>
              <w:rPr>
                <w:sz w:val="10"/>
                <w:szCs w:val="10"/>
                <w:color w:val="auto"/>
              </w:rPr>
            </w:pPr>
          </w:p>
        </w:tc>
        <w:tc>
          <w:tcPr>
            <w:tcW w:w="1000" w:type="dxa"/>
            <w:vAlign w:val="bottom"/>
          </w:tcPr>
          <w:p>
            <w:pPr>
              <w:jc w:val="center"/>
              <w:ind w:right="91"/>
              <w:spacing w:after="0" w:line="116" w:lineRule="exact"/>
              <w:rPr>
                <w:sz w:val="20"/>
                <w:szCs w:val="20"/>
                <w:color w:val="auto"/>
              </w:rPr>
            </w:pPr>
            <w:r>
              <w:rPr>
                <w:rFonts w:ascii="Arial" w:cs="Arial" w:eastAsia="Arial" w:hAnsi="Arial"/>
                <w:sz w:val="11"/>
                <w:szCs w:val="11"/>
                <w:b w:val="1"/>
                <w:bCs w:val="1"/>
                <w:color w:val="auto"/>
                <w:w w:val="90"/>
              </w:rPr>
              <w:t>Technology</w:t>
            </w:r>
          </w:p>
        </w:tc>
        <w:tc>
          <w:tcPr>
            <w:tcW w:w="340" w:type="dxa"/>
            <w:vAlign w:val="bottom"/>
          </w:tcPr>
          <w:p>
            <w:pPr>
              <w:spacing w:after="0"/>
              <w:rPr>
                <w:sz w:val="10"/>
                <w:szCs w:val="10"/>
                <w:color w:val="auto"/>
              </w:rPr>
            </w:pPr>
          </w:p>
        </w:tc>
        <w:tc>
          <w:tcPr>
            <w:tcW w:w="960" w:type="dxa"/>
            <w:vAlign w:val="bottom"/>
            <w:vMerge w:val="restart"/>
          </w:tcPr>
          <w:p>
            <w:pPr>
              <w:jc w:val="right"/>
              <w:ind w:right="43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1240" w:type="dxa"/>
            <w:vAlign w:val="bottom"/>
            <w:tcBorders>
              <w:bottom w:val="single" w:sz="8" w:color="auto"/>
            </w:tcBorders>
            <w:gridSpan w:val="2"/>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91"/>
              <w:spacing w:after="0"/>
              <w:rPr>
                <w:sz w:val="20"/>
                <w:szCs w:val="20"/>
                <w:color w:val="auto"/>
              </w:rPr>
            </w:pPr>
            <w:r>
              <w:rPr>
                <w:rFonts w:ascii="Arial" w:cs="Arial" w:eastAsia="Arial" w:hAnsi="Arial"/>
                <w:sz w:val="11"/>
                <w:szCs w:val="11"/>
                <w:b w:val="1"/>
                <w:bCs w:val="1"/>
                <w:color w:val="auto"/>
                <w:w w:val="92"/>
              </w:rPr>
              <w:t>Development</w:t>
            </w: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620" w:type="dxa"/>
            <w:vAlign w:val="bottom"/>
          </w:tcPr>
          <w:p>
            <w:pPr>
              <w:ind w:left="20"/>
              <w:spacing w:after="0"/>
              <w:rPr>
                <w:sz w:val="20"/>
                <w:szCs w:val="20"/>
                <w:color w:val="auto"/>
              </w:rPr>
            </w:pPr>
            <w:r>
              <w:rPr>
                <w:rFonts w:ascii="Arial" w:cs="Arial" w:eastAsia="Arial" w:hAnsi="Arial"/>
                <w:sz w:val="14"/>
                <w:szCs w:val="14"/>
                <w:color w:val="auto"/>
              </w:rPr>
              <w:t>Total Revenue by Geographic Location</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20" w:type="dxa"/>
            <w:vAlign w:val="bottom"/>
          </w:tcPr>
          <w:p>
            <w:pPr>
              <w:ind w:left="260"/>
              <w:spacing w:after="0"/>
              <w:rPr>
                <w:sz w:val="20"/>
                <w:szCs w:val="20"/>
                <w:color w:val="auto"/>
              </w:rPr>
            </w:pPr>
            <w:r>
              <w:rPr>
                <w:rFonts w:ascii="Arial" w:cs="Arial" w:eastAsia="Arial" w:hAnsi="Arial"/>
                <w:sz w:val="14"/>
                <w:szCs w:val="14"/>
                <w:color w:val="auto"/>
              </w:rPr>
              <w:t>United States</w:t>
            </w: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21,782,692</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26,024,674</w:t>
            </w:r>
          </w:p>
        </w:tc>
        <w:tc>
          <w:tcPr>
            <w:tcW w:w="3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47,807,366</w:t>
            </w:r>
          </w:p>
        </w:tc>
        <w:tc>
          <w:tcPr>
            <w:tcW w:w="0" w:type="dxa"/>
            <w:vAlign w:val="bottom"/>
          </w:tcPr>
          <w:p>
            <w:pPr>
              <w:spacing w:after="0"/>
              <w:rPr>
                <w:sz w:val="1"/>
                <w:szCs w:val="1"/>
                <w:color w:val="auto"/>
              </w:rPr>
            </w:pPr>
          </w:p>
        </w:tc>
      </w:tr>
      <w:tr>
        <w:trPr>
          <w:trHeight w:val="212"/>
        </w:trPr>
        <w:tc>
          <w:tcPr>
            <w:tcW w:w="3620" w:type="dxa"/>
            <w:vAlign w:val="bottom"/>
          </w:tcPr>
          <w:p>
            <w:pPr>
              <w:ind w:left="260"/>
              <w:spacing w:after="0"/>
              <w:rPr>
                <w:sz w:val="20"/>
                <w:szCs w:val="20"/>
                <w:color w:val="auto"/>
              </w:rPr>
            </w:pPr>
            <w:r>
              <w:rPr>
                <w:rFonts w:ascii="Arial" w:cs="Arial" w:eastAsia="Arial" w:hAnsi="Arial"/>
                <w:sz w:val="14"/>
                <w:szCs w:val="14"/>
                <w:color w:val="auto"/>
              </w:rPr>
              <w:t>Asia</w:t>
            </w:r>
          </w:p>
        </w:tc>
        <w:tc>
          <w:tcPr>
            <w:tcW w:w="300" w:type="dxa"/>
            <w:vAlign w:val="bottom"/>
          </w:tcPr>
          <w:p>
            <w:pPr>
              <w:spacing w:after="0"/>
              <w:rPr>
                <w:sz w:val="18"/>
                <w:szCs w:val="18"/>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13,669,304</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13,669,304</w:t>
            </w:r>
          </w:p>
        </w:tc>
        <w:tc>
          <w:tcPr>
            <w:tcW w:w="0" w:type="dxa"/>
            <w:vAlign w:val="bottom"/>
          </w:tcPr>
          <w:p>
            <w:pPr>
              <w:spacing w:after="0"/>
              <w:rPr>
                <w:sz w:val="1"/>
                <w:szCs w:val="1"/>
                <w:color w:val="auto"/>
              </w:rPr>
            </w:pPr>
          </w:p>
        </w:tc>
      </w:tr>
      <w:tr>
        <w:trPr>
          <w:trHeight w:val="212"/>
        </w:trPr>
        <w:tc>
          <w:tcPr>
            <w:tcW w:w="3620" w:type="dxa"/>
            <w:vAlign w:val="bottom"/>
          </w:tcPr>
          <w:p>
            <w:pPr>
              <w:ind w:left="260"/>
              <w:spacing w:after="0"/>
              <w:rPr>
                <w:sz w:val="20"/>
                <w:szCs w:val="20"/>
                <w:color w:val="auto"/>
              </w:rPr>
            </w:pPr>
            <w:r>
              <w:rPr>
                <w:rFonts w:ascii="Arial" w:cs="Arial" w:eastAsia="Arial" w:hAnsi="Arial"/>
                <w:sz w:val="14"/>
                <w:szCs w:val="14"/>
                <w:color w:val="auto"/>
              </w:rPr>
              <w:t>Europe</w:t>
            </w:r>
          </w:p>
        </w:tc>
        <w:tc>
          <w:tcPr>
            <w:tcW w:w="300" w:type="dxa"/>
            <w:vAlign w:val="bottom"/>
          </w:tcPr>
          <w:p>
            <w:pPr>
              <w:spacing w:after="0"/>
              <w:rPr>
                <w:sz w:val="18"/>
                <w:szCs w:val="18"/>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7,277,234</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7,277,234</w:t>
            </w:r>
          </w:p>
        </w:tc>
        <w:tc>
          <w:tcPr>
            <w:tcW w:w="0" w:type="dxa"/>
            <w:vAlign w:val="bottom"/>
          </w:tcPr>
          <w:p>
            <w:pPr>
              <w:spacing w:after="0"/>
              <w:rPr>
                <w:sz w:val="1"/>
                <w:szCs w:val="1"/>
                <w:color w:val="auto"/>
              </w:rPr>
            </w:pPr>
          </w:p>
        </w:tc>
      </w:tr>
      <w:tr>
        <w:trPr>
          <w:trHeight w:val="212"/>
        </w:trPr>
        <w:tc>
          <w:tcPr>
            <w:tcW w:w="3620" w:type="dxa"/>
            <w:vAlign w:val="bottom"/>
          </w:tcPr>
          <w:p>
            <w:pPr>
              <w:ind w:left="260"/>
              <w:spacing w:after="0"/>
              <w:rPr>
                <w:sz w:val="20"/>
                <w:szCs w:val="20"/>
                <w:color w:val="auto"/>
              </w:rPr>
            </w:pPr>
            <w:r>
              <w:rPr>
                <w:rFonts w:ascii="Arial" w:cs="Arial" w:eastAsia="Arial" w:hAnsi="Arial"/>
                <w:sz w:val="14"/>
                <w:szCs w:val="14"/>
                <w:color w:val="auto"/>
              </w:rPr>
              <w:t>Canada, Central and South America</w:t>
            </w:r>
          </w:p>
        </w:tc>
        <w:tc>
          <w:tcPr>
            <w:tcW w:w="300" w:type="dxa"/>
            <w:vAlign w:val="bottom"/>
          </w:tcPr>
          <w:p>
            <w:pPr>
              <w:spacing w:after="0"/>
              <w:rPr>
                <w:sz w:val="18"/>
                <w:szCs w:val="18"/>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1,432,082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1,432,082</w:t>
            </w:r>
          </w:p>
        </w:tc>
        <w:tc>
          <w:tcPr>
            <w:tcW w:w="0" w:type="dxa"/>
            <w:vAlign w:val="bottom"/>
          </w:tcPr>
          <w:p>
            <w:pPr>
              <w:spacing w:after="0"/>
              <w:rPr>
                <w:sz w:val="1"/>
                <w:szCs w:val="1"/>
                <w:color w:val="auto"/>
              </w:rPr>
            </w:pPr>
          </w:p>
        </w:tc>
      </w:tr>
      <w:tr>
        <w:trPr>
          <w:trHeight w:val="212"/>
        </w:trPr>
        <w:tc>
          <w:tcPr>
            <w:tcW w:w="3620" w:type="dxa"/>
            <w:vAlign w:val="bottom"/>
          </w:tcPr>
          <w:p>
            <w:pPr>
              <w:ind w:left="260"/>
              <w:spacing w:after="0"/>
              <w:rPr>
                <w:sz w:val="20"/>
                <w:szCs w:val="20"/>
                <w:color w:val="auto"/>
              </w:rPr>
            </w:pPr>
            <w:r>
              <w:rPr>
                <w:rFonts w:ascii="Arial" w:cs="Arial" w:eastAsia="Arial" w:hAnsi="Arial"/>
                <w:sz w:val="14"/>
                <w:szCs w:val="14"/>
                <w:color w:val="auto"/>
              </w:rPr>
              <w:t>All Others</w:t>
            </w:r>
          </w:p>
        </w:tc>
        <w:tc>
          <w:tcPr>
            <w:tcW w:w="300" w:type="dxa"/>
            <w:vAlign w:val="bottom"/>
          </w:tcPr>
          <w:p>
            <w:pPr>
              <w:spacing w:after="0"/>
              <w:rPr>
                <w:sz w:val="18"/>
                <w:szCs w:val="18"/>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329,729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329,729</w:t>
            </w:r>
          </w:p>
        </w:tc>
        <w:tc>
          <w:tcPr>
            <w:tcW w:w="0" w:type="dxa"/>
            <w:vAlign w:val="bottom"/>
          </w:tcPr>
          <w:p>
            <w:pPr>
              <w:spacing w:after="0"/>
              <w:rPr>
                <w:sz w:val="1"/>
                <w:szCs w:val="1"/>
                <w:color w:val="auto"/>
              </w:rPr>
            </w:pPr>
          </w:p>
        </w:tc>
      </w:tr>
      <w:tr>
        <w:trPr>
          <w:trHeight w:val="22"/>
        </w:trPr>
        <w:tc>
          <w:tcPr>
            <w:tcW w:w="3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360"/>
              <w:spacing w:after="0"/>
              <w:rPr>
                <w:sz w:val="20"/>
                <w:szCs w:val="20"/>
                <w:color w:val="auto"/>
              </w:rPr>
            </w:pPr>
            <w:r>
              <w:rPr>
                <w:rFonts w:ascii="Arial" w:cs="Arial" w:eastAsia="Arial" w:hAnsi="Arial"/>
                <w:sz w:val="14"/>
                <w:szCs w:val="14"/>
                <w:color w:val="auto"/>
              </w:rPr>
              <w:t>Total</w:t>
            </w: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44,491,041</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26,024,674</w:t>
            </w:r>
          </w:p>
        </w:tc>
        <w:tc>
          <w:tcPr>
            <w:tcW w:w="3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70,515,715</w:t>
            </w:r>
          </w:p>
        </w:tc>
        <w:tc>
          <w:tcPr>
            <w:tcW w:w="0" w:type="dxa"/>
            <w:vAlign w:val="bottom"/>
          </w:tcPr>
          <w:p>
            <w:pPr>
              <w:spacing w:after="0"/>
              <w:rPr>
                <w:sz w:val="1"/>
                <w:szCs w:val="1"/>
                <w:color w:val="auto"/>
              </w:rPr>
            </w:pPr>
          </w:p>
        </w:tc>
      </w:tr>
      <w:tr>
        <w:trPr>
          <w:trHeight w:val="22"/>
        </w:trPr>
        <w:tc>
          <w:tcPr>
            <w:tcW w:w="3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3620" w:type="dxa"/>
            <w:vAlign w:val="bottom"/>
          </w:tcPr>
          <w:p>
            <w:pPr>
              <w:ind w:left="20"/>
              <w:spacing w:after="0"/>
              <w:rPr>
                <w:sz w:val="20"/>
                <w:szCs w:val="20"/>
                <w:color w:val="auto"/>
              </w:rPr>
            </w:pPr>
            <w:r>
              <w:rPr>
                <w:rFonts w:ascii="Arial" w:cs="Arial" w:eastAsia="Arial" w:hAnsi="Arial"/>
                <w:sz w:val="14"/>
                <w:szCs w:val="14"/>
                <w:color w:val="auto"/>
              </w:rPr>
              <w:t>Total Revenue by Major Customer Type</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620" w:type="dxa"/>
            <w:vAlign w:val="bottom"/>
          </w:tcPr>
          <w:p>
            <w:pPr>
              <w:ind w:left="260"/>
              <w:spacing w:after="0"/>
              <w:rPr>
                <w:sz w:val="20"/>
                <w:szCs w:val="20"/>
                <w:color w:val="auto"/>
              </w:rPr>
            </w:pPr>
            <w:r>
              <w:rPr>
                <w:rFonts w:ascii="Arial" w:cs="Arial" w:eastAsia="Arial" w:hAnsi="Arial"/>
                <w:sz w:val="14"/>
                <w:szCs w:val="14"/>
                <w:color w:val="auto"/>
              </w:rPr>
              <w:t>Sales to the U.S. government</w:t>
            </w: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2,601,069</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25,377,961</w:t>
            </w:r>
          </w:p>
        </w:tc>
        <w:tc>
          <w:tcPr>
            <w:tcW w:w="3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27,979,030</w:t>
            </w:r>
          </w:p>
        </w:tc>
        <w:tc>
          <w:tcPr>
            <w:tcW w:w="0" w:type="dxa"/>
            <w:vAlign w:val="bottom"/>
          </w:tcPr>
          <w:p>
            <w:pPr>
              <w:spacing w:after="0"/>
              <w:rPr>
                <w:sz w:val="1"/>
                <w:szCs w:val="1"/>
                <w:color w:val="auto"/>
              </w:rPr>
            </w:pPr>
          </w:p>
        </w:tc>
      </w:tr>
      <w:tr>
        <w:trPr>
          <w:trHeight w:val="212"/>
        </w:trPr>
        <w:tc>
          <w:tcPr>
            <w:tcW w:w="3620" w:type="dxa"/>
            <w:vAlign w:val="bottom"/>
          </w:tcPr>
          <w:p>
            <w:pPr>
              <w:ind w:left="260"/>
              <w:spacing w:after="0"/>
              <w:rPr>
                <w:sz w:val="20"/>
                <w:szCs w:val="20"/>
                <w:color w:val="auto"/>
              </w:rPr>
            </w:pPr>
            <w:r>
              <w:rPr>
                <w:rFonts w:ascii="Arial" w:cs="Arial" w:eastAsia="Arial" w:hAnsi="Arial"/>
                <w:sz w:val="14"/>
                <w:szCs w:val="14"/>
                <w:color w:val="auto"/>
              </w:rPr>
              <w:t>U.S. direct commercial sales and other</w:t>
            </w:r>
          </w:p>
        </w:tc>
        <w:tc>
          <w:tcPr>
            <w:tcW w:w="300" w:type="dxa"/>
            <w:vAlign w:val="bottom"/>
          </w:tcPr>
          <w:p>
            <w:pPr>
              <w:spacing w:after="0"/>
              <w:rPr>
                <w:sz w:val="18"/>
                <w:szCs w:val="18"/>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19,181,625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646,713</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19,828,338</w:t>
            </w:r>
          </w:p>
        </w:tc>
        <w:tc>
          <w:tcPr>
            <w:tcW w:w="0" w:type="dxa"/>
            <w:vAlign w:val="bottom"/>
          </w:tcPr>
          <w:p>
            <w:pPr>
              <w:spacing w:after="0"/>
              <w:rPr>
                <w:sz w:val="1"/>
                <w:szCs w:val="1"/>
                <w:color w:val="auto"/>
              </w:rPr>
            </w:pPr>
          </w:p>
        </w:tc>
      </w:tr>
      <w:tr>
        <w:trPr>
          <w:trHeight w:val="212"/>
        </w:trPr>
        <w:tc>
          <w:tcPr>
            <w:tcW w:w="3620" w:type="dxa"/>
            <w:vAlign w:val="bottom"/>
          </w:tcPr>
          <w:p>
            <w:pPr>
              <w:ind w:left="260"/>
              <w:spacing w:after="0"/>
              <w:rPr>
                <w:sz w:val="20"/>
                <w:szCs w:val="20"/>
                <w:color w:val="auto"/>
              </w:rPr>
            </w:pPr>
            <w:r>
              <w:rPr>
                <w:rFonts w:ascii="Arial" w:cs="Arial" w:eastAsia="Arial" w:hAnsi="Arial"/>
                <w:sz w:val="14"/>
                <w:szCs w:val="14"/>
                <w:color w:val="auto"/>
              </w:rPr>
              <w:t>Foreign commercial sales &amp; other</w:t>
            </w:r>
          </w:p>
        </w:tc>
        <w:tc>
          <w:tcPr>
            <w:tcW w:w="300" w:type="dxa"/>
            <w:vAlign w:val="bottom"/>
          </w:tcPr>
          <w:p>
            <w:pPr>
              <w:spacing w:after="0"/>
              <w:rPr>
                <w:sz w:val="18"/>
                <w:szCs w:val="18"/>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22,708,347</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22,708,347</w:t>
            </w:r>
          </w:p>
        </w:tc>
        <w:tc>
          <w:tcPr>
            <w:tcW w:w="0" w:type="dxa"/>
            <w:vAlign w:val="bottom"/>
          </w:tcPr>
          <w:p>
            <w:pPr>
              <w:spacing w:after="0"/>
              <w:rPr>
                <w:sz w:val="1"/>
                <w:szCs w:val="1"/>
                <w:color w:val="auto"/>
              </w:rPr>
            </w:pPr>
          </w:p>
        </w:tc>
      </w:tr>
      <w:tr>
        <w:trPr>
          <w:trHeight w:val="22"/>
        </w:trPr>
        <w:tc>
          <w:tcPr>
            <w:tcW w:w="3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360"/>
              <w:spacing w:after="0"/>
              <w:rPr>
                <w:sz w:val="20"/>
                <w:szCs w:val="20"/>
                <w:color w:val="auto"/>
              </w:rPr>
            </w:pPr>
            <w:r>
              <w:rPr>
                <w:rFonts w:ascii="Arial" w:cs="Arial" w:eastAsia="Arial" w:hAnsi="Arial"/>
                <w:sz w:val="14"/>
                <w:szCs w:val="14"/>
                <w:color w:val="auto"/>
              </w:rPr>
              <w:t>Total</w:t>
            </w: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44,491,041</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26,024,674</w:t>
            </w:r>
          </w:p>
        </w:tc>
        <w:tc>
          <w:tcPr>
            <w:tcW w:w="3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70,515,715</w:t>
            </w:r>
          </w:p>
        </w:tc>
        <w:tc>
          <w:tcPr>
            <w:tcW w:w="0" w:type="dxa"/>
            <w:vAlign w:val="bottom"/>
          </w:tcPr>
          <w:p>
            <w:pPr>
              <w:spacing w:after="0"/>
              <w:rPr>
                <w:sz w:val="1"/>
                <w:szCs w:val="1"/>
                <w:color w:val="auto"/>
              </w:rPr>
            </w:pPr>
          </w:p>
        </w:tc>
      </w:tr>
      <w:tr>
        <w:trPr>
          <w:trHeight w:val="22"/>
        </w:trPr>
        <w:tc>
          <w:tcPr>
            <w:tcW w:w="3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3620" w:type="dxa"/>
            <w:vAlign w:val="bottom"/>
          </w:tcPr>
          <w:p>
            <w:pPr>
              <w:ind w:left="20"/>
              <w:spacing w:after="0"/>
              <w:rPr>
                <w:sz w:val="20"/>
                <w:szCs w:val="20"/>
                <w:color w:val="auto"/>
              </w:rPr>
            </w:pPr>
            <w:r>
              <w:rPr>
                <w:rFonts w:ascii="Arial" w:cs="Arial" w:eastAsia="Arial" w:hAnsi="Arial"/>
                <w:sz w:val="14"/>
                <w:szCs w:val="14"/>
                <w:color w:val="auto"/>
              </w:rPr>
              <w:t>Total Revenue by Contract Type</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620" w:type="dxa"/>
            <w:vAlign w:val="bottom"/>
          </w:tcPr>
          <w:p>
            <w:pPr>
              <w:ind w:left="260"/>
              <w:spacing w:after="0"/>
              <w:rPr>
                <w:sz w:val="20"/>
                <w:szCs w:val="20"/>
                <w:color w:val="auto"/>
              </w:rPr>
            </w:pPr>
            <w:r>
              <w:rPr>
                <w:rFonts w:ascii="Arial" w:cs="Arial" w:eastAsia="Arial" w:hAnsi="Arial"/>
                <w:sz w:val="14"/>
                <w:szCs w:val="14"/>
                <w:color w:val="auto"/>
              </w:rPr>
              <w:t>Fixed-price contracts</w:t>
            </w: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44,491,041</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14,111,092</w:t>
            </w:r>
          </w:p>
        </w:tc>
        <w:tc>
          <w:tcPr>
            <w:tcW w:w="3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58,602,133</w:t>
            </w:r>
          </w:p>
        </w:tc>
        <w:tc>
          <w:tcPr>
            <w:tcW w:w="0" w:type="dxa"/>
            <w:vAlign w:val="bottom"/>
          </w:tcPr>
          <w:p>
            <w:pPr>
              <w:spacing w:after="0"/>
              <w:rPr>
                <w:sz w:val="1"/>
                <w:szCs w:val="1"/>
                <w:color w:val="auto"/>
              </w:rPr>
            </w:pPr>
          </w:p>
        </w:tc>
      </w:tr>
      <w:tr>
        <w:trPr>
          <w:trHeight w:val="212"/>
        </w:trPr>
        <w:tc>
          <w:tcPr>
            <w:tcW w:w="3620" w:type="dxa"/>
            <w:vAlign w:val="bottom"/>
          </w:tcPr>
          <w:p>
            <w:pPr>
              <w:ind w:left="260"/>
              <w:spacing w:after="0"/>
              <w:rPr>
                <w:sz w:val="20"/>
                <w:szCs w:val="20"/>
                <w:color w:val="auto"/>
              </w:rPr>
            </w:pPr>
            <w:r>
              <w:rPr>
                <w:rFonts w:ascii="Arial" w:cs="Arial" w:eastAsia="Arial" w:hAnsi="Arial"/>
                <w:sz w:val="14"/>
                <w:szCs w:val="14"/>
                <w:color w:val="auto"/>
              </w:rPr>
              <w:t>Cost-type contracts</w:t>
            </w:r>
          </w:p>
        </w:tc>
        <w:tc>
          <w:tcPr>
            <w:tcW w:w="300" w:type="dxa"/>
            <w:vAlign w:val="bottom"/>
          </w:tcPr>
          <w:p>
            <w:pPr>
              <w:spacing w:after="0"/>
              <w:rPr>
                <w:sz w:val="18"/>
                <w:szCs w:val="18"/>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11,913,582</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11,913,582</w:t>
            </w:r>
          </w:p>
        </w:tc>
        <w:tc>
          <w:tcPr>
            <w:tcW w:w="0" w:type="dxa"/>
            <w:vAlign w:val="bottom"/>
          </w:tcPr>
          <w:p>
            <w:pPr>
              <w:spacing w:after="0"/>
              <w:rPr>
                <w:sz w:val="1"/>
                <w:szCs w:val="1"/>
                <w:color w:val="auto"/>
              </w:rPr>
            </w:pPr>
          </w:p>
        </w:tc>
      </w:tr>
      <w:tr>
        <w:trPr>
          <w:trHeight w:val="22"/>
        </w:trPr>
        <w:tc>
          <w:tcPr>
            <w:tcW w:w="3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320"/>
              <w:spacing w:after="0"/>
              <w:rPr>
                <w:sz w:val="20"/>
                <w:szCs w:val="20"/>
                <w:color w:val="auto"/>
              </w:rPr>
            </w:pPr>
            <w:r>
              <w:rPr>
                <w:rFonts w:ascii="Arial" w:cs="Arial" w:eastAsia="Arial" w:hAnsi="Arial"/>
                <w:sz w:val="14"/>
                <w:szCs w:val="14"/>
                <w:color w:val="auto"/>
              </w:rPr>
              <w:t>Total</w:t>
            </w: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44,491,041</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26,024,674</w:t>
            </w:r>
          </w:p>
        </w:tc>
        <w:tc>
          <w:tcPr>
            <w:tcW w:w="3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70,515,715</w:t>
            </w:r>
          </w:p>
        </w:tc>
        <w:tc>
          <w:tcPr>
            <w:tcW w:w="0" w:type="dxa"/>
            <w:vAlign w:val="bottom"/>
          </w:tcPr>
          <w:p>
            <w:pPr>
              <w:spacing w:after="0"/>
              <w:rPr>
                <w:sz w:val="1"/>
                <w:szCs w:val="1"/>
                <w:color w:val="auto"/>
              </w:rPr>
            </w:pPr>
          </w:p>
        </w:tc>
      </w:tr>
      <w:tr>
        <w:trPr>
          <w:trHeight w:val="22"/>
        </w:trPr>
        <w:tc>
          <w:tcPr>
            <w:tcW w:w="3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3620" w:type="dxa"/>
            <w:vAlign w:val="bottom"/>
          </w:tcPr>
          <w:p>
            <w:pPr>
              <w:ind w:left="20"/>
              <w:spacing w:after="0"/>
              <w:rPr>
                <w:sz w:val="20"/>
                <w:szCs w:val="20"/>
                <w:color w:val="auto"/>
              </w:rPr>
            </w:pPr>
            <w:r>
              <w:rPr>
                <w:rFonts w:ascii="Arial" w:cs="Arial" w:eastAsia="Arial" w:hAnsi="Arial"/>
                <w:sz w:val="14"/>
                <w:szCs w:val="14"/>
                <w:color w:val="auto"/>
              </w:rPr>
              <w:t>Total Revenue by Timing of Recognition</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620" w:type="dxa"/>
            <w:vAlign w:val="bottom"/>
          </w:tcPr>
          <w:p>
            <w:pPr>
              <w:ind w:left="260"/>
              <w:spacing w:after="0"/>
              <w:rPr>
                <w:sz w:val="20"/>
                <w:szCs w:val="20"/>
                <w:color w:val="auto"/>
              </w:rPr>
            </w:pPr>
            <w:r>
              <w:rPr>
                <w:rFonts w:ascii="Arial" w:cs="Arial" w:eastAsia="Arial" w:hAnsi="Arial"/>
                <w:sz w:val="14"/>
                <w:szCs w:val="14"/>
                <w:color w:val="auto"/>
              </w:rPr>
              <w:t>Goods transferred at a point in time</w:t>
            </w: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43,129,361</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43,129,361</w:t>
            </w:r>
          </w:p>
        </w:tc>
        <w:tc>
          <w:tcPr>
            <w:tcW w:w="0" w:type="dxa"/>
            <w:vAlign w:val="bottom"/>
          </w:tcPr>
          <w:p>
            <w:pPr>
              <w:spacing w:after="0"/>
              <w:rPr>
                <w:sz w:val="1"/>
                <w:szCs w:val="1"/>
                <w:color w:val="auto"/>
              </w:rPr>
            </w:pPr>
          </w:p>
        </w:tc>
      </w:tr>
      <w:tr>
        <w:trPr>
          <w:trHeight w:val="212"/>
        </w:trPr>
        <w:tc>
          <w:tcPr>
            <w:tcW w:w="3620" w:type="dxa"/>
            <w:vAlign w:val="bottom"/>
          </w:tcPr>
          <w:p>
            <w:pPr>
              <w:ind w:left="260"/>
              <w:spacing w:after="0"/>
              <w:rPr>
                <w:sz w:val="20"/>
                <w:szCs w:val="20"/>
                <w:color w:val="auto"/>
              </w:rPr>
            </w:pPr>
            <w:r>
              <w:rPr>
                <w:rFonts w:ascii="Arial" w:cs="Arial" w:eastAsia="Arial" w:hAnsi="Arial"/>
                <w:sz w:val="14"/>
                <w:szCs w:val="14"/>
                <w:color w:val="auto"/>
              </w:rPr>
              <w:t>Goods/services transferred over time</w:t>
            </w:r>
          </w:p>
        </w:tc>
        <w:tc>
          <w:tcPr>
            <w:tcW w:w="300" w:type="dxa"/>
            <w:vAlign w:val="bottom"/>
          </w:tcPr>
          <w:p>
            <w:pPr>
              <w:spacing w:after="0"/>
              <w:rPr>
                <w:sz w:val="18"/>
                <w:szCs w:val="18"/>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1,361,680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26,024,674</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27,386,354</w:t>
            </w:r>
          </w:p>
        </w:tc>
        <w:tc>
          <w:tcPr>
            <w:tcW w:w="0" w:type="dxa"/>
            <w:vAlign w:val="bottom"/>
          </w:tcPr>
          <w:p>
            <w:pPr>
              <w:spacing w:after="0"/>
              <w:rPr>
                <w:sz w:val="1"/>
                <w:szCs w:val="1"/>
                <w:color w:val="auto"/>
              </w:rPr>
            </w:pPr>
          </w:p>
        </w:tc>
      </w:tr>
      <w:tr>
        <w:trPr>
          <w:trHeight w:val="22"/>
        </w:trPr>
        <w:tc>
          <w:tcPr>
            <w:tcW w:w="3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360"/>
              <w:spacing w:after="0"/>
              <w:rPr>
                <w:sz w:val="20"/>
                <w:szCs w:val="20"/>
                <w:color w:val="auto"/>
              </w:rPr>
            </w:pPr>
            <w:r>
              <w:rPr>
                <w:rFonts w:ascii="Arial" w:cs="Arial" w:eastAsia="Arial" w:hAnsi="Arial"/>
                <w:sz w:val="14"/>
                <w:szCs w:val="14"/>
                <w:color w:val="auto"/>
              </w:rPr>
              <w:t>Total</w:t>
            </w: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44,491,041</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26,024,674</w:t>
            </w:r>
          </w:p>
        </w:tc>
        <w:tc>
          <w:tcPr>
            <w:tcW w:w="3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70,515,715</w:t>
            </w:r>
          </w:p>
        </w:tc>
        <w:tc>
          <w:tcPr>
            <w:tcW w:w="0" w:type="dxa"/>
            <w:vAlign w:val="bottom"/>
          </w:tcPr>
          <w:p>
            <w:pPr>
              <w:spacing w:after="0"/>
              <w:rPr>
                <w:sz w:val="1"/>
                <w:szCs w:val="1"/>
                <w:color w:val="auto"/>
              </w:rPr>
            </w:pPr>
          </w:p>
        </w:tc>
      </w:tr>
      <w:tr>
        <w:trPr>
          <w:trHeight w:val="22"/>
        </w:trPr>
        <w:tc>
          <w:tcPr>
            <w:tcW w:w="3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2"/>
        </w:trPr>
        <w:tc>
          <w:tcPr>
            <w:tcW w:w="3620" w:type="dxa"/>
            <w:vAlign w:val="bottom"/>
          </w:tcPr>
          <w:p>
            <w:pPr>
              <w:ind w:left="20"/>
              <w:spacing w:after="0"/>
              <w:rPr>
                <w:sz w:val="20"/>
                <w:szCs w:val="20"/>
                <w:color w:val="auto"/>
              </w:rPr>
            </w:pPr>
            <w:r>
              <w:rPr>
                <w:rFonts w:ascii="Arial" w:cs="Arial" w:eastAsia="Arial" w:hAnsi="Arial"/>
                <w:sz w:val="14"/>
                <w:szCs w:val="14"/>
                <w:color w:val="auto"/>
              </w:rPr>
              <w:t>Total Revenue by Major Products/Services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620" w:type="dxa"/>
            <w:vAlign w:val="bottom"/>
          </w:tcPr>
          <w:p>
            <w:pPr>
              <w:ind w:left="260"/>
              <w:spacing w:after="0"/>
              <w:rPr>
                <w:sz w:val="20"/>
                <w:szCs w:val="20"/>
                <w:color w:val="auto"/>
              </w:rPr>
            </w:pPr>
            <w:r>
              <w:rPr>
                <w:rFonts w:ascii="Arial" w:cs="Arial" w:eastAsia="Arial" w:hAnsi="Arial"/>
                <w:sz w:val="14"/>
                <w:szCs w:val="14"/>
                <w:color w:val="auto"/>
              </w:rPr>
              <w:t>Technology development</w:t>
            </w: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26,024,674</w:t>
            </w:r>
          </w:p>
        </w:tc>
        <w:tc>
          <w:tcPr>
            <w:tcW w:w="3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26,024,674</w:t>
            </w:r>
          </w:p>
        </w:tc>
        <w:tc>
          <w:tcPr>
            <w:tcW w:w="0" w:type="dxa"/>
            <w:vAlign w:val="bottom"/>
          </w:tcPr>
          <w:p>
            <w:pPr>
              <w:spacing w:after="0"/>
              <w:rPr>
                <w:sz w:val="1"/>
                <w:szCs w:val="1"/>
                <w:color w:val="auto"/>
              </w:rPr>
            </w:pPr>
          </w:p>
        </w:tc>
      </w:tr>
      <w:tr>
        <w:trPr>
          <w:trHeight w:val="212"/>
        </w:trPr>
        <w:tc>
          <w:tcPr>
            <w:tcW w:w="3620" w:type="dxa"/>
            <w:vAlign w:val="bottom"/>
          </w:tcPr>
          <w:p>
            <w:pPr>
              <w:ind w:left="260"/>
              <w:spacing w:after="0"/>
              <w:rPr>
                <w:sz w:val="20"/>
                <w:szCs w:val="20"/>
                <w:color w:val="auto"/>
              </w:rPr>
            </w:pPr>
            <w:r>
              <w:rPr>
                <w:rFonts w:ascii="Arial" w:cs="Arial" w:eastAsia="Arial" w:hAnsi="Arial"/>
                <w:sz w:val="14"/>
                <w:szCs w:val="14"/>
                <w:color w:val="auto"/>
              </w:rPr>
              <w:t>Test, measurement and sensing systems</w:t>
            </w:r>
          </w:p>
        </w:tc>
        <w:tc>
          <w:tcPr>
            <w:tcW w:w="300" w:type="dxa"/>
            <w:vAlign w:val="bottom"/>
          </w:tcPr>
          <w:p>
            <w:pPr>
              <w:spacing w:after="0"/>
              <w:rPr>
                <w:sz w:val="18"/>
                <w:szCs w:val="18"/>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41,787,613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41,787,613</w:t>
            </w:r>
          </w:p>
        </w:tc>
        <w:tc>
          <w:tcPr>
            <w:tcW w:w="0" w:type="dxa"/>
            <w:vAlign w:val="bottom"/>
          </w:tcPr>
          <w:p>
            <w:pPr>
              <w:spacing w:after="0"/>
              <w:rPr>
                <w:sz w:val="1"/>
                <w:szCs w:val="1"/>
                <w:color w:val="auto"/>
              </w:rPr>
            </w:pPr>
          </w:p>
        </w:tc>
      </w:tr>
      <w:tr>
        <w:trPr>
          <w:trHeight w:val="212"/>
        </w:trPr>
        <w:tc>
          <w:tcPr>
            <w:tcW w:w="3620" w:type="dxa"/>
            <w:vAlign w:val="bottom"/>
          </w:tcPr>
          <w:p>
            <w:pPr>
              <w:ind w:left="26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8"/>
                <w:szCs w:val="18"/>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2,703,428</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2,703,428</w:t>
            </w:r>
          </w:p>
        </w:tc>
        <w:tc>
          <w:tcPr>
            <w:tcW w:w="0" w:type="dxa"/>
            <w:vAlign w:val="bottom"/>
          </w:tcPr>
          <w:p>
            <w:pPr>
              <w:spacing w:after="0"/>
              <w:rPr>
                <w:sz w:val="1"/>
                <w:szCs w:val="1"/>
                <w:color w:val="auto"/>
              </w:rPr>
            </w:pPr>
          </w:p>
        </w:tc>
      </w:tr>
      <w:tr>
        <w:trPr>
          <w:trHeight w:val="22"/>
        </w:trPr>
        <w:tc>
          <w:tcPr>
            <w:tcW w:w="3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360"/>
              <w:spacing w:after="0"/>
              <w:rPr>
                <w:sz w:val="20"/>
                <w:szCs w:val="20"/>
                <w:color w:val="auto"/>
              </w:rPr>
            </w:pPr>
            <w:r>
              <w:rPr>
                <w:rFonts w:ascii="Arial" w:cs="Arial" w:eastAsia="Arial" w:hAnsi="Arial"/>
                <w:sz w:val="14"/>
                <w:szCs w:val="14"/>
                <w:color w:val="auto"/>
              </w:rPr>
              <w:t>Total</w:t>
            </w:r>
          </w:p>
        </w:tc>
        <w:tc>
          <w:tcPr>
            <w:tcW w:w="3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44,491,041</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26,024,674</w:t>
            </w:r>
          </w:p>
        </w:tc>
        <w:tc>
          <w:tcPr>
            <w:tcW w:w="3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70,515,715</w:t>
            </w:r>
          </w:p>
        </w:tc>
        <w:tc>
          <w:tcPr>
            <w:tcW w:w="0" w:type="dxa"/>
            <w:vAlign w:val="bottom"/>
          </w:tcPr>
          <w:p>
            <w:pPr>
              <w:spacing w:after="0"/>
              <w:rPr>
                <w:sz w:val="1"/>
                <w:szCs w:val="1"/>
                <w:color w:val="auto"/>
              </w:rPr>
            </w:pPr>
          </w:p>
        </w:tc>
      </w:tr>
      <w:tr>
        <w:trPr>
          <w:trHeight w:val="22"/>
        </w:trPr>
        <w:tc>
          <w:tcPr>
            <w:tcW w:w="3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-4641215</wp:posOffset>
            </wp:positionV>
            <wp:extent cx="7161530" cy="141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-4364990</wp:posOffset>
            </wp:positionV>
            <wp:extent cx="7161530" cy="134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-4095750</wp:posOffset>
            </wp:positionV>
            <wp:extent cx="7161530" cy="134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-3825875</wp:posOffset>
            </wp:positionV>
            <wp:extent cx="7161530" cy="147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1479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-3529965</wp:posOffset>
            </wp:positionV>
            <wp:extent cx="7161530" cy="134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-3260090</wp:posOffset>
            </wp:positionV>
            <wp:extent cx="7161530" cy="134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-2990850</wp:posOffset>
            </wp:positionV>
            <wp:extent cx="7161530" cy="134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-2707640</wp:posOffset>
            </wp:positionV>
            <wp:extent cx="7161530" cy="147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1479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-2425065</wp:posOffset>
            </wp:positionV>
            <wp:extent cx="7161530" cy="134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-2155190</wp:posOffset>
            </wp:positionV>
            <wp:extent cx="7161530" cy="134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-1872615</wp:posOffset>
            </wp:positionV>
            <wp:extent cx="7161530" cy="147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1479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-1589405</wp:posOffset>
            </wp:positionV>
            <wp:extent cx="7161530" cy="134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-1320165</wp:posOffset>
            </wp:positionV>
            <wp:extent cx="7161530" cy="134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-1036955</wp:posOffset>
            </wp:positionV>
            <wp:extent cx="7161530" cy="175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1752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-699770</wp:posOffset>
            </wp:positionV>
            <wp:extent cx="7161530" cy="134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-430530</wp:posOffset>
            </wp:positionV>
            <wp:extent cx="7161530" cy="134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-161290</wp:posOffset>
            </wp:positionV>
            <wp:extent cx="7161530" cy="147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147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1720"/>
        <w:spacing w:after="0"/>
        <w:rPr>
          <w:sz w:val="20"/>
          <w:szCs w:val="20"/>
          <w:color w:val="auto"/>
        </w:rPr>
      </w:pPr>
      <w:r>
        <w:rPr>
          <w:rFonts w:ascii="Arial" w:cs="Arial" w:eastAsia="Arial" w:hAnsi="Arial"/>
          <w:sz w:val="11"/>
          <w:szCs w:val="11"/>
          <w:b w:val="1"/>
          <w:bCs w:val="1"/>
          <w:color w:val="auto"/>
        </w:rPr>
        <w:t>2018</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12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1"/>
                <w:szCs w:val="11"/>
                <w:b w:val="1"/>
                <w:bCs w:val="1"/>
                <w:color w:val="auto"/>
                <w:w w:val="92"/>
              </w:rPr>
              <w:t>Products and Licensing</w:t>
            </w: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231"/>
              <w:spacing w:after="0" w:line="120" w:lineRule="exact"/>
              <w:rPr>
                <w:sz w:val="20"/>
                <w:szCs w:val="20"/>
                <w:color w:val="auto"/>
              </w:rPr>
            </w:pPr>
            <w:r>
              <w:rPr>
                <w:rFonts w:ascii="Arial" w:cs="Arial" w:eastAsia="Arial" w:hAnsi="Arial"/>
                <w:sz w:val="11"/>
                <w:szCs w:val="11"/>
                <w:b w:val="1"/>
                <w:bCs w:val="1"/>
                <w:color w:val="auto"/>
              </w:rPr>
              <w:t>Technology</w:t>
            </w:r>
          </w:p>
        </w:tc>
        <w:tc>
          <w:tcPr>
            <w:tcW w:w="3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41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1"/>
        </w:trPr>
        <w:tc>
          <w:tcPr>
            <w:tcW w:w="1200" w:type="dxa"/>
            <w:vAlign w:val="bottom"/>
            <w:tcBorders>
              <w:bottom w:val="single" w:sz="8" w:color="auto"/>
            </w:tcBorders>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71"/>
              <w:spacing w:after="0"/>
              <w:rPr>
                <w:sz w:val="20"/>
                <w:szCs w:val="20"/>
                <w:color w:val="auto"/>
              </w:rPr>
            </w:pPr>
            <w:r>
              <w:rPr>
                <w:rFonts w:ascii="Arial" w:cs="Arial" w:eastAsia="Arial" w:hAnsi="Arial"/>
                <w:sz w:val="11"/>
                <w:szCs w:val="11"/>
                <w:b w:val="1"/>
                <w:bCs w:val="1"/>
                <w:color w:val="auto"/>
              </w:rPr>
              <w:t>Development</w:t>
            </w: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98"/>
        </w:trPr>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11,585,296</w:t>
            </w:r>
          </w:p>
        </w:tc>
        <w:tc>
          <w:tcPr>
            <w:tcW w:w="2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20,967,556</w:t>
            </w:r>
          </w:p>
        </w:tc>
        <w:tc>
          <w:tcPr>
            <w:tcW w:w="3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32,552,852</w:t>
            </w:r>
          </w:p>
        </w:tc>
        <w:tc>
          <w:tcPr>
            <w:tcW w:w="0" w:type="dxa"/>
            <w:vAlign w:val="bottom"/>
          </w:tcPr>
          <w:p>
            <w:pPr>
              <w:spacing w:after="0"/>
              <w:rPr>
                <w:sz w:val="1"/>
                <w:szCs w:val="1"/>
                <w:color w:val="auto"/>
              </w:rPr>
            </w:pPr>
          </w:p>
        </w:tc>
      </w:tr>
      <w:tr>
        <w:trPr>
          <w:trHeight w:val="212"/>
        </w:trPr>
        <w:tc>
          <w:tcPr>
            <w:tcW w:w="280" w:type="dxa"/>
            <w:vAlign w:val="bottom"/>
          </w:tcPr>
          <w:p>
            <w:pPr>
              <w:spacing w:after="0"/>
              <w:rPr>
                <w:sz w:val="18"/>
                <w:szCs w:val="18"/>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5,977,563</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5,977,563</w:t>
            </w:r>
          </w:p>
        </w:tc>
        <w:tc>
          <w:tcPr>
            <w:tcW w:w="0" w:type="dxa"/>
            <w:vAlign w:val="bottom"/>
          </w:tcPr>
          <w:p>
            <w:pPr>
              <w:spacing w:after="0"/>
              <w:rPr>
                <w:sz w:val="1"/>
                <w:szCs w:val="1"/>
                <w:color w:val="auto"/>
              </w:rPr>
            </w:pPr>
          </w:p>
        </w:tc>
      </w:tr>
      <w:tr>
        <w:trPr>
          <w:trHeight w:val="212"/>
        </w:trPr>
        <w:tc>
          <w:tcPr>
            <w:tcW w:w="280" w:type="dxa"/>
            <w:vAlign w:val="bottom"/>
          </w:tcPr>
          <w:p>
            <w:pPr>
              <w:spacing w:after="0"/>
              <w:rPr>
                <w:sz w:val="18"/>
                <w:szCs w:val="18"/>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3,873,161</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3,873,161</w:t>
            </w:r>
          </w:p>
        </w:tc>
        <w:tc>
          <w:tcPr>
            <w:tcW w:w="0" w:type="dxa"/>
            <w:vAlign w:val="bottom"/>
          </w:tcPr>
          <w:p>
            <w:pPr>
              <w:spacing w:after="0"/>
              <w:rPr>
                <w:sz w:val="1"/>
                <w:szCs w:val="1"/>
                <w:color w:val="auto"/>
              </w:rPr>
            </w:pPr>
          </w:p>
        </w:tc>
      </w:tr>
      <w:tr>
        <w:trPr>
          <w:trHeight w:val="212"/>
        </w:trPr>
        <w:tc>
          <w:tcPr>
            <w:tcW w:w="280" w:type="dxa"/>
            <w:vAlign w:val="bottom"/>
          </w:tcPr>
          <w:p>
            <w:pPr>
              <w:spacing w:after="0"/>
              <w:rPr>
                <w:sz w:val="18"/>
                <w:szCs w:val="18"/>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382,797</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382,797</w:t>
            </w:r>
          </w:p>
        </w:tc>
        <w:tc>
          <w:tcPr>
            <w:tcW w:w="0" w:type="dxa"/>
            <w:vAlign w:val="bottom"/>
          </w:tcPr>
          <w:p>
            <w:pPr>
              <w:spacing w:after="0"/>
              <w:rPr>
                <w:sz w:val="1"/>
                <w:szCs w:val="1"/>
                <w:color w:val="auto"/>
              </w:rPr>
            </w:pPr>
          </w:p>
        </w:tc>
      </w:tr>
      <w:tr>
        <w:trPr>
          <w:trHeight w:val="212"/>
        </w:trPr>
        <w:tc>
          <w:tcPr>
            <w:tcW w:w="280" w:type="dxa"/>
            <w:vAlign w:val="bottom"/>
          </w:tcPr>
          <w:p>
            <w:pPr>
              <w:spacing w:after="0"/>
              <w:rPr>
                <w:sz w:val="18"/>
                <w:szCs w:val="18"/>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130,872</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130,872</w:t>
            </w:r>
          </w:p>
        </w:tc>
        <w:tc>
          <w:tcPr>
            <w:tcW w:w="0" w:type="dxa"/>
            <w:vAlign w:val="bottom"/>
          </w:tcPr>
          <w:p>
            <w:pPr>
              <w:spacing w:after="0"/>
              <w:rPr>
                <w:sz w:val="1"/>
                <w:szCs w:val="1"/>
                <w:color w:val="auto"/>
              </w:rPr>
            </w:pP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21,949,689</w:t>
            </w:r>
          </w:p>
        </w:tc>
        <w:tc>
          <w:tcPr>
            <w:tcW w:w="2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20,967,556</w:t>
            </w:r>
          </w:p>
        </w:tc>
        <w:tc>
          <w:tcPr>
            <w:tcW w:w="3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42,917,245</w:t>
            </w:r>
          </w:p>
        </w:tc>
        <w:tc>
          <w:tcPr>
            <w:tcW w:w="0" w:type="dxa"/>
            <w:vAlign w:val="bottom"/>
          </w:tcPr>
          <w:p>
            <w:pPr>
              <w:spacing w:after="0"/>
              <w:rPr>
                <w:sz w:val="1"/>
                <w:szCs w:val="1"/>
                <w:color w:val="auto"/>
              </w:rPr>
            </w:pP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9"/>
        </w:trPr>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1,834,289</w:t>
            </w:r>
          </w:p>
        </w:tc>
        <w:tc>
          <w:tcPr>
            <w:tcW w:w="2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20,703,338</w:t>
            </w:r>
          </w:p>
        </w:tc>
        <w:tc>
          <w:tcPr>
            <w:tcW w:w="3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22,537,627</w:t>
            </w:r>
          </w:p>
        </w:tc>
        <w:tc>
          <w:tcPr>
            <w:tcW w:w="0" w:type="dxa"/>
            <w:vAlign w:val="bottom"/>
          </w:tcPr>
          <w:p>
            <w:pPr>
              <w:spacing w:after="0"/>
              <w:rPr>
                <w:sz w:val="1"/>
                <w:szCs w:val="1"/>
                <w:color w:val="auto"/>
              </w:rPr>
            </w:pPr>
          </w:p>
        </w:tc>
      </w:tr>
      <w:tr>
        <w:trPr>
          <w:trHeight w:val="212"/>
        </w:trPr>
        <w:tc>
          <w:tcPr>
            <w:tcW w:w="280" w:type="dxa"/>
            <w:vAlign w:val="bottom"/>
          </w:tcPr>
          <w:p>
            <w:pPr>
              <w:spacing w:after="0"/>
              <w:rPr>
                <w:sz w:val="18"/>
                <w:szCs w:val="18"/>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9,737,720</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264,218</w:t>
            </w:r>
          </w:p>
        </w:tc>
        <w:tc>
          <w:tcPr>
            <w:tcW w:w="3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10,001,938</w:t>
            </w:r>
          </w:p>
        </w:tc>
        <w:tc>
          <w:tcPr>
            <w:tcW w:w="0" w:type="dxa"/>
            <w:vAlign w:val="bottom"/>
          </w:tcPr>
          <w:p>
            <w:pPr>
              <w:spacing w:after="0"/>
              <w:rPr>
                <w:sz w:val="1"/>
                <w:szCs w:val="1"/>
                <w:color w:val="auto"/>
              </w:rPr>
            </w:pPr>
          </w:p>
        </w:tc>
      </w:tr>
      <w:tr>
        <w:trPr>
          <w:trHeight w:val="212"/>
        </w:trPr>
        <w:tc>
          <w:tcPr>
            <w:tcW w:w="280" w:type="dxa"/>
            <w:vAlign w:val="bottom"/>
          </w:tcPr>
          <w:p>
            <w:pPr>
              <w:spacing w:after="0"/>
              <w:rPr>
                <w:sz w:val="18"/>
                <w:szCs w:val="18"/>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10,377,680</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10,377,680</w:t>
            </w:r>
          </w:p>
        </w:tc>
        <w:tc>
          <w:tcPr>
            <w:tcW w:w="0" w:type="dxa"/>
            <w:vAlign w:val="bottom"/>
          </w:tcPr>
          <w:p>
            <w:pPr>
              <w:spacing w:after="0"/>
              <w:rPr>
                <w:sz w:val="1"/>
                <w:szCs w:val="1"/>
                <w:color w:val="auto"/>
              </w:rPr>
            </w:pP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21,949,689</w:t>
            </w:r>
          </w:p>
        </w:tc>
        <w:tc>
          <w:tcPr>
            <w:tcW w:w="2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20,967,556</w:t>
            </w:r>
          </w:p>
        </w:tc>
        <w:tc>
          <w:tcPr>
            <w:tcW w:w="3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42,917,245</w:t>
            </w:r>
          </w:p>
        </w:tc>
        <w:tc>
          <w:tcPr>
            <w:tcW w:w="0" w:type="dxa"/>
            <w:vAlign w:val="bottom"/>
          </w:tcPr>
          <w:p>
            <w:pPr>
              <w:spacing w:after="0"/>
              <w:rPr>
                <w:sz w:val="1"/>
                <w:szCs w:val="1"/>
                <w:color w:val="auto"/>
              </w:rPr>
            </w:pP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9"/>
        </w:trPr>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21,949,689</w:t>
            </w:r>
          </w:p>
        </w:tc>
        <w:tc>
          <w:tcPr>
            <w:tcW w:w="2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9,388,770</w:t>
            </w:r>
          </w:p>
        </w:tc>
        <w:tc>
          <w:tcPr>
            <w:tcW w:w="3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31,338,459</w:t>
            </w:r>
          </w:p>
        </w:tc>
        <w:tc>
          <w:tcPr>
            <w:tcW w:w="0" w:type="dxa"/>
            <w:vAlign w:val="bottom"/>
          </w:tcPr>
          <w:p>
            <w:pPr>
              <w:spacing w:after="0"/>
              <w:rPr>
                <w:sz w:val="1"/>
                <w:szCs w:val="1"/>
                <w:color w:val="auto"/>
              </w:rPr>
            </w:pPr>
          </w:p>
        </w:tc>
      </w:tr>
      <w:tr>
        <w:trPr>
          <w:trHeight w:val="212"/>
        </w:trPr>
        <w:tc>
          <w:tcPr>
            <w:tcW w:w="280" w:type="dxa"/>
            <w:vAlign w:val="bottom"/>
          </w:tcPr>
          <w:p>
            <w:pPr>
              <w:spacing w:after="0"/>
              <w:rPr>
                <w:sz w:val="18"/>
                <w:szCs w:val="18"/>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11,578,786</w:t>
            </w:r>
          </w:p>
        </w:tc>
        <w:tc>
          <w:tcPr>
            <w:tcW w:w="3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11,578,786</w:t>
            </w:r>
          </w:p>
        </w:tc>
        <w:tc>
          <w:tcPr>
            <w:tcW w:w="0" w:type="dxa"/>
            <w:vAlign w:val="bottom"/>
          </w:tcPr>
          <w:p>
            <w:pPr>
              <w:spacing w:after="0"/>
              <w:rPr>
                <w:sz w:val="1"/>
                <w:szCs w:val="1"/>
                <w:color w:val="auto"/>
              </w:rPr>
            </w:pP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21,949,689</w:t>
            </w:r>
          </w:p>
        </w:tc>
        <w:tc>
          <w:tcPr>
            <w:tcW w:w="2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20,967,556</w:t>
            </w:r>
          </w:p>
        </w:tc>
        <w:tc>
          <w:tcPr>
            <w:tcW w:w="3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42,917,245</w:t>
            </w:r>
          </w:p>
        </w:tc>
        <w:tc>
          <w:tcPr>
            <w:tcW w:w="0" w:type="dxa"/>
            <w:vAlign w:val="bottom"/>
          </w:tcPr>
          <w:p>
            <w:pPr>
              <w:spacing w:after="0"/>
              <w:rPr>
                <w:sz w:val="1"/>
                <w:szCs w:val="1"/>
                <w:color w:val="auto"/>
              </w:rPr>
            </w:pP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9"/>
        </w:trPr>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21,330,000</w:t>
            </w:r>
          </w:p>
        </w:tc>
        <w:tc>
          <w:tcPr>
            <w:tcW w:w="2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21,330,000</w:t>
            </w:r>
          </w:p>
        </w:tc>
        <w:tc>
          <w:tcPr>
            <w:tcW w:w="0" w:type="dxa"/>
            <w:vAlign w:val="bottom"/>
          </w:tcPr>
          <w:p>
            <w:pPr>
              <w:spacing w:after="0"/>
              <w:rPr>
                <w:sz w:val="1"/>
                <w:szCs w:val="1"/>
                <w:color w:val="auto"/>
              </w:rPr>
            </w:pPr>
          </w:p>
        </w:tc>
      </w:tr>
      <w:tr>
        <w:trPr>
          <w:trHeight w:val="212"/>
        </w:trPr>
        <w:tc>
          <w:tcPr>
            <w:tcW w:w="280" w:type="dxa"/>
            <w:vAlign w:val="bottom"/>
          </w:tcPr>
          <w:p>
            <w:pPr>
              <w:spacing w:after="0"/>
              <w:rPr>
                <w:sz w:val="18"/>
                <w:szCs w:val="18"/>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619,689</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20,967,556</w:t>
            </w:r>
          </w:p>
        </w:tc>
        <w:tc>
          <w:tcPr>
            <w:tcW w:w="3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21,587,245</w:t>
            </w:r>
          </w:p>
        </w:tc>
        <w:tc>
          <w:tcPr>
            <w:tcW w:w="0" w:type="dxa"/>
            <w:vAlign w:val="bottom"/>
          </w:tcPr>
          <w:p>
            <w:pPr>
              <w:spacing w:after="0"/>
              <w:rPr>
                <w:sz w:val="1"/>
                <w:szCs w:val="1"/>
                <w:color w:val="auto"/>
              </w:rPr>
            </w:pP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21,949,689</w:t>
            </w:r>
          </w:p>
        </w:tc>
        <w:tc>
          <w:tcPr>
            <w:tcW w:w="2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20,967,556</w:t>
            </w:r>
          </w:p>
        </w:tc>
        <w:tc>
          <w:tcPr>
            <w:tcW w:w="3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42,917,245</w:t>
            </w:r>
          </w:p>
        </w:tc>
        <w:tc>
          <w:tcPr>
            <w:tcW w:w="0" w:type="dxa"/>
            <w:vAlign w:val="bottom"/>
          </w:tcPr>
          <w:p>
            <w:pPr>
              <w:spacing w:after="0"/>
              <w:rPr>
                <w:sz w:val="1"/>
                <w:szCs w:val="1"/>
                <w:color w:val="auto"/>
              </w:rPr>
            </w:pP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4"/>
        </w:trPr>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20,967,556</w:t>
            </w:r>
          </w:p>
        </w:tc>
        <w:tc>
          <w:tcPr>
            <w:tcW w:w="3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20,967,556</w:t>
            </w:r>
          </w:p>
        </w:tc>
        <w:tc>
          <w:tcPr>
            <w:tcW w:w="0" w:type="dxa"/>
            <w:vAlign w:val="bottom"/>
          </w:tcPr>
          <w:p>
            <w:pPr>
              <w:spacing w:after="0"/>
              <w:rPr>
                <w:sz w:val="1"/>
                <w:szCs w:val="1"/>
                <w:color w:val="auto"/>
              </w:rPr>
            </w:pPr>
          </w:p>
        </w:tc>
      </w:tr>
      <w:tr>
        <w:trPr>
          <w:trHeight w:val="212"/>
        </w:trPr>
        <w:tc>
          <w:tcPr>
            <w:tcW w:w="280" w:type="dxa"/>
            <w:vAlign w:val="bottom"/>
          </w:tcPr>
          <w:p>
            <w:pPr>
              <w:spacing w:after="0"/>
              <w:rPr>
                <w:sz w:val="18"/>
                <w:szCs w:val="18"/>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19,641,434</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19,641,434</w:t>
            </w:r>
          </w:p>
        </w:tc>
        <w:tc>
          <w:tcPr>
            <w:tcW w:w="0" w:type="dxa"/>
            <w:vAlign w:val="bottom"/>
          </w:tcPr>
          <w:p>
            <w:pPr>
              <w:spacing w:after="0"/>
              <w:rPr>
                <w:sz w:val="1"/>
                <w:szCs w:val="1"/>
                <w:color w:val="auto"/>
              </w:rPr>
            </w:pPr>
          </w:p>
        </w:tc>
      </w:tr>
      <w:tr>
        <w:trPr>
          <w:trHeight w:val="212"/>
        </w:trPr>
        <w:tc>
          <w:tcPr>
            <w:tcW w:w="280" w:type="dxa"/>
            <w:vAlign w:val="bottom"/>
          </w:tcPr>
          <w:p>
            <w:pPr>
              <w:spacing w:after="0"/>
              <w:rPr>
                <w:sz w:val="18"/>
                <w:szCs w:val="18"/>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2,308,255</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2,308,255</w:t>
            </w:r>
          </w:p>
        </w:tc>
        <w:tc>
          <w:tcPr>
            <w:tcW w:w="0" w:type="dxa"/>
            <w:vAlign w:val="bottom"/>
          </w:tcPr>
          <w:p>
            <w:pPr>
              <w:spacing w:after="0"/>
              <w:rPr>
                <w:sz w:val="1"/>
                <w:szCs w:val="1"/>
                <w:color w:val="auto"/>
              </w:rPr>
            </w:pP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21,949,689</w:t>
            </w:r>
          </w:p>
        </w:tc>
        <w:tc>
          <w:tcPr>
            <w:tcW w:w="2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20,967,556</w:t>
            </w:r>
          </w:p>
        </w:tc>
        <w:tc>
          <w:tcPr>
            <w:tcW w:w="3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42,917,245</w:t>
            </w:r>
          </w:p>
        </w:tc>
        <w:tc>
          <w:tcPr>
            <w:tcW w:w="0" w:type="dxa"/>
            <w:vAlign w:val="bottom"/>
          </w:tcPr>
          <w:p>
            <w:pPr>
              <w:spacing w:after="0"/>
              <w:rPr>
                <w:sz w:val="1"/>
                <w:szCs w:val="1"/>
                <w:color w:val="auto"/>
              </w:rPr>
            </w:pP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80" w:space="240"/>
            <w:col w:w="3660"/>
          </w:cols>
          <w:pgMar w:left="300" w:top="125"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1280"/>
          </w:cols>
          <w:pgMar w:left="300" w:top="125" w:right="319" w:bottom="1440" w:gutter="0" w:footer="0" w:header="0"/>
          <w:type w:val="continuous"/>
        </w:sectPr>
      </w:pPr>
    </w:p>
    <w:bookmarkStart w:id="69" w:name="page70"/>
    <w:bookmarkEnd w:id="6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 Balances</w:t>
      </w:r>
    </w:p>
    <w:p>
      <w:pPr>
        <w:spacing w:after="0" w:line="179" w:lineRule="exact"/>
        <w:rPr>
          <w:sz w:val="20"/>
          <w:szCs w:val="20"/>
          <w:color w:val="auto"/>
        </w:rPr>
      </w:pPr>
    </w:p>
    <w:p>
      <w:pPr>
        <w:ind w:right="200" w:firstLine="318"/>
        <w:spacing w:after="0" w:line="309" w:lineRule="auto"/>
        <w:rPr>
          <w:sz w:val="20"/>
          <w:szCs w:val="20"/>
          <w:color w:val="auto"/>
        </w:rPr>
      </w:pPr>
      <w:r>
        <w:rPr>
          <w:rFonts w:ascii="Arial" w:cs="Arial" w:eastAsia="Arial" w:hAnsi="Arial"/>
          <w:sz w:val="12"/>
          <w:szCs w:val="12"/>
          <w:color w:val="auto"/>
        </w:rPr>
        <w:t>Our contract assets consist of unbilled amounts for technology development contracts as well as custom product contracts. Also included in contract assets are royalty revenue and carrying amounts of right of returned inventory. Long-term contract assets include the fee withholding on cost reimbursable contracts that will not be billed within a year. Contract liabilities include excess billings, subcontractor accruals, warranty expense, extended warranty revenue, right of return refund, and customer deposits. The net contract (liabilities)/assets changed by $1.0 million, due primarily to increased contract liabilities in addition to a slight increase in contract assets. The increase in contract liabilities is a result of the increased number of government research programs in addition to an increase in the number of our fixed-price contracts that have reached milestones as designated in their respective contracts, but revenue has not yet been recognized. The increase in contract assets is primarily driven by the unbilled fee required by our cost-reimbursable government contracts, which cannot be fully billed until after the specific contract is complete.</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shows the components of our contract balances as of December 31, 2019 and 2018:</w:t>
      </w:r>
    </w:p>
    <w:p>
      <w:pPr>
        <w:spacing w:after="0" w:line="295" w:lineRule="exact"/>
        <w:rPr>
          <w:sz w:val="20"/>
          <w:szCs w:val="20"/>
          <w:color w:val="auto"/>
        </w:rPr>
      </w:pPr>
    </w:p>
    <w:tbl>
      <w:tblPr>
        <w:tblLayout w:type="fixed"/>
        <w:tblInd w:w="1520" w:type="dxa"/>
        <w:tblCellMar>
          <w:top w:w="0" w:type="dxa"/>
          <w:left w:w="0" w:type="dxa"/>
          <w:bottom w:w="0" w:type="dxa"/>
          <w:right w:w="0" w:type="dxa"/>
        </w:tblCellMar>
      </w:tblPr>
      <w:tr>
        <w:trPr>
          <w:trHeight w:val="208"/>
        </w:trPr>
        <w:tc>
          <w:tcPr>
            <w:tcW w:w="414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gridSpan w:val="3"/>
            <w:shd w:val="clear" w:color="auto" w:fill="CCEEFF"/>
          </w:tcPr>
          <w:p>
            <w:pPr>
              <w:jc w:val="right"/>
              <w:ind w:right="229"/>
              <w:spacing w:after="0"/>
              <w:rPr>
                <w:sz w:val="20"/>
                <w:szCs w:val="20"/>
                <w:color w:val="auto"/>
              </w:rPr>
            </w:pPr>
            <w:r>
              <w:rPr>
                <w:rFonts w:ascii="Arial" w:cs="Arial" w:eastAsia="Arial" w:hAnsi="Arial"/>
                <w:sz w:val="11"/>
                <w:szCs w:val="11"/>
                <w:b w:val="1"/>
                <w:bCs w:val="1"/>
                <w:color w:val="auto"/>
              </w:rPr>
              <w:t>December 31,</w:t>
            </w:r>
          </w:p>
        </w:tc>
        <w:tc>
          <w:tcPr>
            <w:tcW w:w="1420" w:type="dxa"/>
            <w:vAlign w:val="bottom"/>
            <w:tcBorders>
              <w:bottom w:val="single" w:sz="8" w:color="auto"/>
            </w:tcBorders>
            <w:shd w:val="clear" w:color="auto" w:fill="CCEEFF"/>
          </w:tcPr>
          <w:p>
            <w:pPr>
              <w:spacing w:after="0"/>
              <w:rPr>
                <w:sz w:val="18"/>
                <w:szCs w:val="18"/>
                <w:color w:val="auto"/>
              </w:rPr>
            </w:pPr>
          </w:p>
        </w:tc>
      </w:tr>
      <w:tr>
        <w:trPr>
          <w:trHeight w:val="203"/>
        </w:trPr>
        <w:tc>
          <w:tcPr>
            <w:tcW w:w="414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2019</w:t>
            </w: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13"/>
              <w:spacing w:after="0"/>
              <w:rPr>
                <w:sz w:val="20"/>
                <w:szCs w:val="20"/>
                <w:color w:val="auto"/>
              </w:rPr>
            </w:pPr>
            <w:r>
              <w:rPr>
                <w:rFonts w:ascii="Arial" w:cs="Arial" w:eastAsia="Arial" w:hAnsi="Arial"/>
                <w:sz w:val="11"/>
                <w:szCs w:val="11"/>
                <w:b w:val="1"/>
                <w:bCs w:val="1"/>
                <w:color w:val="auto"/>
              </w:rPr>
              <w:t>2018</w:t>
            </w:r>
          </w:p>
        </w:tc>
      </w:tr>
      <w:tr>
        <w:trPr>
          <w:trHeight w:val="187"/>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Contract assets</w:t>
            </w:r>
          </w:p>
        </w:tc>
        <w:tc>
          <w:tcPr>
            <w:tcW w:w="1200" w:type="dxa"/>
            <w:vAlign w:val="bottom"/>
            <w:tcBorders>
              <w:bottom w:val="single" w:sz="8" w:color="CCEEFF"/>
            </w:tcBorders>
            <w:shd w:val="clear" w:color="auto" w:fill="CCEEFF"/>
          </w:tcPr>
          <w:p>
            <w:pPr>
              <w:jc w:val="right"/>
              <w:ind w:right="1054"/>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3,208,206</w:t>
            </w: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2,759,315</w:t>
            </w:r>
          </w:p>
        </w:tc>
      </w:tr>
      <w:tr>
        <w:trPr>
          <w:trHeight w:val="191"/>
        </w:trPr>
        <w:tc>
          <w:tcPr>
            <w:tcW w:w="4140" w:type="dxa"/>
            <w:vAlign w:val="bottom"/>
          </w:tcPr>
          <w:p>
            <w:pPr>
              <w:spacing w:after="0"/>
              <w:rPr>
                <w:sz w:val="20"/>
                <w:szCs w:val="20"/>
                <w:color w:val="auto"/>
              </w:rPr>
            </w:pPr>
            <w:r>
              <w:rPr>
                <w:rFonts w:ascii="Arial" w:cs="Arial" w:eastAsia="Arial" w:hAnsi="Arial"/>
                <w:sz w:val="14"/>
                <w:szCs w:val="14"/>
                <w:color w:val="auto"/>
              </w:rPr>
              <w:t>Contract liabilities</w:t>
            </w:r>
          </w:p>
        </w:tc>
        <w:tc>
          <w:tcPr>
            <w:tcW w:w="1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(3,887,685)</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(2,486,111)</w:t>
            </w:r>
          </w:p>
        </w:tc>
      </w:tr>
      <w:tr>
        <w:trPr>
          <w:trHeight w:val="22"/>
        </w:trPr>
        <w:tc>
          <w:tcPr>
            <w:tcW w:w="41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3"/>
        </w:trPr>
        <w:tc>
          <w:tcPr>
            <w:tcW w:w="4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Net contract assets</w:t>
            </w:r>
          </w:p>
        </w:tc>
        <w:tc>
          <w:tcPr>
            <w:tcW w:w="1200" w:type="dxa"/>
            <w:vAlign w:val="bottom"/>
            <w:tcBorders>
              <w:bottom w:val="single" w:sz="8" w:color="CCEEFF"/>
            </w:tcBorders>
            <w:shd w:val="clear" w:color="auto" w:fill="CCEEFF"/>
          </w:tcPr>
          <w:p>
            <w:pPr>
              <w:jc w:val="right"/>
              <w:ind w:right="1054"/>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(679,479)</w:t>
            </w: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273,204</w:t>
            </w:r>
          </w:p>
        </w:tc>
      </w:tr>
      <w:tr>
        <w:trPr>
          <w:trHeight w:val="20"/>
        </w:trPr>
        <w:tc>
          <w:tcPr>
            <w:tcW w:w="41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 Obligations</w:t>
      </w:r>
    </w:p>
    <w:p>
      <w:pPr>
        <w:spacing w:after="0" w:line="179" w:lineRule="exact"/>
        <w:rPr>
          <w:sz w:val="20"/>
          <w:szCs w:val="20"/>
          <w:color w:val="auto"/>
        </w:rPr>
      </w:pPr>
    </w:p>
    <w:p>
      <w:pPr>
        <w:ind w:right="40" w:firstLine="509"/>
        <w:spacing w:after="0" w:line="258" w:lineRule="auto"/>
        <w:rPr>
          <w:sz w:val="20"/>
          <w:szCs w:val="20"/>
          <w:color w:val="auto"/>
        </w:rPr>
      </w:pPr>
      <w:r>
        <w:rPr>
          <w:rFonts w:ascii="Arial" w:cs="Arial" w:eastAsia="Arial" w:hAnsi="Arial"/>
          <w:sz w:val="14"/>
          <w:szCs w:val="14"/>
          <w:color w:val="auto"/>
        </w:rPr>
        <w:t>Unfulfilled performance obligations represent amounts expected to be earned on executed contracts. Indefinite delivery and quantity contracts and unexercised options are not reported in total unfulfilled performance obligations. Unfulfilled performance obligations include funded obligations, which is the amount for which money has been directly authorized by the U.S. government and for which a purchase order has been received by a commercial customer, and unfunded obligations represent firm orders for which funding has not yet been appropriated. The approximate value of our Products and Licensing segment's unfulfilled performance obligations was $16.1 million at December 31, 2019. We expect to satisfy 63% of the performance obligations in 2020, 13% in 2021 and the remainder by 2024. The approximate value of our Technology Development segment's unfulfilled performance obligations was $31.3 million at December 31, 2019. We expect to satisfy 70% of the performance obligations in 2020, 24% in 2021 and the remainder by 2022.</w:t>
      </w:r>
    </w:p>
    <w:p>
      <w:pPr>
        <w:spacing w:after="0" w:line="200" w:lineRule="exact"/>
        <w:rPr>
          <w:sz w:val="20"/>
          <w:szCs w:val="20"/>
          <w:color w:val="auto"/>
        </w:rPr>
      </w:pPr>
    </w:p>
    <w:p>
      <w:pPr>
        <w:spacing w:after="0" w:line="32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13.</w:t>
      </w:r>
      <w:r>
        <w:rPr>
          <w:sz w:val="20"/>
          <w:szCs w:val="20"/>
          <w:color w:val="auto"/>
        </w:rPr>
        <w:tab/>
      </w:r>
      <w:r>
        <w:rPr>
          <w:rFonts w:ascii="Arial" w:cs="Arial" w:eastAsia="Arial" w:hAnsi="Arial"/>
          <w:sz w:val="12"/>
          <w:szCs w:val="12"/>
          <w:b w:val="1"/>
          <w:bCs w:val="1"/>
          <w:color w:val="auto"/>
        </w:rPr>
        <w:t>Income Taxes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Income tax (benefit)/expense from continuing operations consisted of the following for the periods indicated: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2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b w:val="1"/>
                <w:bCs w:val="1"/>
                <w:color w:val="auto"/>
              </w:rPr>
              <w:t>Years ended December 31,</w:t>
            </w: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20" w:type="dxa"/>
            <w:vAlign w:val="bottom"/>
            <w:tcBorders>
              <w:bottom w:val="single" w:sz="8" w:color="CCEEFF"/>
            </w:tcBorders>
          </w:tcPr>
          <w:p>
            <w:pPr>
              <w:spacing w:after="0"/>
              <w:rPr>
                <w:sz w:val="17"/>
                <w:szCs w:val="17"/>
                <w:color w:val="auto"/>
              </w:rPr>
            </w:pPr>
          </w:p>
        </w:tc>
        <w:tc>
          <w:tcPr>
            <w:tcW w:w="45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3"/>
              <w:spacing w:after="0"/>
              <w:rPr>
                <w:sz w:val="20"/>
                <w:szCs w:val="20"/>
                <w:color w:val="auto"/>
              </w:rPr>
            </w:pPr>
            <w:r>
              <w:rPr>
                <w:rFonts w:ascii="Arial" w:cs="Arial" w:eastAsia="Arial" w:hAnsi="Arial"/>
                <w:sz w:val="11"/>
                <w:szCs w:val="11"/>
                <w:b w:val="1"/>
                <w:bCs w:val="1"/>
                <w:color w:val="auto"/>
              </w:rPr>
              <w:t>2019</w:t>
            </w:r>
          </w:p>
        </w:tc>
        <w:tc>
          <w:tcPr>
            <w:tcW w:w="2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187"/>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45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Federal</w:t>
            </w:r>
          </w:p>
        </w:tc>
        <w:tc>
          <w:tcPr>
            <w:tcW w:w="488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3"/>
              <w:spacing w:after="0"/>
              <w:rPr>
                <w:sz w:val="20"/>
                <w:szCs w:val="20"/>
                <w:color w:val="auto"/>
              </w:rPr>
            </w:pPr>
            <w:r>
              <w:rPr>
                <w:rFonts w:ascii="Arial" w:cs="Arial" w:eastAsia="Arial" w:hAnsi="Arial"/>
                <w:sz w:val="14"/>
                <w:szCs w:val="14"/>
                <w:color w:val="auto"/>
              </w:rPr>
              <w:t>1,466,770</w:t>
            </w:r>
          </w:p>
        </w:tc>
        <w:tc>
          <w:tcPr>
            <w:tcW w:w="240" w:type="dxa"/>
            <w:vAlign w:val="bottom"/>
          </w:tcPr>
          <w:p>
            <w:pPr>
              <w:spacing w:after="0"/>
              <w:rPr>
                <w:sz w:val="16"/>
                <w:szCs w:val="16"/>
                <w:color w:val="auto"/>
              </w:rPr>
            </w:pPr>
          </w:p>
        </w:tc>
        <w:tc>
          <w:tcPr>
            <w:tcW w:w="560" w:type="dxa"/>
            <w:vAlign w:val="bottom"/>
          </w:tcPr>
          <w:p>
            <w:pPr>
              <w:jc w:val="right"/>
              <w:ind w:right="38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(44,727)</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State</w:t>
            </w:r>
          </w:p>
        </w:tc>
        <w:tc>
          <w:tcPr>
            <w:tcW w:w="45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227,912</w:t>
            </w:r>
          </w:p>
        </w:tc>
        <w:tc>
          <w:tcPr>
            <w:tcW w:w="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92,545</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Deferred federal</w:t>
            </w:r>
          </w:p>
        </w:tc>
        <w:tc>
          <w:tcPr>
            <w:tcW w:w="4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(2,849,371)</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state</w:t>
            </w:r>
          </w:p>
        </w:tc>
        <w:tc>
          <w:tcPr>
            <w:tcW w:w="45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(499,661)</w:t>
            </w:r>
          </w:p>
        </w:tc>
        <w:tc>
          <w:tcPr>
            <w:tcW w:w="2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3620" w:type="dxa"/>
            <w:vAlign w:val="bottom"/>
          </w:tcPr>
          <w:p>
            <w:pPr>
              <w:ind w:left="20"/>
              <w:spacing w:after="0"/>
              <w:rPr>
                <w:sz w:val="20"/>
                <w:szCs w:val="20"/>
                <w:color w:val="auto"/>
              </w:rPr>
            </w:pPr>
            <w:r>
              <w:rPr>
                <w:rFonts w:ascii="Arial" w:cs="Arial" w:eastAsia="Arial" w:hAnsi="Arial"/>
                <w:sz w:val="14"/>
                <w:szCs w:val="14"/>
                <w:color w:val="auto"/>
              </w:rPr>
              <w:t>Income tax (benefit)/expense</w:t>
            </w:r>
          </w:p>
        </w:tc>
        <w:tc>
          <w:tcPr>
            <w:tcW w:w="4520" w:type="dxa"/>
            <w:vAlign w:val="bottom"/>
          </w:tcPr>
          <w:p>
            <w:pPr>
              <w:spacing w:after="0"/>
              <w:rPr>
                <w:sz w:val="15"/>
                <w:szCs w:val="15"/>
                <w:color w:val="auto"/>
              </w:rPr>
            </w:pPr>
          </w:p>
        </w:tc>
        <w:tc>
          <w:tcPr>
            <w:tcW w:w="36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(1,654,350)</w:t>
            </w:r>
          </w:p>
        </w:tc>
        <w:tc>
          <w:tcPr>
            <w:tcW w:w="240" w:type="dxa"/>
            <w:vAlign w:val="bottom"/>
          </w:tcPr>
          <w:p>
            <w:pPr>
              <w:spacing w:after="0"/>
              <w:rPr>
                <w:sz w:val="15"/>
                <w:szCs w:val="15"/>
                <w:color w:val="auto"/>
              </w:rPr>
            </w:pPr>
          </w:p>
        </w:tc>
        <w:tc>
          <w:tcPr>
            <w:tcW w:w="560" w:type="dxa"/>
            <w:vAlign w:val="bottom"/>
            <w:tcBorders>
              <w:top w:val="single" w:sz="8" w:color="auto"/>
            </w:tcBorders>
          </w:tcPr>
          <w:p>
            <w:pPr>
              <w:jc w:val="right"/>
              <w:ind w:right="389"/>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47,818</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4520" w:type="dxa"/>
            <w:vAlign w:val="bottom"/>
            <w:vMerge w:val="restart"/>
          </w:tcPr>
          <w:p>
            <w:pPr>
              <w:jc w:val="right"/>
              <w:ind w:right="2349"/>
              <w:spacing w:after="0"/>
              <w:rPr>
                <w:sz w:val="20"/>
                <w:szCs w:val="20"/>
                <w:color w:val="auto"/>
              </w:rPr>
            </w:pPr>
            <w:r>
              <w:rPr>
                <w:rFonts w:ascii="Arial" w:cs="Arial" w:eastAsia="Arial" w:hAnsi="Arial"/>
                <w:sz w:val="14"/>
                <w:szCs w:val="14"/>
                <w:color w:val="auto"/>
              </w:rPr>
              <w:t>68</w:t>
            </w: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52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62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Arial" w:cs="Arial" w:eastAsia="Arial" w:hAnsi="Arial"/>
          <w:sz w:val="12"/>
          <w:szCs w:val="12"/>
          <w:color w:val="auto"/>
        </w:rPr>
        <w:t>Deferred tax assets and liabilities consist of the following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5645785" cy="134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5785" cy="13462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333" w:lineRule="exact"/>
        <w:rPr>
          <w:sz w:val="20"/>
          <w:szCs w:val="20"/>
          <w:color w:val="auto"/>
        </w:rPr>
      </w:pPr>
    </w:p>
    <w:p>
      <w:pPr>
        <w:ind w:left="5960"/>
        <w:spacing w:after="0"/>
        <w:rPr>
          <w:sz w:val="20"/>
          <w:szCs w:val="20"/>
          <w:color w:val="auto"/>
        </w:rPr>
      </w:pPr>
      <w:r>
        <w:rPr>
          <w:rFonts w:ascii="Arial" w:cs="Arial" w:eastAsia="Arial" w:hAnsi="Arial"/>
          <w:sz w:val="10"/>
          <w:szCs w:val="10"/>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3620770</wp:posOffset>
            </wp:positionH>
            <wp:positionV relativeFrom="paragraph">
              <wp:posOffset>25400</wp:posOffset>
            </wp:positionV>
            <wp:extent cx="90932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09320" cy="6985"/>
                    </a:xfrm>
                    <a:prstGeom prst="rect">
                      <a:avLst/>
                    </a:prstGeom>
                    <a:noFill/>
                  </pic:spPr>
                </pic:pic>
              </a:graphicData>
            </a:graphic>
          </wp:anchor>
        </w:drawing>
      </w:r>
    </w:p>
    <w:p>
      <w:pPr>
        <w:spacing w:after="0" w:line="88" w:lineRule="exact"/>
        <w:rPr>
          <w:sz w:val="20"/>
          <w:szCs w:val="20"/>
          <w:color w:val="auto"/>
        </w:rPr>
      </w:pPr>
    </w:p>
    <w:p>
      <w:pPr>
        <w:ind w:left="6200"/>
        <w:spacing w:after="0"/>
        <w:rPr>
          <w:sz w:val="20"/>
          <w:szCs w:val="20"/>
          <w:color w:val="auto"/>
        </w:rPr>
      </w:pPr>
      <w:r>
        <w:rPr>
          <w:rFonts w:ascii="Arial" w:cs="Arial" w:eastAsia="Arial" w:hAnsi="Arial"/>
          <w:sz w:val="11"/>
          <w:szCs w:val="11"/>
          <w:b w:val="1"/>
          <w:bCs w:val="1"/>
          <w:color w:val="auto"/>
        </w:rPr>
        <w:t>Long-Term</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33020</wp:posOffset>
            </wp:positionV>
            <wp:extent cx="89598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95985" cy="6985"/>
                    </a:xfrm>
                    <a:prstGeom prst="rect">
                      <a:avLst/>
                    </a:prstGeom>
                    <a:noFill/>
                  </pic:spPr>
                </pic:pic>
              </a:graphicData>
            </a:graphic>
          </wp:anchor>
        </w:drawing>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1"/>
          <w:szCs w:val="11"/>
          <w:b w:val="1"/>
          <w:bCs w:val="1"/>
          <w:color w:val="auto"/>
        </w:rPr>
        <w:t>Long-Term</w:t>
      </w:r>
    </w:p>
    <w:p>
      <w:pPr>
        <w:spacing w:after="0" w:line="20" w:lineRule="exact"/>
        <w:rPr>
          <w:sz w:val="20"/>
          <w:szCs w:val="20"/>
          <w:color w:val="auto"/>
        </w:rPr>
      </w:pPr>
    </w:p>
    <w:p>
      <w:pPr>
        <w:sectPr>
          <w:pgSz w:w="11900" w:h="16838" w:orient="portrait"/>
          <w:cols w:equalWidth="0" w:num="2">
            <w:col w:w="7020" w:space="720"/>
            <w:col w:w="354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Bad debt and inventory reserve</w:t>
            </w: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376,331</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332,721</w:t>
            </w:r>
          </w:p>
        </w:tc>
      </w:tr>
      <w:tr>
        <w:trPr>
          <w:trHeight w:val="191"/>
        </w:trPr>
        <w:tc>
          <w:tcPr>
            <w:tcW w:w="5800" w:type="dxa"/>
            <w:vAlign w:val="bottom"/>
          </w:tcPr>
          <w:p>
            <w:pPr>
              <w:ind w:left="20"/>
              <w:spacing w:after="0"/>
              <w:rPr>
                <w:sz w:val="20"/>
                <w:szCs w:val="20"/>
                <w:color w:val="auto"/>
              </w:rPr>
            </w:pPr>
            <w:r>
              <w:rPr>
                <w:rFonts w:ascii="Arial" w:cs="Arial" w:eastAsia="Arial" w:hAnsi="Arial"/>
                <w:sz w:val="14"/>
                <w:szCs w:val="14"/>
                <w:color w:val="auto"/>
              </w:rPr>
              <w:t>Inventory adjustment</w:t>
            </w:r>
          </w:p>
        </w:tc>
        <w:tc>
          <w:tcPr>
            <w:tcW w:w="360" w:type="dxa"/>
            <w:vAlign w:val="bottom"/>
          </w:tcPr>
          <w:p>
            <w:pPr>
              <w:spacing w:after="0"/>
              <w:rPr>
                <w:sz w:val="16"/>
                <w:szCs w:val="16"/>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(21,785)</w:t>
            </w:r>
          </w:p>
        </w:tc>
      </w:tr>
      <w:tr>
        <w:trPr>
          <w:trHeight w:val="22"/>
        </w:trPr>
        <w:tc>
          <w:tcPr>
            <w:tcW w:w="5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UNICAP</w:t>
            </w:r>
          </w:p>
        </w:tc>
        <w:tc>
          <w:tcPr>
            <w:tcW w:w="3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4,828</w:t>
            </w:r>
          </w:p>
        </w:tc>
        <w:tc>
          <w:tcPr>
            <w:tcW w:w="4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2,804</w:t>
            </w:r>
          </w:p>
        </w:tc>
      </w:tr>
      <w:tr>
        <w:trPr>
          <w:trHeight w:val="191"/>
        </w:trPr>
        <w:tc>
          <w:tcPr>
            <w:tcW w:w="5800" w:type="dxa"/>
            <w:vAlign w:val="bottom"/>
          </w:tcPr>
          <w:p>
            <w:pPr>
              <w:ind w:left="20"/>
              <w:spacing w:after="0"/>
              <w:rPr>
                <w:sz w:val="20"/>
                <w:szCs w:val="20"/>
                <w:color w:val="auto"/>
              </w:rPr>
            </w:pPr>
            <w:r>
              <w:rPr>
                <w:rFonts w:ascii="Arial" w:cs="Arial" w:eastAsia="Arial" w:hAnsi="Arial"/>
                <w:sz w:val="14"/>
                <w:szCs w:val="14"/>
                <w:color w:val="auto"/>
              </w:rPr>
              <w:t>Deferred revenue</w:t>
            </w:r>
          </w:p>
        </w:tc>
        <w:tc>
          <w:tcPr>
            <w:tcW w:w="360" w:type="dxa"/>
            <w:vAlign w:val="bottom"/>
          </w:tcPr>
          <w:p>
            <w:pPr>
              <w:spacing w:after="0"/>
              <w:rPr>
                <w:sz w:val="16"/>
                <w:szCs w:val="16"/>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130,058</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115,676</w:t>
            </w:r>
          </w:p>
        </w:tc>
      </w:tr>
      <w:tr>
        <w:trPr>
          <w:trHeight w:val="22"/>
        </w:trPr>
        <w:tc>
          <w:tcPr>
            <w:tcW w:w="5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ASC842 Lease Accounting (DTA)</w:t>
            </w:r>
          </w:p>
        </w:tc>
        <w:tc>
          <w:tcPr>
            <w:tcW w:w="3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796,864</w:t>
            </w:r>
          </w:p>
        </w:tc>
        <w:tc>
          <w:tcPr>
            <w:tcW w:w="4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288,017</w:t>
            </w:r>
          </w:p>
        </w:tc>
      </w:tr>
      <w:tr>
        <w:trPr>
          <w:trHeight w:val="191"/>
        </w:trPr>
        <w:tc>
          <w:tcPr>
            <w:tcW w:w="5800" w:type="dxa"/>
            <w:vAlign w:val="bottom"/>
          </w:tcPr>
          <w:p>
            <w:pPr>
              <w:ind w:left="20"/>
              <w:spacing w:after="0"/>
              <w:rPr>
                <w:sz w:val="20"/>
                <w:szCs w:val="20"/>
                <w:color w:val="auto"/>
              </w:rPr>
            </w:pPr>
            <w:r>
              <w:rPr>
                <w:rFonts w:ascii="Arial" w:cs="Arial" w:eastAsia="Arial" w:hAnsi="Arial"/>
                <w:sz w:val="14"/>
                <w:szCs w:val="14"/>
                <w:color w:val="auto"/>
              </w:rPr>
              <w:t>ASC842 Lease Accounting (DTL)</w:t>
            </w:r>
          </w:p>
        </w:tc>
        <w:tc>
          <w:tcPr>
            <w:tcW w:w="3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(544,539)</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w:t>
            </w:r>
          </w:p>
        </w:tc>
      </w:tr>
      <w:tr>
        <w:trPr>
          <w:trHeight w:val="22"/>
        </w:trPr>
        <w:tc>
          <w:tcPr>
            <w:tcW w:w="5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(2,134,569)</w:t>
            </w:r>
          </w:p>
        </w:tc>
        <w:tc>
          <w:tcPr>
            <w:tcW w:w="4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(838,540)</w:t>
            </w:r>
          </w:p>
        </w:tc>
      </w:tr>
      <w:tr>
        <w:trPr>
          <w:trHeight w:val="191"/>
        </w:trPr>
        <w:tc>
          <w:tcPr>
            <w:tcW w:w="5800" w:type="dxa"/>
            <w:vAlign w:val="bottom"/>
          </w:tcPr>
          <w:p>
            <w:pPr>
              <w:ind w:left="20"/>
              <w:spacing w:after="0"/>
              <w:rPr>
                <w:sz w:val="20"/>
                <w:szCs w:val="20"/>
                <w:color w:val="auto"/>
              </w:rPr>
            </w:pPr>
            <w:r>
              <w:rPr>
                <w:rFonts w:ascii="Arial" w:cs="Arial" w:eastAsia="Arial" w:hAnsi="Arial"/>
                <w:sz w:val="14"/>
                <w:szCs w:val="14"/>
                <w:color w:val="auto"/>
              </w:rPr>
              <w:t>Net operating loss carryforwards- Luna</w:t>
            </w:r>
          </w:p>
        </w:tc>
        <w:tc>
          <w:tcPr>
            <w:tcW w:w="360" w:type="dxa"/>
            <w:vAlign w:val="bottom"/>
          </w:tcPr>
          <w:p>
            <w:pPr>
              <w:spacing w:after="0"/>
              <w:rPr>
                <w:sz w:val="16"/>
                <w:szCs w:val="16"/>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349,421</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349,421</w:t>
            </w:r>
          </w:p>
        </w:tc>
      </w:tr>
      <w:tr>
        <w:trPr>
          <w:trHeight w:val="22"/>
        </w:trPr>
        <w:tc>
          <w:tcPr>
            <w:tcW w:w="5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operating loss carryforwards- API</w:t>
            </w:r>
          </w:p>
        </w:tc>
        <w:tc>
          <w:tcPr>
            <w:tcW w:w="3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1,169,671</w:t>
            </w:r>
          </w:p>
        </w:tc>
        <w:tc>
          <w:tcPr>
            <w:tcW w:w="4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1,265,538</w:t>
            </w:r>
          </w:p>
        </w:tc>
      </w:tr>
      <w:tr>
        <w:trPr>
          <w:trHeight w:val="191"/>
        </w:trPr>
        <w:tc>
          <w:tcPr>
            <w:tcW w:w="5800" w:type="dxa"/>
            <w:vAlign w:val="bottom"/>
          </w:tcPr>
          <w:p>
            <w:pPr>
              <w:ind w:left="20"/>
              <w:spacing w:after="0"/>
              <w:rPr>
                <w:sz w:val="20"/>
                <w:szCs w:val="20"/>
                <w:color w:val="auto"/>
              </w:rPr>
            </w:pPr>
            <w:r>
              <w:rPr>
                <w:rFonts w:ascii="Arial" w:cs="Arial" w:eastAsia="Arial" w:hAnsi="Arial"/>
                <w:sz w:val="14"/>
                <w:szCs w:val="14"/>
                <w:color w:val="auto"/>
              </w:rPr>
              <w:t>Net operating loss carryforwards - state</w:t>
            </w:r>
          </w:p>
        </w:tc>
        <w:tc>
          <w:tcPr>
            <w:tcW w:w="360" w:type="dxa"/>
            <w:vAlign w:val="bottom"/>
          </w:tcPr>
          <w:p>
            <w:pPr>
              <w:spacing w:after="0"/>
              <w:rPr>
                <w:sz w:val="16"/>
                <w:szCs w:val="16"/>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150,050</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179,149</w:t>
            </w:r>
          </w:p>
        </w:tc>
      </w:tr>
      <w:tr>
        <w:trPr>
          <w:trHeight w:val="22"/>
        </w:trPr>
        <w:tc>
          <w:tcPr>
            <w:tcW w:w="5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operating loss carryforwards- Canada</w:t>
            </w:r>
          </w:p>
        </w:tc>
        <w:tc>
          <w:tcPr>
            <w:tcW w:w="3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10,503</w:t>
            </w:r>
          </w:p>
        </w:tc>
        <w:tc>
          <w:tcPr>
            <w:tcW w:w="4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10,503</w:t>
            </w:r>
          </w:p>
        </w:tc>
      </w:tr>
      <w:tr>
        <w:trPr>
          <w:trHeight w:val="191"/>
        </w:trPr>
        <w:tc>
          <w:tcPr>
            <w:tcW w:w="5800" w:type="dxa"/>
            <w:vAlign w:val="bottom"/>
          </w:tcPr>
          <w:p>
            <w:pPr>
              <w:ind w:left="20"/>
              <w:spacing w:after="0"/>
              <w:rPr>
                <w:sz w:val="20"/>
                <w:szCs w:val="20"/>
                <w:color w:val="auto"/>
              </w:rPr>
            </w:pPr>
            <w:r>
              <w:rPr>
                <w:rFonts w:ascii="Arial" w:cs="Arial" w:eastAsia="Arial" w:hAnsi="Arial"/>
                <w:sz w:val="14"/>
                <w:szCs w:val="14"/>
                <w:color w:val="auto"/>
              </w:rPr>
              <w:t>Accrued liabilities</w:t>
            </w:r>
          </w:p>
        </w:tc>
        <w:tc>
          <w:tcPr>
            <w:tcW w:w="360" w:type="dxa"/>
            <w:vAlign w:val="bottom"/>
          </w:tcPr>
          <w:p>
            <w:pPr>
              <w:spacing w:after="0"/>
              <w:rPr>
                <w:sz w:val="16"/>
                <w:szCs w:val="16"/>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594,450</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394,118</w:t>
            </w:r>
          </w:p>
        </w:tc>
      </w:tr>
      <w:tr>
        <w:trPr>
          <w:trHeight w:val="22"/>
        </w:trPr>
        <w:tc>
          <w:tcPr>
            <w:tcW w:w="5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compensation</w:t>
            </w:r>
          </w:p>
        </w:tc>
        <w:tc>
          <w:tcPr>
            <w:tcW w:w="3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294,190</w:t>
            </w:r>
          </w:p>
        </w:tc>
        <w:tc>
          <w:tcPr>
            <w:tcW w:w="4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216,944</w:t>
            </w:r>
          </w:p>
        </w:tc>
      </w:tr>
      <w:tr>
        <w:trPr>
          <w:trHeight w:val="191"/>
        </w:trPr>
        <w:tc>
          <w:tcPr>
            <w:tcW w:w="58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360" w:type="dxa"/>
            <w:vAlign w:val="bottom"/>
          </w:tcPr>
          <w:p>
            <w:pPr>
              <w:spacing w:after="0"/>
              <w:rPr>
                <w:sz w:val="16"/>
                <w:szCs w:val="16"/>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373,658</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803,757</w:t>
            </w:r>
          </w:p>
        </w:tc>
      </w:tr>
      <w:tr>
        <w:trPr>
          <w:trHeight w:val="22"/>
        </w:trPr>
        <w:tc>
          <w:tcPr>
            <w:tcW w:w="5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stock</w:t>
            </w:r>
          </w:p>
        </w:tc>
        <w:tc>
          <w:tcPr>
            <w:tcW w:w="3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102,741</w:t>
            </w:r>
          </w:p>
        </w:tc>
        <w:tc>
          <w:tcPr>
            <w:tcW w:w="4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60,681</w:t>
            </w:r>
          </w:p>
        </w:tc>
      </w:tr>
      <w:tr>
        <w:trPr>
          <w:trHeight w:val="191"/>
        </w:trPr>
        <w:tc>
          <w:tcPr>
            <w:tcW w:w="5800" w:type="dxa"/>
            <w:vAlign w:val="bottom"/>
          </w:tcPr>
          <w:p>
            <w:pPr>
              <w:ind w:left="20"/>
              <w:spacing w:after="0"/>
              <w:rPr>
                <w:sz w:val="20"/>
                <w:szCs w:val="20"/>
                <w:color w:val="auto"/>
              </w:rPr>
            </w:pPr>
            <w:r>
              <w:rPr>
                <w:rFonts w:ascii="Arial" w:cs="Arial" w:eastAsia="Arial" w:hAnsi="Arial"/>
                <w:sz w:val="14"/>
                <w:szCs w:val="14"/>
                <w:color w:val="auto"/>
              </w:rPr>
              <w:t>State bonus</w:t>
            </w:r>
          </w:p>
        </w:tc>
        <w:tc>
          <w:tcPr>
            <w:tcW w:w="36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33,791</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44,861</w:t>
            </w:r>
          </w:p>
        </w:tc>
      </w:tr>
      <w:tr>
        <w:trPr>
          <w:trHeight w:val="22"/>
        </w:trPr>
        <w:tc>
          <w:tcPr>
            <w:tcW w:w="5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Performance based compensation</w:t>
            </w:r>
          </w:p>
        </w:tc>
        <w:tc>
          <w:tcPr>
            <w:tcW w:w="3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9,499</w:t>
            </w:r>
          </w:p>
        </w:tc>
        <w:tc>
          <w:tcPr>
            <w:tcW w:w="4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191"/>
        </w:trPr>
        <w:tc>
          <w:tcPr>
            <w:tcW w:w="5800" w:type="dxa"/>
            <w:vAlign w:val="bottom"/>
          </w:tcPr>
          <w:p>
            <w:pPr>
              <w:ind w:left="20"/>
              <w:spacing w:after="0"/>
              <w:rPr>
                <w:sz w:val="20"/>
                <w:szCs w:val="20"/>
                <w:color w:val="auto"/>
              </w:rPr>
            </w:pPr>
            <w:r>
              <w:rPr>
                <w:rFonts w:ascii="Arial" w:cs="Arial" w:eastAsia="Arial" w:hAnsi="Arial"/>
                <w:sz w:val="14"/>
                <w:szCs w:val="14"/>
                <w:color w:val="auto"/>
              </w:rPr>
              <w:t>Transaction costs</w:t>
            </w:r>
          </w:p>
        </w:tc>
        <w:tc>
          <w:tcPr>
            <w:tcW w:w="36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58,540</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63,668</w:t>
            </w:r>
          </w:p>
        </w:tc>
      </w:tr>
      <w:tr>
        <w:trPr>
          <w:trHeight w:val="22"/>
        </w:trPr>
        <w:tc>
          <w:tcPr>
            <w:tcW w:w="5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1,775,487</w:t>
            </w:r>
          </w:p>
        </w:tc>
        <w:tc>
          <w:tcPr>
            <w:tcW w:w="4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3,267,533</w:t>
            </w:r>
          </w:p>
        </w:tc>
      </w:tr>
      <w:tr>
        <w:trPr>
          <w:trHeight w:val="191"/>
        </w:trPr>
        <w:tc>
          <w:tcPr>
            <w:tcW w:w="5800" w:type="dxa"/>
            <w:vAlign w:val="bottom"/>
          </w:tcPr>
          <w:p>
            <w:pPr>
              <w:ind w:left="20"/>
              <w:spacing w:after="0"/>
              <w:rPr>
                <w:sz w:val="20"/>
                <w:szCs w:val="20"/>
                <w:color w:val="auto"/>
              </w:rPr>
            </w:pPr>
            <w:r>
              <w:rPr>
                <w:rFonts w:ascii="Arial" w:cs="Arial" w:eastAsia="Arial" w:hAnsi="Arial"/>
                <w:sz w:val="14"/>
                <w:szCs w:val="14"/>
                <w:color w:val="auto"/>
              </w:rPr>
              <w:t>Valuation allowance</w:t>
            </w:r>
          </w:p>
        </w:tc>
        <w:tc>
          <w:tcPr>
            <w:tcW w:w="3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(359,924)</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(3,267,533)</w:t>
            </w:r>
          </w:p>
        </w:tc>
      </w:tr>
      <w:tr>
        <w:trPr>
          <w:trHeight w:val="22"/>
        </w:trPr>
        <w:tc>
          <w:tcPr>
            <w:tcW w:w="5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8"/>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deferred tax asset</w:t>
            </w: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1,415,563</w:t>
            </w:r>
          </w:p>
        </w:tc>
        <w:tc>
          <w:tcPr>
            <w:tcW w:w="4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net deferred tax asset is included in other non-current assets on the consolidated balance sheet.</w:t>
      </w:r>
    </w:p>
    <w:p>
      <w:pPr>
        <w:spacing w:after="0" w:line="306" w:lineRule="exact"/>
        <w:rPr>
          <w:sz w:val="20"/>
          <w:szCs w:val="20"/>
          <w:color w:val="auto"/>
        </w:rPr>
      </w:pPr>
    </w:p>
    <w:p>
      <w:pPr>
        <w:ind w:right="80" w:firstLine="340"/>
        <w:spacing w:after="0" w:line="281" w:lineRule="auto"/>
        <w:rPr>
          <w:sz w:val="20"/>
          <w:szCs w:val="20"/>
          <w:color w:val="auto"/>
        </w:rPr>
      </w:pPr>
      <w:r>
        <w:rPr>
          <w:rFonts w:ascii="Arial" w:cs="Arial" w:eastAsia="Arial" w:hAnsi="Arial"/>
          <w:sz w:val="14"/>
          <w:szCs w:val="14"/>
          <w:color w:val="auto"/>
        </w:rPr>
        <w:t>The (benefit)/expense from income taxes from continuing operations differs from the amount computed by applying the federal statutory income tax rate to our loss from continuing operations before income taxes as follows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60" w:type="dxa"/>
            <w:vAlign w:val="bottom"/>
            <w:shd w:val="clear" w:color="auto" w:fill="CCEEFF"/>
          </w:tcPr>
          <w:p>
            <w:pPr>
              <w:spacing w:after="0"/>
              <w:rPr>
                <w:sz w:val="18"/>
                <w:szCs w:val="18"/>
                <w:color w:val="auto"/>
              </w:rPr>
            </w:pPr>
          </w:p>
        </w:tc>
        <w:tc>
          <w:tcPr>
            <w:tcW w:w="2060" w:type="dxa"/>
            <w:vAlign w:val="bottom"/>
            <w:tcBorders>
              <w:bottom w:val="single" w:sz="8" w:color="auto"/>
            </w:tcBorders>
            <w:gridSpan w:val="3"/>
            <w:shd w:val="clear" w:color="auto" w:fill="CCEEFF"/>
          </w:tcPr>
          <w:p>
            <w:pPr>
              <w:ind w:left="780"/>
              <w:spacing w:after="0"/>
              <w:rPr>
                <w:sz w:val="20"/>
                <w:szCs w:val="20"/>
                <w:color w:val="auto"/>
              </w:rPr>
            </w:pPr>
            <w:r>
              <w:rPr>
                <w:rFonts w:ascii="Arial" w:cs="Arial" w:eastAsia="Arial" w:hAnsi="Arial"/>
                <w:sz w:val="11"/>
                <w:szCs w:val="11"/>
                <w:b w:val="1"/>
                <w:bCs w:val="1"/>
                <w:color w:val="auto"/>
                <w:w w:val="89"/>
              </w:rPr>
              <w:t>Years ended December 31,</w:t>
            </w:r>
          </w:p>
        </w:tc>
        <w:tc>
          <w:tcPr>
            <w:tcW w:w="760" w:type="dxa"/>
            <w:vAlign w:val="bottom"/>
            <w:tcBorders>
              <w:bottom w:val="single" w:sz="8" w:color="auto"/>
            </w:tcBorders>
            <w:shd w:val="clear" w:color="auto" w:fill="CCEEFF"/>
          </w:tcPr>
          <w:p>
            <w:pPr>
              <w:spacing w:after="0"/>
              <w:rPr>
                <w:sz w:val="18"/>
                <w:szCs w:val="18"/>
                <w:color w:val="auto"/>
              </w:rPr>
            </w:pPr>
          </w:p>
        </w:tc>
      </w:tr>
      <w:tr>
        <w:trPr>
          <w:trHeight w:val="203"/>
        </w:trPr>
        <w:tc>
          <w:tcPr>
            <w:tcW w:w="84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rPr>
              <w:t>2019</w:t>
            </w:r>
          </w:p>
        </w:tc>
        <w:tc>
          <w:tcPr>
            <w:tcW w:w="2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w w:val="81"/>
              </w:rPr>
              <w:t>2018</w:t>
            </w:r>
          </w:p>
        </w:tc>
      </w:tr>
      <w:tr>
        <w:trPr>
          <w:trHeight w:val="187"/>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 at federal statutory rate</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21.00 %</w:t>
            </w:r>
          </w:p>
        </w:tc>
        <w:tc>
          <w:tcPr>
            <w:tcW w:w="2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21.00 %</w:t>
            </w:r>
          </w:p>
        </w:tc>
      </w:tr>
      <w:tr>
        <w:trPr>
          <w:trHeight w:val="191"/>
        </w:trPr>
        <w:tc>
          <w:tcPr>
            <w:tcW w:w="8460" w:type="dxa"/>
            <w:vAlign w:val="bottom"/>
          </w:tcPr>
          <w:p>
            <w:pPr>
              <w:ind w:left="20"/>
              <w:spacing w:after="0"/>
              <w:rPr>
                <w:sz w:val="20"/>
                <w:szCs w:val="20"/>
                <w:color w:val="auto"/>
              </w:rPr>
            </w:pPr>
            <w:r>
              <w:rPr>
                <w:rFonts w:ascii="Arial" w:cs="Arial" w:eastAsia="Arial" w:hAnsi="Arial"/>
                <w:sz w:val="14"/>
                <w:szCs w:val="14"/>
                <w:color w:val="auto"/>
              </w:rPr>
              <w:t>State taxes, net of federal tax effects</w:t>
            </w:r>
          </w:p>
        </w:tc>
        <w:tc>
          <w:tcPr>
            <w:tcW w:w="1300" w:type="dxa"/>
            <w:vAlign w:val="bottom"/>
          </w:tcPr>
          <w:p>
            <w:pPr>
              <w:jc w:val="right"/>
              <w:spacing w:after="0"/>
              <w:rPr>
                <w:sz w:val="20"/>
                <w:szCs w:val="20"/>
                <w:color w:val="auto"/>
              </w:rPr>
            </w:pPr>
            <w:r>
              <w:rPr>
                <w:rFonts w:ascii="Arial" w:cs="Arial" w:eastAsia="Arial" w:hAnsi="Arial"/>
                <w:sz w:val="14"/>
                <w:szCs w:val="14"/>
                <w:color w:val="auto"/>
              </w:rPr>
              <w:t>(8.67)%</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2"/>
        </w:trPr>
        <w:tc>
          <w:tcPr>
            <w:tcW w:w="8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 in valuation allowance</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(67.39)%</w:t>
            </w:r>
          </w:p>
        </w:tc>
        <w:tc>
          <w:tcPr>
            <w:tcW w:w="2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(27.65)%</w:t>
            </w:r>
          </w:p>
        </w:tc>
      </w:tr>
      <w:tr>
        <w:trPr>
          <w:trHeight w:val="191"/>
        </w:trPr>
        <w:tc>
          <w:tcPr>
            <w:tcW w:w="8460" w:type="dxa"/>
            <w:vAlign w:val="bottom"/>
          </w:tcPr>
          <w:p>
            <w:pPr>
              <w:ind w:left="20"/>
              <w:spacing w:after="0"/>
              <w:rPr>
                <w:sz w:val="20"/>
                <w:szCs w:val="20"/>
                <w:color w:val="auto"/>
              </w:rPr>
            </w:pPr>
            <w:r>
              <w:rPr>
                <w:rFonts w:ascii="Arial" w:cs="Arial" w:eastAsia="Arial" w:hAnsi="Arial"/>
                <w:sz w:val="14"/>
                <w:szCs w:val="14"/>
                <w:color w:val="auto"/>
              </w:rPr>
              <w:t>Incentive stock options</w:t>
            </w:r>
          </w:p>
        </w:tc>
        <w:tc>
          <w:tcPr>
            <w:tcW w:w="1300" w:type="dxa"/>
            <w:vAlign w:val="bottom"/>
          </w:tcPr>
          <w:p>
            <w:pPr>
              <w:jc w:val="right"/>
              <w:spacing w:after="0"/>
              <w:rPr>
                <w:sz w:val="20"/>
                <w:szCs w:val="20"/>
                <w:color w:val="auto"/>
              </w:rPr>
            </w:pPr>
            <w:r>
              <w:rPr>
                <w:rFonts w:ascii="Arial" w:cs="Arial" w:eastAsia="Arial" w:hAnsi="Arial"/>
                <w:sz w:val="14"/>
                <w:szCs w:val="14"/>
                <w:color w:val="auto"/>
              </w:rPr>
              <w:t>(1.75)%</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22"/>
        </w:trPr>
        <w:tc>
          <w:tcPr>
            <w:tcW w:w="8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to return adjustments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7.26 %</w:t>
            </w:r>
          </w:p>
        </w:tc>
        <w:tc>
          <w:tcPr>
            <w:tcW w:w="2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21.24 %</w:t>
            </w:r>
          </w:p>
        </w:tc>
      </w:tr>
      <w:tr>
        <w:trPr>
          <w:trHeight w:val="191"/>
        </w:trPr>
        <w:tc>
          <w:tcPr>
            <w:tcW w:w="8460" w:type="dxa"/>
            <w:vAlign w:val="bottom"/>
          </w:tcPr>
          <w:p>
            <w:pPr>
              <w:ind w:left="20"/>
              <w:spacing w:after="0"/>
              <w:rPr>
                <w:sz w:val="20"/>
                <w:szCs w:val="20"/>
                <w:color w:val="auto"/>
              </w:rPr>
            </w:pPr>
            <w:r>
              <w:rPr>
                <w:rFonts w:ascii="Arial" w:cs="Arial" w:eastAsia="Arial" w:hAnsi="Arial"/>
                <w:sz w:val="14"/>
                <w:szCs w:val="14"/>
                <w:color w:val="auto"/>
              </w:rPr>
              <w:t>Meals and entertainment</w:t>
            </w:r>
          </w:p>
        </w:tc>
        <w:tc>
          <w:tcPr>
            <w:tcW w:w="1300" w:type="dxa"/>
            <w:vAlign w:val="bottom"/>
          </w:tcPr>
          <w:p>
            <w:pPr>
              <w:jc w:val="right"/>
              <w:spacing w:after="0"/>
              <w:rPr>
                <w:sz w:val="20"/>
                <w:szCs w:val="20"/>
                <w:color w:val="auto"/>
              </w:rPr>
            </w:pPr>
            <w:r>
              <w:rPr>
                <w:rFonts w:ascii="Arial" w:cs="Arial" w:eastAsia="Arial" w:hAnsi="Arial"/>
                <w:sz w:val="14"/>
                <w:szCs w:val="14"/>
                <w:color w:val="auto"/>
              </w:rPr>
              <w:t>0.50 %</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0.97 %</w:t>
            </w:r>
          </w:p>
        </w:tc>
      </w:tr>
      <w:tr>
        <w:trPr>
          <w:trHeight w:val="22"/>
        </w:trPr>
        <w:tc>
          <w:tcPr>
            <w:tcW w:w="8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AMT credit</w:t>
            </w:r>
          </w:p>
        </w:tc>
        <w:tc>
          <w:tcPr>
            <w:tcW w:w="2060" w:type="dxa"/>
            <w:vAlign w:val="bottom"/>
            <w:tcBorders>
              <w:bottom w:val="single" w:sz="8" w:color="CCEEFF"/>
            </w:tcBorders>
            <w:gridSpan w:val="3"/>
            <w:shd w:val="clear" w:color="auto" w:fill="CCEEFF"/>
          </w:tcPr>
          <w:p>
            <w:pPr>
              <w:ind w:left="960"/>
              <w:spacing w:after="0"/>
              <w:rPr>
                <w:sz w:val="20"/>
                <w:szCs w:val="20"/>
                <w:color w:val="auto"/>
              </w:rPr>
            </w:pPr>
            <w:r>
              <w:rPr>
                <w:rFonts w:ascii="Arial" w:cs="Arial" w:eastAsia="Arial" w:hAnsi="Arial"/>
                <w:sz w:val="14"/>
                <w:szCs w:val="14"/>
                <w:color w:val="auto"/>
              </w:rPr>
              <w:t>—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(9.83)%</w:t>
            </w:r>
          </w:p>
        </w:tc>
      </w:tr>
      <w:tr>
        <w:trPr>
          <w:trHeight w:val="191"/>
        </w:trPr>
        <w:tc>
          <w:tcPr>
            <w:tcW w:w="8460" w:type="dxa"/>
            <w:vAlign w:val="bottom"/>
          </w:tcPr>
          <w:p>
            <w:pPr>
              <w:ind w:left="20"/>
              <w:spacing w:after="0"/>
              <w:rPr>
                <w:sz w:val="20"/>
                <w:szCs w:val="20"/>
                <w:color w:val="auto"/>
              </w:rPr>
            </w:pPr>
            <w:r>
              <w:rPr>
                <w:rFonts w:ascii="Arial" w:cs="Arial" w:eastAsia="Arial" w:hAnsi="Arial"/>
                <w:sz w:val="14"/>
                <w:szCs w:val="14"/>
                <w:color w:val="auto"/>
              </w:rPr>
              <w:t>Other permanent differences</w:t>
            </w:r>
          </w:p>
        </w:tc>
        <w:tc>
          <w:tcPr>
            <w:tcW w:w="1300" w:type="dxa"/>
            <w:vAlign w:val="bottom"/>
          </w:tcPr>
          <w:p>
            <w:pPr>
              <w:jc w:val="right"/>
              <w:spacing w:after="0"/>
              <w:rPr>
                <w:sz w:val="20"/>
                <w:szCs w:val="20"/>
                <w:color w:val="auto"/>
              </w:rPr>
            </w:pPr>
            <w:r>
              <w:rPr>
                <w:rFonts w:ascii="Arial" w:cs="Arial" w:eastAsia="Arial" w:hAnsi="Arial"/>
                <w:sz w:val="14"/>
                <w:szCs w:val="14"/>
                <w:color w:val="auto"/>
              </w:rPr>
              <w:t>4.20 %</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(0.88)%</w:t>
            </w:r>
          </w:p>
        </w:tc>
      </w:tr>
      <w:tr>
        <w:trPr>
          <w:trHeight w:val="22"/>
        </w:trPr>
        <w:tc>
          <w:tcPr>
            <w:tcW w:w="84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(benefit)/expense</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(44.85)%</w:t>
            </w:r>
          </w:p>
        </w:tc>
        <w:tc>
          <w:tcPr>
            <w:tcW w:w="2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3.80 %</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0" w:firstLine="340"/>
        <w:spacing w:after="0" w:line="281" w:lineRule="auto"/>
        <w:rPr>
          <w:sz w:val="20"/>
          <w:szCs w:val="20"/>
          <w:color w:val="auto"/>
        </w:rPr>
      </w:pPr>
      <w:r>
        <w:rPr>
          <w:rFonts w:ascii="Arial" w:cs="Arial" w:eastAsia="Arial" w:hAnsi="Arial"/>
          <w:sz w:val="14"/>
          <w:szCs w:val="14"/>
          <w:color w:val="auto"/>
        </w:rPr>
        <w:t>The realization of our deferred income tax assets is dependent upon sufficient taxable income in future periods. In assessing whether deferred tax assets may be realized, we consider whether it is more likely than not that some portion, or all,</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280"/>
          </w:cols>
          <w:pgMar w:left="300" w:top="125" w:right="319" w:bottom="1440" w:gutter="0" w:footer="0" w:header="0"/>
          <w:type w:val="continuous"/>
        </w:sectPr>
      </w:pPr>
    </w:p>
    <w:bookmarkStart w:id="71" w:name="page72"/>
    <w:bookmarkEnd w:id="7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10"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of the deferred tax asset will be realized. We consider scheduled reversals of deferred tax liabilities, projected future taxable income and tax planning strategies that we can implement in making our assessment. We have net operating loss ("NOL") carryforwards of approximately $6.0 million for API expiring at varying dates through 2035.</w:t>
      </w:r>
    </w:p>
    <w:p>
      <w:pPr>
        <w:spacing w:after="0" w:line="90" w:lineRule="exact"/>
        <w:rPr>
          <w:sz w:val="20"/>
          <w:szCs w:val="20"/>
          <w:color w:val="auto"/>
        </w:rPr>
      </w:pPr>
    </w:p>
    <w:p>
      <w:pPr>
        <w:ind w:right="80" w:firstLine="340"/>
        <w:spacing w:after="0" w:line="267" w:lineRule="auto"/>
        <w:rPr>
          <w:sz w:val="20"/>
          <w:szCs w:val="20"/>
          <w:color w:val="auto"/>
        </w:rPr>
      </w:pPr>
      <w:r>
        <w:rPr>
          <w:rFonts w:ascii="Arial" w:cs="Arial" w:eastAsia="Arial" w:hAnsi="Arial"/>
          <w:sz w:val="14"/>
          <w:szCs w:val="14"/>
          <w:color w:val="auto"/>
        </w:rPr>
        <w:t>In 2015, we performed a formal Section 382 study and determined that we do not have a limitation on our NOLs available to offset future income. As a result of the acquisition of API, the API NOL carryover and research and development credits will be subject to the Section 382 limitation. A formal Section 382 study was prepared in 2019, and it was determined that there was no ownership changes in 2019 resulting in a limitation on NOLs, but a portion of the NOLs will expire unutilized.</w:t>
      </w:r>
    </w:p>
    <w:p>
      <w:pPr>
        <w:spacing w:after="0" w:line="99" w:lineRule="exact"/>
        <w:rPr>
          <w:sz w:val="20"/>
          <w:szCs w:val="20"/>
          <w:color w:val="auto"/>
        </w:rPr>
      </w:pPr>
    </w:p>
    <w:p>
      <w:pPr>
        <w:ind w:firstLine="340"/>
        <w:spacing w:after="0" w:line="267" w:lineRule="auto"/>
        <w:rPr>
          <w:sz w:val="20"/>
          <w:szCs w:val="20"/>
          <w:color w:val="auto"/>
        </w:rPr>
      </w:pPr>
      <w:r>
        <w:rPr>
          <w:rFonts w:ascii="Arial" w:cs="Arial" w:eastAsia="Arial" w:hAnsi="Arial"/>
          <w:sz w:val="14"/>
          <w:szCs w:val="14"/>
          <w:color w:val="auto"/>
        </w:rPr>
        <w:t>The U.S. federal statute of limitations remains open for the year 2016 and onward. We currently have no federal income tax returns under examination. U.S. state jurisdictions have statutes of limitation generally ranging from three to seven years. We currently have no state income or franchise tax returns under examination. We currently do not file tax returns in any foreign tax jurisdiction other than Canada.</w:t>
      </w:r>
    </w:p>
    <w:p>
      <w:pPr>
        <w:spacing w:after="0" w:line="99" w:lineRule="exact"/>
        <w:rPr>
          <w:sz w:val="20"/>
          <w:szCs w:val="20"/>
          <w:color w:val="auto"/>
        </w:rPr>
      </w:pPr>
    </w:p>
    <w:p>
      <w:pPr>
        <w:ind w:firstLine="340"/>
        <w:spacing w:after="0" w:line="313" w:lineRule="auto"/>
        <w:rPr>
          <w:sz w:val="20"/>
          <w:szCs w:val="20"/>
          <w:color w:val="auto"/>
        </w:rPr>
      </w:pPr>
      <w:r>
        <w:rPr>
          <w:rFonts w:ascii="Arial" w:cs="Arial" w:eastAsia="Arial" w:hAnsi="Arial"/>
          <w:sz w:val="12"/>
          <w:szCs w:val="12"/>
          <w:color w:val="auto"/>
        </w:rPr>
        <w:t>As of December 31, 2019, we are no longer in a three-year cumulative loss position, which required additional analysis to be performed in order to determine the likelihood of realizing the deferred tax assets in the foreseeable future. After further analysis, it was determined that a portion of the December 31, 2019 balance of deferred tax assets will be realized. Because the NOLs carried over from API are limited under Section 382, the deferred tax asset of $1.2 million is expected to be realized over an extended period of time (with continued earnings realized ratably through 2034). The deferred tax asset related to the NOL carryovers of API Canada, Luna Analytics, Luna Nanomaterials, and Luna Quest will likely not be realized in the foreseeable future as these entities no longer have any activity. As of December 31, 2019, valuation allowances of $3.3 million were released and a tax benefit has been recognized in our consolidated statement of operations.</w:t>
      </w:r>
    </w:p>
    <w:p>
      <w:pPr>
        <w:spacing w:after="0" w:line="200" w:lineRule="exact"/>
        <w:rPr>
          <w:sz w:val="20"/>
          <w:szCs w:val="20"/>
          <w:color w:val="auto"/>
        </w:rPr>
      </w:pPr>
    </w:p>
    <w:p>
      <w:pPr>
        <w:spacing w:after="0" w:line="21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14.</w:t>
      </w:r>
      <w:r>
        <w:rPr>
          <w:sz w:val="20"/>
          <w:szCs w:val="20"/>
          <w:color w:val="auto"/>
        </w:rPr>
        <w:tab/>
      </w:r>
      <w:r>
        <w:rPr>
          <w:rFonts w:ascii="Arial" w:cs="Arial" w:eastAsia="Arial" w:hAnsi="Arial"/>
          <w:sz w:val="12"/>
          <w:szCs w:val="12"/>
          <w:b w:val="1"/>
          <w:bCs w:val="1"/>
          <w:color w:val="auto"/>
        </w:rPr>
        <w:t>Commitments and Contingencies</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Litigation and other contingencies</w:t>
      </w:r>
    </w:p>
    <w:p>
      <w:pPr>
        <w:spacing w:after="0" w:line="72" w:lineRule="exact"/>
        <w:rPr>
          <w:sz w:val="20"/>
          <w:szCs w:val="20"/>
          <w:color w:val="auto"/>
        </w:rPr>
      </w:pPr>
    </w:p>
    <w:p>
      <w:pPr>
        <w:jc w:val="both"/>
        <w:ind w:right="300" w:firstLine="340"/>
        <w:spacing w:after="0" w:line="267" w:lineRule="auto"/>
        <w:rPr>
          <w:sz w:val="20"/>
          <w:szCs w:val="20"/>
          <w:color w:val="auto"/>
        </w:rPr>
      </w:pPr>
      <w:r>
        <w:rPr>
          <w:rFonts w:ascii="Arial" w:cs="Arial" w:eastAsia="Arial" w:hAnsi="Arial"/>
          <w:sz w:val="14"/>
          <w:szCs w:val="14"/>
          <w:color w:val="auto"/>
        </w:rPr>
        <w:t>From time to time, we may become involved in litigation in relation to claims arising out of our operations in the normal course of business. While management currently believes it is not reasonably possible the amount of ultimate liability, if any, with respect to these actions will have a material adverse effect on our financial position, results of operations or liquidity, the ultimate outcome of any litigation is uncertain.</w:t>
      </w:r>
    </w:p>
    <w:p>
      <w:pPr>
        <w:spacing w:after="0" w:line="36" w:lineRule="exact"/>
        <w:rPr>
          <w:sz w:val="20"/>
          <w:szCs w:val="20"/>
          <w:color w:val="auto"/>
        </w:rPr>
      </w:pPr>
    </w:p>
    <w:p>
      <w:pPr>
        <w:ind w:firstLine="340"/>
        <w:spacing w:after="0" w:line="284" w:lineRule="auto"/>
        <w:rPr>
          <w:sz w:val="20"/>
          <w:szCs w:val="20"/>
          <w:color w:val="auto"/>
        </w:rPr>
      </w:pPr>
      <w:r>
        <w:rPr>
          <w:rFonts w:ascii="Arial" w:cs="Arial" w:eastAsia="Arial" w:hAnsi="Arial"/>
          <w:sz w:val="13"/>
          <w:szCs w:val="13"/>
          <w:color w:val="auto"/>
        </w:rPr>
        <w:t>In December 2018, we received a notice of claim (the "Claim") from Macom Technology Solutions, Inc. ("Macom"), who acquired our HSOR business in August 2017 pursuant to an asset purchase agreement. Under the asset purchase agreement, we agreed to indemnify Macom for certain matters, including, among other things, the collection of accounts receivable from certain major customers, and placed $4.0 million of the purchase price into an escrow account for the potential settlement of any valid indemnity claims. The Claim received from Macom totaled $2.1 million under various indemnity provisions. We have disputed Macom's assertion of right to payment for the matters described in the Claim. It is uncertain what amount, if any, will be owed in settlement of the Claim. As of December 31, 2019, $1.5 million of the escrow balance had been received with the remaining $2.5 million in the escrow account pending resolution of the dispute.</w:t>
      </w:r>
    </w:p>
    <w:p>
      <w:pPr>
        <w:spacing w:after="0" w:line="49" w:lineRule="exact"/>
        <w:rPr>
          <w:sz w:val="20"/>
          <w:szCs w:val="20"/>
          <w:color w:val="auto"/>
        </w:rPr>
      </w:pPr>
    </w:p>
    <w:p>
      <w:pPr>
        <w:ind w:right="120" w:firstLine="340"/>
        <w:spacing w:after="0" w:line="331" w:lineRule="auto"/>
        <w:rPr>
          <w:sz w:val="20"/>
          <w:szCs w:val="20"/>
          <w:color w:val="auto"/>
        </w:rPr>
      </w:pPr>
      <w:r>
        <w:rPr>
          <w:rFonts w:ascii="Arial" w:cs="Arial" w:eastAsia="Arial" w:hAnsi="Arial"/>
          <w:sz w:val="12"/>
          <w:szCs w:val="12"/>
          <w:color w:val="auto"/>
        </w:rPr>
        <w:t>On July 31, 2018, we sold the assets associated with our optoelectronic components and sub-assemblies ("Opto") business to an unaffiliated third party. The asset purchase agreement provides for additional consideration of up to $1.0 million contingent upon the achievement of a specified revenue level by the sold business during the 18 months following the sale. There have been no amounts recorded in reference to the above matter in the financial statements as of December 31, 2019. It is uncertain what amount, if any, will be received with respect to this potential adjustment.</w:t>
      </w:r>
    </w:p>
    <w:p>
      <w:pPr>
        <w:spacing w:after="0" w:line="66" w:lineRule="exact"/>
        <w:rPr>
          <w:sz w:val="20"/>
          <w:szCs w:val="20"/>
          <w:color w:val="auto"/>
        </w:rPr>
      </w:pPr>
    </w:p>
    <w:p>
      <w:pPr>
        <w:ind w:firstLine="340"/>
        <w:spacing w:after="0" w:line="262" w:lineRule="auto"/>
        <w:rPr>
          <w:sz w:val="20"/>
          <w:szCs w:val="20"/>
          <w:color w:val="auto"/>
        </w:rPr>
      </w:pPr>
      <w:r>
        <w:rPr>
          <w:rFonts w:ascii="Arial" w:cs="Arial" w:eastAsia="Arial" w:hAnsi="Arial"/>
          <w:sz w:val="14"/>
          <w:szCs w:val="14"/>
          <w:color w:val="auto"/>
        </w:rPr>
        <w:t>We have made, and will continue to make, efforts to comply with current and future environmental laws. We anticipate that we could incur additional capital and operating costs in the future to comply with existing environmental laws and new requirements arising from new or amended statutes and regulations. In addition, because the applicable regulatory agencies have not yet promulgated final standards for some existing environmental programs, we cannot at this time reasonably estimate the cost for compliance with these additional requirements. The amount of any such compliance costs could be material. We cannot predict the impact that future regulations will impose upon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Obligation under Operating Leases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See Note 10 - Leases for discussion of our lease obligations.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280"/>
          </w:cols>
          <w:pgMar w:left="300" w:top="125" w:right="31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Purchase Commitment</w:t>
      </w:r>
    </w:p>
    <w:p>
      <w:pPr>
        <w:spacing w:after="0" w:line="179" w:lineRule="exact"/>
        <w:rPr>
          <w:sz w:val="20"/>
          <w:szCs w:val="20"/>
          <w:color w:val="auto"/>
        </w:rPr>
      </w:pPr>
    </w:p>
    <w:p>
      <w:pPr>
        <w:ind w:right="60" w:firstLine="340"/>
        <w:spacing w:after="0" w:line="267" w:lineRule="auto"/>
        <w:rPr>
          <w:sz w:val="20"/>
          <w:szCs w:val="20"/>
          <w:color w:val="auto"/>
        </w:rPr>
      </w:pPr>
      <w:r>
        <w:rPr>
          <w:rFonts w:ascii="Arial" w:cs="Arial" w:eastAsia="Arial" w:hAnsi="Arial"/>
          <w:sz w:val="14"/>
          <w:szCs w:val="14"/>
          <w:color w:val="auto"/>
        </w:rPr>
        <w:t>We executed a non-cancelable purchase order totaling $1.1 million in the first quarter of 2018 and a non-cancelable purchase order totaling $1.9 million in the third quarter of 2019 for multiple shipments of tunable lasers to be delivered over an 18-month period. At December 31, 2019, approximately $1.3 million of these commitments remained and is expected to be delivered by December 31, 2020.</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Royalty Agreement</w:t>
      </w:r>
    </w:p>
    <w:p>
      <w:pPr>
        <w:spacing w:after="0" w:line="72" w:lineRule="exact"/>
        <w:rPr>
          <w:sz w:val="20"/>
          <w:szCs w:val="20"/>
          <w:color w:val="auto"/>
        </w:rPr>
      </w:pPr>
    </w:p>
    <w:p>
      <w:pPr>
        <w:ind w:right="420" w:firstLine="340"/>
        <w:spacing w:after="0" w:line="281" w:lineRule="auto"/>
        <w:rPr>
          <w:sz w:val="20"/>
          <w:szCs w:val="20"/>
          <w:color w:val="auto"/>
        </w:rPr>
      </w:pPr>
      <w:r>
        <w:rPr>
          <w:rFonts w:ascii="Arial" w:cs="Arial" w:eastAsia="Arial" w:hAnsi="Arial"/>
          <w:sz w:val="14"/>
          <w:szCs w:val="14"/>
          <w:color w:val="auto"/>
        </w:rPr>
        <w:t>We have licensed certain third-party technologies from vendors for which we owe minimum royalties aggregating $0.2 million payable over the remaining patent terms of the underlying technology.</w:t>
      </w:r>
    </w:p>
    <w:p>
      <w:pPr>
        <w:spacing w:after="0" w:line="19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15.</w:t>
      </w:r>
      <w:r>
        <w:rPr>
          <w:sz w:val="20"/>
          <w:szCs w:val="20"/>
          <w:color w:val="auto"/>
        </w:rPr>
        <w:tab/>
      </w:r>
      <w:r>
        <w:rPr>
          <w:rFonts w:ascii="Arial" w:cs="Arial" w:eastAsia="Arial" w:hAnsi="Arial"/>
          <w:sz w:val="12"/>
          <w:szCs w:val="12"/>
          <w:b w:val="1"/>
          <w:bCs w:val="1"/>
          <w:color w:val="auto"/>
        </w:rPr>
        <w:t>Employee Profit Sharing Plan</w:t>
      </w:r>
    </w:p>
    <w:p>
      <w:pPr>
        <w:spacing w:after="0" w:line="76" w:lineRule="exact"/>
        <w:rPr>
          <w:sz w:val="20"/>
          <w:szCs w:val="20"/>
          <w:color w:val="auto"/>
        </w:rPr>
      </w:pPr>
    </w:p>
    <w:p>
      <w:pPr>
        <w:ind w:right="100" w:firstLine="340"/>
        <w:spacing w:after="0" w:line="281" w:lineRule="auto"/>
        <w:rPr>
          <w:sz w:val="20"/>
          <w:szCs w:val="20"/>
          <w:color w:val="auto"/>
        </w:rPr>
      </w:pPr>
      <w:r>
        <w:rPr>
          <w:rFonts w:ascii="Arial" w:cs="Arial" w:eastAsia="Arial" w:hAnsi="Arial"/>
          <w:sz w:val="14"/>
          <w:szCs w:val="14"/>
          <w:color w:val="auto"/>
        </w:rPr>
        <w:t>We maintain a salary reduction/profit-sharing plan under provisions of Section 401(k) of the Internal Revenue Code. The plan is offered to all permanent employees. We contribute 30% of the salary deferral elected by each employee up to a maximum deferral of 10% of annual salary.</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We contributed approximately $0.4 million and $0.3 million to the plan for the years ended December 31, 2019 and December 31, 2018, respectively.</w:t>
      </w:r>
    </w:p>
    <w:p>
      <w:pPr>
        <w:spacing w:after="0" w:line="23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16.</w:t>
      </w:r>
      <w:r>
        <w:rPr>
          <w:sz w:val="20"/>
          <w:szCs w:val="20"/>
          <w:color w:val="auto"/>
        </w:rPr>
        <w:tab/>
      </w:r>
      <w:r>
        <w:rPr>
          <w:rFonts w:ascii="Arial" w:cs="Arial" w:eastAsia="Arial" w:hAnsi="Arial"/>
          <w:sz w:val="13"/>
          <w:szCs w:val="13"/>
          <w:b w:val="1"/>
          <w:bCs w:val="1"/>
          <w:color w:val="auto"/>
        </w:rPr>
        <w:t>Relationship with Major Customers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During the years ended December 31, 2019 and 2018, approximately 40% and 53%, respectively, of our consolidated revenues were attributable to contracts with the U.S. government.</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At December 31, 2019 and 2018, receivables with respect to contracts with the U.S. government represented 12% and 23% of total trade receivables, respectively.</w:t>
      </w:r>
    </w:p>
    <w:p>
      <w:pPr>
        <w:spacing w:after="0" w:line="23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17.</w:t>
      </w:r>
      <w:r>
        <w:rPr>
          <w:sz w:val="20"/>
          <w:szCs w:val="20"/>
          <w:color w:val="auto"/>
        </w:rPr>
        <w:tab/>
      </w:r>
      <w:r>
        <w:rPr>
          <w:rFonts w:ascii="Arial" w:cs="Arial" w:eastAsia="Arial" w:hAnsi="Arial"/>
          <w:sz w:val="12"/>
          <w:szCs w:val="12"/>
          <w:b w:val="1"/>
          <w:bCs w:val="1"/>
          <w:color w:val="auto"/>
        </w:rPr>
        <w:t>Financial Information About Segments</w:t>
      </w:r>
    </w:p>
    <w:p>
      <w:pPr>
        <w:spacing w:after="0" w:line="76" w:lineRule="exact"/>
        <w:rPr>
          <w:sz w:val="20"/>
          <w:szCs w:val="20"/>
          <w:color w:val="auto"/>
        </w:rPr>
      </w:pPr>
    </w:p>
    <w:p>
      <w:pPr>
        <w:ind w:firstLine="340"/>
        <w:spacing w:after="0" w:line="267" w:lineRule="auto"/>
        <w:rPr>
          <w:sz w:val="20"/>
          <w:szCs w:val="20"/>
          <w:color w:val="auto"/>
        </w:rPr>
      </w:pPr>
      <w:r>
        <w:rPr>
          <w:rFonts w:ascii="Arial" w:cs="Arial" w:eastAsia="Arial" w:hAnsi="Arial"/>
          <w:sz w:val="14"/>
          <w:szCs w:val="14"/>
          <w:color w:val="auto"/>
        </w:rPr>
        <w:t>Our operations are divided into two reportable segments: Products and Licensing and Technology Development. The Products and Licensing segment develops and sells products or licenses technologies based on commercially viable concepts developed by the Technology Development segment. The Products and Licensing segment derives its revenue from product sales, funded product development and technology licenses.</w:t>
      </w:r>
    </w:p>
    <w:p>
      <w:pPr>
        <w:spacing w:after="0" w:line="36" w:lineRule="exact"/>
        <w:rPr>
          <w:sz w:val="20"/>
          <w:szCs w:val="20"/>
          <w:color w:val="auto"/>
        </w:rPr>
      </w:pPr>
    </w:p>
    <w:p>
      <w:pPr>
        <w:ind w:right="20" w:firstLine="340"/>
        <w:spacing w:after="0" w:line="297" w:lineRule="auto"/>
        <w:rPr>
          <w:sz w:val="20"/>
          <w:szCs w:val="20"/>
          <w:color w:val="auto"/>
        </w:rPr>
      </w:pPr>
      <w:r>
        <w:rPr>
          <w:rFonts w:ascii="Arial" w:cs="Arial" w:eastAsia="Arial" w:hAnsi="Arial"/>
          <w:sz w:val="13"/>
          <w:szCs w:val="13"/>
          <w:color w:val="auto"/>
        </w:rPr>
        <w:t>Our engineers and scientists collaborate with our network of government, academic and industry experts to identify technologies and ideas with promising market potential. We then compete to win fee-for-service contracts from government agencies and industrial customers who seek innovative solutions to practical problems that require new technology. The Technology Development segment derives its revenue primarily from services. The Technology Development segment provides applied research to customers in our areas of focus.</w:t>
      </w:r>
    </w:p>
    <w:p>
      <w:pPr>
        <w:spacing w:after="0" w:line="82" w:lineRule="exact"/>
        <w:rPr>
          <w:sz w:val="20"/>
          <w:szCs w:val="20"/>
          <w:color w:val="auto"/>
        </w:rPr>
      </w:pPr>
    </w:p>
    <w:p>
      <w:pPr>
        <w:ind w:right="80" w:firstLine="340"/>
        <w:spacing w:after="0" w:line="281" w:lineRule="auto"/>
        <w:rPr>
          <w:sz w:val="20"/>
          <w:szCs w:val="20"/>
          <w:color w:val="auto"/>
        </w:rPr>
      </w:pPr>
      <w:r>
        <w:rPr>
          <w:rFonts w:ascii="Arial" w:cs="Arial" w:eastAsia="Arial" w:hAnsi="Arial"/>
          <w:sz w:val="14"/>
          <w:szCs w:val="14"/>
          <w:color w:val="auto"/>
        </w:rPr>
        <w:t>Our President and Chief Executive Officer and his direct reports collectively represent our chief operating decision makers, and they evaluate segment performance based primarily on revenue and operating income or loss.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2"/>
          <w:szCs w:val="12"/>
          <w:color w:val="auto"/>
        </w:rPr>
        <w:t>Information about the results of operations for each segment is set forth in the table below. There were no significant inter-segment sales during the years ended December 31, 2019 and 2018.</w:t>
      </w:r>
    </w:p>
    <w:p>
      <w:pPr>
        <w:spacing w:after="0" w:line="159" w:lineRule="exact"/>
        <w:rPr>
          <w:sz w:val="20"/>
          <w:szCs w:val="20"/>
          <w:color w:val="auto"/>
        </w:rPr>
      </w:pPr>
    </w:p>
    <w:p>
      <w:pPr>
        <w:ind w:right="60" w:firstLine="340"/>
        <w:spacing w:after="0" w:line="321" w:lineRule="auto"/>
        <w:rPr>
          <w:sz w:val="20"/>
          <w:szCs w:val="20"/>
          <w:color w:val="auto"/>
        </w:rPr>
      </w:pPr>
      <w:r>
        <w:rPr>
          <w:rFonts w:ascii="Arial" w:cs="Arial" w:eastAsia="Arial" w:hAnsi="Arial"/>
          <w:sz w:val="13"/>
          <w:szCs w:val="13"/>
          <w:color w:val="auto"/>
        </w:rPr>
        <w:t>During the years ended December 31, 2019 and 2018, 32% and 24%, respectively, of our total sales took place outside the United States. Customers in China represented 11% of total revenues in the year ended December 31, 2019, while no other single country, outside of the United States, represented more than 10% of total revenues in the year ended December 31, 2018.</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260"/>
          </w:cols>
          <w:pgMar w:left="300" w:top="125" w:right="3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3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b w:val="1"/>
                <w:bCs w:val="1"/>
                <w:color w:val="auto"/>
              </w:rPr>
              <w:t>Years ended December 31,</w:t>
            </w:r>
          </w:p>
        </w:tc>
        <w:tc>
          <w:tcPr>
            <w:tcW w:w="8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3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1"/>
                <w:szCs w:val="11"/>
                <w:b w:val="1"/>
                <w:bCs w:val="1"/>
                <w:color w:val="auto"/>
              </w:rPr>
              <w:t>2019</w:t>
            </w:r>
          </w:p>
        </w:tc>
        <w:tc>
          <w:tcPr>
            <w:tcW w:w="2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w w:val="89"/>
              </w:rPr>
              <w:t>2018</w:t>
            </w:r>
          </w:p>
        </w:tc>
        <w:tc>
          <w:tcPr>
            <w:tcW w:w="0" w:type="dxa"/>
            <w:vAlign w:val="bottom"/>
          </w:tcPr>
          <w:p>
            <w:pPr>
              <w:spacing w:after="0"/>
              <w:rPr>
                <w:sz w:val="1"/>
                <w:szCs w:val="1"/>
                <w:color w:val="auto"/>
              </w:rPr>
            </w:pPr>
          </w:p>
        </w:tc>
      </w:tr>
      <w:tr>
        <w:trPr>
          <w:trHeight w:val="187"/>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Products and Licensing revenue</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44,491,041</w:t>
            </w:r>
          </w:p>
        </w:tc>
        <w:tc>
          <w:tcPr>
            <w:tcW w:w="2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96"/>
              </w:rPr>
              <w:t>21,949,689</w:t>
            </w:r>
          </w:p>
        </w:tc>
        <w:tc>
          <w:tcPr>
            <w:tcW w:w="0" w:type="dxa"/>
            <w:vAlign w:val="bottom"/>
          </w:tcPr>
          <w:p>
            <w:pPr>
              <w:spacing w:after="0"/>
              <w:rPr>
                <w:sz w:val="1"/>
                <w:szCs w:val="1"/>
                <w:color w:val="auto"/>
              </w:rPr>
            </w:pPr>
          </w:p>
        </w:tc>
      </w:tr>
      <w:tr>
        <w:trPr>
          <w:trHeight w:val="191"/>
        </w:trPr>
        <w:tc>
          <w:tcPr>
            <w:tcW w:w="8480" w:type="dxa"/>
            <w:vAlign w:val="bottom"/>
            <w:gridSpan w:val="2"/>
          </w:tcPr>
          <w:p>
            <w:pPr>
              <w:ind w:left="20"/>
              <w:spacing w:after="0"/>
              <w:rPr>
                <w:sz w:val="20"/>
                <w:szCs w:val="20"/>
                <w:color w:val="auto"/>
              </w:rPr>
            </w:pPr>
            <w:r>
              <w:rPr>
                <w:rFonts w:ascii="Arial" w:cs="Arial" w:eastAsia="Arial" w:hAnsi="Arial"/>
                <w:sz w:val="14"/>
                <w:szCs w:val="14"/>
                <w:color w:val="auto"/>
              </w:rPr>
              <w:t>Technology Development revenue</w:t>
            </w:r>
          </w:p>
        </w:tc>
        <w:tc>
          <w:tcPr>
            <w:tcW w:w="28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26,024,674</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w w:val="96"/>
              </w:rPr>
              <w:t>20,967,556</w:t>
            </w:r>
          </w:p>
        </w:tc>
        <w:tc>
          <w:tcPr>
            <w:tcW w:w="0" w:type="dxa"/>
            <w:vAlign w:val="bottom"/>
          </w:tcPr>
          <w:p>
            <w:pPr>
              <w:spacing w:after="0"/>
              <w:rPr>
                <w:sz w:val="1"/>
                <w:szCs w:val="1"/>
                <w:color w:val="auto"/>
              </w:rPr>
            </w:pPr>
          </w:p>
        </w:tc>
      </w:tr>
      <w:tr>
        <w:trPr>
          <w:trHeight w:val="22"/>
        </w:trPr>
        <w:tc>
          <w:tcPr>
            <w:tcW w:w="8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84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Total revenue</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70,515,715</w:t>
            </w:r>
          </w:p>
        </w:tc>
        <w:tc>
          <w:tcPr>
            <w:tcW w:w="2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96"/>
              </w:rPr>
              <w:t>42,917,245</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color w:val="auto"/>
              </w:rPr>
              <w:t>Products and Licensing operating income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480" w:type="dxa"/>
            <w:vAlign w:val="bottom"/>
            <w:gridSpan w:val="2"/>
            <w:vMerge w:val="continue"/>
          </w:tcPr>
          <w:p>
            <w:pPr>
              <w:spacing w:after="0"/>
              <w:rPr>
                <w:sz w:val="14"/>
                <w:szCs w:val="14"/>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1,807,616</w:t>
            </w:r>
          </w:p>
        </w:tc>
        <w:tc>
          <w:tcPr>
            <w:tcW w:w="220" w:type="dxa"/>
            <w:vAlign w:val="bottom"/>
          </w:tcPr>
          <w:p>
            <w:pPr>
              <w:spacing w:after="0"/>
              <w:rPr>
                <w:sz w:val="14"/>
                <w:szCs w:val="14"/>
                <w:color w:val="auto"/>
              </w:rPr>
            </w:pPr>
          </w:p>
        </w:tc>
        <w:tc>
          <w:tcPr>
            <w:tcW w:w="54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499,323</w:t>
            </w:r>
          </w:p>
        </w:tc>
        <w:tc>
          <w:tcPr>
            <w:tcW w:w="0" w:type="dxa"/>
            <w:vAlign w:val="bottom"/>
          </w:tcPr>
          <w:p>
            <w:pPr>
              <w:spacing w:after="0"/>
              <w:rPr>
                <w:sz w:val="1"/>
                <w:szCs w:val="1"/>
                <w:color w:val="auto"/>
              </w:rPr>
            </w:pPr>
          </w:p>
        </w:tc>
      </w:tr>
      <w:tr>
        <w:trPr>
          <w:trHeight w:val="22"/>
        </w:trPr>
        <w:tc>
          <w:tcPr>
            <w:tcW w:w="8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Technology Development operating income</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1,507,405</w:t>
            </w:r>
          </w:p>
        </w:tc>
        <w:tc>
          <w:tcPr>
            <w:tcW w:w="2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378,212</w:t>
            </w:r>
          </w:p>
        </w:tc>
        <w:tc>
          <w:tcPr>
            <w:tcW w:w="0" w:type="dxa"/>
            <w:vAlign w:val="bottom"/>
          </w:tcPr>
          <w:p>
            <w:pPr>
              <w:spacing w:after="0"/>
              <w:rPr>
                <w:sz w:val="1"/>
                <w:szCs w:val="1"/>
                <w:color w:val="auto"/>
              </w:rPr>
            </w:pPr>
          </w:p>
        </w:tc>
      </w:tr>
      <w:tr>
        <w:trPr>
          <w:trHeight w:val="181"/>
        </w:trPr>
        <w:tc>
          <w:tcPr>
            <w:tcW w:w="8480" w:type="dxa"/>
            <w:vAlign w:val="bottom"/>
            <w:gridSpan w:val="2"/>
          </w:tcPr>
          <w:p>
            <w:pPr>
              <w:ind w:left="300"/>
              <w:spacing w:after="0"/>
              <w:rPr>
                <w:sz w:val="20"/>
                <w:szCs w:val="20"/>
                <w:color w:val="auto"/>
              </w:rPr>
            </w:pPr>
            <w:r>
              <w:rPr>
                <w:rFonts w:ascii="Arial" w:cs="Arial" w:eastAsia="Arial" w:hAnsi="Arial"/>
                <w:sz w:val="14"/>
                <w:szCs w:val="14"/>
                <w:color w:val="auto"/>
              </w:rPr>
              <w:t>Total operating income</w:t>
            </w: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3,315,021</w:t>
            </w:r>
          </w:p>
        </w:tc>
        <w:tc>
          <w:tcPr>
            <w:tcW w:w="220" w:type="dxa"/>
            <w:vAlign w:val="bottom"/>
          </w:tcPr>
          <w:p>
            <w:pPr>
              <w:spacing w:after="0"/>
              <w:rPr>
                <w:sz w:val="15"/>
                <w:szCs w:val="15"/>
                <w:color w:val="auto"/>
              </w:rPr>
            </w:pPr>
          </w:p>
        </w:tc>
        <w:tc>
          <w:tcPr>
            <w:tcW w:w="540" w:type="dxa"/>
            <w:vAlign w:val="bottom"/>
            <w:tcBorders>
              <w:top w:val="single" w:sz="8" w:color="auto"/>
            </w:tcBorders>
          </w:tcPr>
          <w:p>
            <w:pPr>
              <w:jc w:val="right"/>
              <w:ind w:right="36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877,535</w:t>
            </w:r>
          </w:p>
        </w:tc>
        <w:tc>
          <w:tcPr>
            <w:tcW w:w="0" w:type="dxa"/>
            <w:vAlign w:val="bottom"/>
          </w:tcPr>
          <w:p>
            <w:pPr>
              <w:spacing w:after="0"/>
              <w:rPr>
                <w:sz w:val="1"/>
                <w:szCs w:val="1"/>
                <w:color w:val="auto"/>
              </w:rPr>
            </w:pPr>
          </w:p>
        </w:tc>
      </w:tr>
      <w:tr>
        <w:trPr>
          <w:trHeight w:val="62"/>
        </w:trPr>
        <w:tc>
          <w:tcPr>
            <w:tcW w:w="83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8480" w:type="dxa"/>
            <w:vAlign w:val="bottom"/>
            <w:tcBorders>
              <w:bottom w:val="single" w:sz="8" w:color="CCEEFF"/>
            </w:tcBorders>
            <w:gridSpan w:val="2"/>
            <w:shd w:val="clear" w:color="auto" w:fill="CCEEFF"/>
          </w:tcPr>
          <w:p>
            <w:pPr>
              <w:ind w:left="20"/>
              <w:spacing w:after="0" w:line="141" w:lineRule="exact"/>
              <w:rPr>
                <w:sz w:val="20"/>
                <w:szCs w:val="20"/>
                <w:color w:val="auto"/>
              </w:rPr>
            </w:pPr>
            <w:r>
              <w:rPr>
                <w:rFonts w:ascii="Arial" w:cs="Arial" w:eastAsia="Arial" w:hAnsi="Arial"/>
                <w:sz w:val="14"/>
                <w:szCs w:val="14"/>
                <w:color w:val="auto"/>
              </w:rPr>
              <w:t>Depreciation, Technology Development</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397,296</w:t>
            </w:r>
          </w:p>
        </w:tc>
        <w:tc>
          <w:tcPr>
            <w:tcW w:w="2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379,952</w:t>
            </w:r>
          </w:p>
        </w:tc>
        <w:tc>
          <w:tcPr>
            <w:tcW w:w="0" w:type="dxa"/>
            <w:vAlign w:val="bottom"/>
          </w:tcPr>
          <w:p>
            <w:pPr>
              <w:spacing w:after="0"/>
              <w:rPr>
                <w:sz w:val="1"/>
                <w:szCs w:val="1"/>
                <w:color w:val="auto"/>
              </w:rPr>
            </w:pPr>
          </w:p>
        </w:tc>
      </w:tr>
      <w:tr>
        <w:trPr>
          <w:trHeight w:val="191"/>
        </w:trPr>
        <w:tc>
          <w:tcPr>
            <w:tcW w:w="8480" w:type="dxa"/>
            <w:vAlign w:val="bottom"/>
            <w:gridSpan w:val="2"/>
          </w:tcPr>
          <w:p>
            <w:pPr>
              <w:ind w:left="20"/>
              <w:spacing w:after="0"/>
              <w:rPr>
                <w:sz w:val="20"/>
                <w:szCs w:val="20"/>
                <w:color w:val="auto"/>
              </w:rPr>
            </w:pPr>
            <w:r>
              <w:rPr>
                <w:rFonts w:ascii="Arial" w:cs="Arial" w:eastAsia="Arial" w:hAnsi="Arial"/>
                <w:sz w:val="14"/>
                <w:szCs w:val="14"/>
                <w:color w:val="auto"/>
              </w:rPr>
              <w:t>Depreciation, Products and Licensing</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552,285</w:t>
            </w:r>
          </w:p>
        </w:tc>
        <w:tc>
          <w:tcPr>
            <w:tcW w:w="220" w:type="dxa"/>
            <w:vAlign w:val="bottom"/>
          </w:tcPr>
          <w:p>
            <w:pPr>
              <w:spacing w:after="0"/>
              <w:rPr>
                <w:sz w:val="16"/>
                <w:szCs w:val="16"/>
                <w:color w:val="auto"/>
              </w:rPr>
            </w:pPr>
          </w:p>
        </w:tc>
        <w:tc>
          <w:tcPr>
            <w:tcW w:w="54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273,185</w:t>
            </w:r>
          </w:p>
        </w:tc>
        <w:tc>
          <w:tcPr>
            <w:tcW w:w="0" w:type="dxa"/>
            <w:vAlign w:val="bottom"/>
          </w:tcPr>
          <w:p>
            <w:pPr>
              <w:spacing w:after="0"/>
              <w:rPr>
                <w:sz w:val="1"/>
                <w:szCs w:val="1"/>
                <w:color w:val="auto"/>
              </w:rPr>
            </w:pPr>
          </w:p>
        </w:tc>
      </w:tr>
      <w:tr>
        <w:trPr>
          <w:trHeight w:val="22"/>
        </w:trPr>
        <w:tc>
          <w:tcPr>
            <w:tcW w:w="8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Amortization, Technology Development</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91,185</w:t>
            </w:r>
          </w:p>
        </w:tc>
        <w:tc>
          <w:tcPr>
            <w:tcW w:w="2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130,765</w:t>
            </w:r>
          </w:p>
        </w:tc>
        <w:tc>
          <w:tcPr>
            <w:tcW w:w="0" w:type="dxa"/>
            <w:vAlign w:val="bottom"/>
          </w:tcPr>
          <w:p>
            <w:pPr>
              <w:spacing w:after="0"/>
              <w:rPr>
                <w:sz w:val="1"/>
                <w:szCs w:val="1"/>
                <w:color w:val="auto"/>
              </w:rPr>
            </w:pPr>
          </w:p>
        </w:tc>
      </w:tr>
      <w:tr>
        <w:trPr>
          <w:trHeight w:val="191"/>
        </w:trPr>
        <w:tc>
          <w:tcPr>
            <w:tcW w:w="8480" w:type="dxa"/>
            <w:vAlign w:val="bottom"/>
            <w:gridSpan w:val="2"/>
          </w:tcPr>
          <w:p>
            <w:pPr>
              <w:ind w:left="20"/>
              <w:spacing w:after="0"/>
              <w:rPr>
                <w:sz w:val="20"/>
                <w:szCs w:val="20"/>
                <w:color w:val="auto"/>
              </w:rPr>
            </w:pPr>
            <w:r>
              <w:rPr>
                <w:rFonts w:ascii="Arial" w:cs="Arial" w:eastAsia="Arial" w:hAnsi="Arial"/>
                <w:sz w:val="14"/>
                <w:szCs w:val="14"/>
                <w:color w:val="auto"/>
              </w:rPr>
              <w:t>Amortization, Products and Licensing</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1,462,525</w:t>
            </w:r>
          </w:p>
        </w:tc>
        <w:tc>
          <w:tcPr>
            <w:tcW w:w="220" w:type="dxa"/>
            <w:vAlign w:val="bottom"/>
          </w:tcPr>
          <w:p>
            <w:pPr>
              <w:spacing w:after="0"/>
              <w:rPr>
                <w:sz w:val="16"/>
                <w:szCs w:val="16"/>
                <w:color w:val="auto"/>
              </w:rPr>
            </w:pPr>
          </w:p>
        </w:tc>
        <w:tc>
          <w:tcPr>
            <w:tcW w:w="54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418,349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Additional segment information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0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1"/>
                <w:szCs w:val="11"/>
                <w:b w:val="1"/>
                <w:bCs w:val="1"/>
                <w:color w:val="auto"/>
              </w:rPr>
              <w:t>December 31,</w:t>
            </w: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000" w:type="dxa"/>
            <w:vAlign w:val="bottom"/>
            <w:tcBorders>
              <w:bottom w:val="single" w:sz="8" w:color="CCEEFF"/>
            </w:tcBorders>
          </w:tcPr>
          <w:p>
            <w:pPr>
              <w:spacing w:after="0"/>
              <w:rPr>
                <w:sz w:val="17"/>
                <w:szCs w:val="17"/>
                <w:color w:val="auto"/>
              </w:rPr>
            </w:pPr>
          </w:p>
        </w:tc>
        <w:tc>
          <w:tcPr>
            <w:tcW w:w="3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2019</w:t>
            </w:r>
          </w:p>
        </w:tc>
        <w:tc>
          <w:tcPr>
            <w:tcW w:w="2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187"/>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segment assets:</w:t>
            </w:r>
          </w:p>
        </w:tc>
        <w:tc>
          <w:tcPr>
            <w:tcW w:w="32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00" w:type="dxa"/>
            <w:vAlign w:val="bottom"/>
          </w:tcPr>
          <w:p>
            <w:pPr>
              <w:ind w:left="300"/>
              <w:spacing w:after="0"/>
              <w:rPr>
                <w:sz w:val="20"/>
                <w:szCs w:val="20"/>
                <w:color w:val="auto"/>
              </w:rPr>
            </w:pPr>
            <w:r>
              <w:rPr>
                <w:rFonts w:ascii="Arial" w:cs="Arial" w:eastAsia="Arial" w:hAnsi="Arial"/>
                <w:sz w:val="14"/>
                <w:szCs w:val="14"/>
                <w:color w:val="auto"/>
              </w:rPr>
              <w:t>Products and Licensing</w:t>
            </w:r>
          </w:p>
        </w:tc>
        <w:tc>
          <w:tcPr>
            <w:tcW w:w="356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48,723,810</w:t>
            </w:r>
          </w:p>
        </w:tc>
        <w:tc>
          <w:tcPr>
            <w:tcW w:w="240" w:type="dxa"/>
            <w:vAlign w:val="bottom"/>
          </w:tcPr>
          <w:p>
            <w:pPr>
              <w:spacing w:after="0"/>
              <w:rPr>
                <w:sz w:val="16"/>
                <w:szCs w:val="16"/>
                <w:color w:val="auto"/>
              </w:rPr>
            </w:pPr>
          </w:p>
        </w:tc>
        <w:tc>
          <w:tcPr>
            <w:tcW w:w="44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40,775,211</w:t>
            </w:r>
          </w:p>
        </w:tc>
        <w:tc>
          <w:tcPr>
            <w:tcW w:w="0" w:type="dxa"/>
            <w:vAlign w:val="bottom"/>
          </w:tcPr>
          <w:p>
            <w:pPr>
              <w:spacing w:after="0"/>
              <w:rPr>
                <w:sz w:val="1"/>
                <w:szCs w:val="1"/>
                <w:color w:val="auto"/>
              </w:rPr>
            </w:pPr>
          </w:p>
        </w:tc>
      </w:tr>
      <w:tr>
        <w:trPr>
          <w:trHeight w:val="22"/>
        </w:trPr>
        <w:tc>
          <w:tcPr>
            <w:tcW w:w="50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Technology Development</w:t>
            </w:r>
          </w:p>
        </w:tc>
        <w:tc>
          <w:tcPr>
            <w:tcW w:w="3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37,800,250</w:t>
            </w: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34,823,525</w:t>
            </w:r>
          </w:p>
        </w:tc>
        <w:tc>
          <w:tcPr>
            <w:tcW w:w="0" w:type="dxa"/>
            <w:vAlign w:val="bottom"/>
          </w:tcPr>
          <w:p>
            <w:pPr>
              <w:spacing w:after="0"/>
              <w:rPr>
                <w:sz w:val="1"/>
                <w:szCs w:val="1"/>
                <w:color w:val="auto"/>
              </w:rPr>
            </w:pPr>
          </w:p>
        </w:tc>
      </w:tr>
      <w:tr>
        <w:trPr>
          <w:trHeight w:val="181"/>
        </w:trPr>
        <w:tc>
          <w:tcPr>
            <w:tcW w:w="5000" w:type="dxa"/>
            <w:vAlign w:val="bottom"/>
          </w:tcPr>
          <w:p>
            <w:pPr>
              <w:ind w:left="560"/>
              <w:spacing w:after="0"/>
              <w:rPr>
                <w:sz w:val="20"/>
                <w:szCs w:val="20"/>
                <w:color w:val="auto"/>
              </w:rPr>
            </w:pPr>
            <w:r>
              <w:rPr>
                <w:rFonts w:ascii="Arial" w:cs="Arial" w:eastAsia="Arial" w:hAnsi="Arial"/>
                <w:sz w:val="14"/>
                <w:szCs w:val="14"/>
                <w:color w:val="auto"/>
              </w:rPr>
              <w:t>Total</w:t>
            </w:r>
          </w:p>
        </w:tc>
        <w:tc>
          <w:tcPr>
            <w:tcW w:w="3240" w:type="dxa"/>
            <w:vAlign w:val="bottom"/>
          </w:tcPr>
          <w:p>
            <w:pPr>
              <w:spacing w:after="0"/>
              <w:rPr>
                <w:sz w:val="15"/>
                <w:szCs w:val="15"/>
                <w:color w:val="auto"/>
              </w:rPr>
            </w:pPr>
          </w:p>
        </w:tc>
        <w:tc>
          <w:tcPr>
            <w:tcW w:w="32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86,524,060</w:t>
            </w:r>
          </w:p>
        </w:tc>
        <w:tc>
          <w:tcPr>
            <w:tcW w:w="240" w:type="dxa"/>
            <w:vAlign w:val="bottom"/>
          </w:tcPr>
          <w:p>
            <w:pPr>
              <w:spacing w:after="0"/>
              <w:rPr>
                <w:sz w:val="15"/>
                <w:szCs w:val="15"/>
                <w:color w:val="auto"/>
              </w:rPr>
            </w:pPr>
          </w:p>
        </w:tc>
        <w:tc>
          <w:tcPr>
            <w:tcW w:w="44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75,598,736</w:t>
            </w:r>
          </w:p>
        </w:tc>
        <w:tc>
          <w:tcPr>
            <w:tcW w:w="0" w:type="dxa"/>
            <w:vAlign w:val="bottom"/>
          </w:tcPr>
          <w:p>
            <w:pPr>
              <w:spacing w:after="0"/>
              <w:rPr>
                <w:sz w:val="1"/>
                <w:szCs w:val="1"/>
                <w:color w:val="auto"/>
              </w:rPr>
            </w:pPr>
          </w:p>
        </w:tc>
      </w:tr>
      <w:tr>
        <w:trPr>
          <w:trHeight w:val="62"/>
        </w:trPr>
        <w:tc>
          <w:tcPr>
            <w:tcW w:w="5000" w:type="dxa"/>
            <w:vAlign w:val="bottom"/>
            <w:tcBorders>
              <w:bottom w:val="single" w:sz="8" w:color="CCEEFF"/>
            </w:tcBorders>
          </w:tcPr>
          <w:p>
            <w:pPr>
              <w:spacing w:after="0"/>
              <w:rPr>
                <w:sz w:val="5"/>
                <w:szCs w:val="5"/>
                <w:color w:val="auto"/>
              </w:rPr>
            </w:pPr>
          </w:p>
        </w:tc>
        <w:tc>
          <w:tcPr>
            <w:tcW w:w="32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000" w:type="dxa"/>
            <w:vAlign w:val="bottom"/>
            <w:tcBorders>
              <w:bottom w:val="single" w:sz="8" w:color="CCEEFF"/>
            </w:tcBorders>
            <w:shd w:val="clear" w:color="auto" w:fill="CCEEFF"/>
          </w:tcPr>
          <w:p>
            <w:pPr>
              <w:ind w:left="20"/>
              <w:spacing w:after="0" w:line="141" w:lineRule="exact"/>
              <w:rPr>
                <w:sz w:val="20"/>
                <w:szCs w:val="20"/>
                <w:color w:val="auto"/>
              </w:rPr>
            </w:pPr>
            <w:r>
              <w:rPr>
                <w:rFonts w:ascii="Arial" w:cs="Arial" w:eastAsia="Arial" w:hAnsi="Arial"/>
                <w:sz w:val="14"/>
                <w:szCs w:val="14"/>
                <w:color w:val="auto"/>
              </w:rPr>
              <w:t>Property plant and equipment and intangible assets, Technology Development</w:t>
            </w:r>
          </w:p>
        </w:tc>
        <w:tc>
          <w:tcPr>
            <w:tcW w:w="32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2,079,486</w:t>
            </w: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2,103,711</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Property plant and equipment and intangible assets, Products and Licensing</w:t>
            </w:r>
          </w:p>
        </w:tc>
        <w:tc>
          <w:tcPr>
            <w:tcW w:w="3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000" w:type="dxa"/>
            <w:vAlign w:val="bottom"/>
            <w:vMerge w:val="continue"/>
          </w:tcPr>
          <w:p>
            <w:pPr>
              <w:spacing w:after="0"/>
              <w:rPr>
                <w:sz w:val="14"/>
                <w:szCs w:val="14"/>
                <w:color w:val="auto"/>
              </w:rPr>
            </w:pPr>
          </w:p>
        </w:tc>
        <w:tc>
          <w:tcPr>
            <w:tcW w:w="356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22,122,279</w:t>
            </w:r>
          </w:p>
        </w:tc>
        <w:tc>
          <w:tcPr>
            <w:tcW w:w="240" w:type="dxa"/>
            <w:vAlign w:val="bottom"/>
          </w:tcPr>
          <w:p>
            <w:pPr>
              <w:spacing w:after="0"/>
              <w:rPr>
                <w:sz w:val="14"/>
                <w:szCs w:val="14"/>
                <w:color w:val="auto"/>
              </w:rPr>
            </w:pPr>
          </w:p>
        </w:tc>
        <w:tc>
          <w:tcPr>
            <w:tcW w:w="44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4,927,453</w:t>
            </w:r>
          </w:p>
        </w:tc>
        <w:tc>
          <w:tcPr>
            <w:tcW w:w="0" w:type="dxa"/>
            <w:vAlign w:val="bottom"/>
          </w:tcPr>
          <w:p>
            <w:pPr>
              <w:spacing w:after="0"/>
              <w:rPr>
                <w:sz w:val="1"/>
                <w:szCs w:val="1"/>
                <w:color w:val="auto"/>
              </w:rPr>
            </w:pPr>
          </w:p>
        </w:tc>
      </w:tr>
      <w:tr>
        <w:trPr>
          <w:trHeight w:val="22"/>
        </w:trPr>
        <w:tc>
          <w:tcPr>
            <w:tcW w:w="5000" w:type="dxa"/>
            <w:vAlign w:val="bottom"/>
          </w:tcPr>
          <w:p>
            <w:pPr>
              <w:spacing w:after="0" w:line="20" w:lineRule="exact"/>
              <w:rPr>
                <w:sz w:val="1"/>
                <w:szCs w:val="1"/>
                <w:color w:val="auto"/>
              </w:rPr>
            </w:pPr>
          </w:p>
        </w:tc>
        <w:tc>
          <w:tcPr>
            <w:tcW w:w="3240" w:type="dxa"/>
            <w:vAlign w:val="bottom"/>
            <w:vMerge w:val="restart"/>
          </w:tcPr>
          <w:p>
            <w:pPr>
              <w:jc w:val="right"/>
              <w:ind w:right="2449"/>
              <w:spacing w:after="0"/>
              <w:rPr>
                <w:sz w:val="20"/>
                <w:szCs w:val="20"/>
                <w:color w:val="auto"/>
              </w:rPr>
            </w:pPr>
            <w:r>
              <w:rPr>
                <w:rFonts w:ascii="Arial" w:cs="Arial" w:eastAsia="Arial" w:hAnsi="Arial"/>
                <w:sz w:val="14"/>
                <w:szCs w:val="14"/>
                <w:color w:val="auto"/>
              </w:rPr>
              <w:t>72</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2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5"/>
        </w:trPr>
        <w:tc>
          <w:tcPr>
            <w:tcW w:w="50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7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18.</w:t>
      </w:r>
      <w:r>
        <w:rPr>
          <w:sz w:val="20"/>
          <w:szCs w:val="20"/>
          <w:color w:val="auto"/>
        </w:rPr>
        <w:tab/>
      </w:r>
      <w:r>
        <w:rPr>
          <w:rFonts w:ascii="Arial" w:cs="Arial" w:eastAsia="Arial" w:hAnsi="Arial"/>
          <w:sz w:val="12"/>
          <w:szCs w:val="12"/>
          <w:b w:val="1"/>
          <w:bCs w:val="1"/>
          <w:color w:val="auto"/>
        </w:rPr>
        <w:t>Quarterly Results (unaudited)</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following table sets forth our unaudited historical revenues, operating (loss)/income and net income by quarter during 2019 and 2018.</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47"/>
        </w:trPr>
        <w:tc>
          <w:tcPr>
            <w:tcW w:w="202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2"/>
          </w:tcPr>
          <w:p>
            <w:pPr>
              <w:ind w:left="620"/>
              <w:spacing w:after="0"/>
              <w:rPr>
                <w:sz w:val="20"/>
                <w:szCs w:val="20"/>
                <w:color w:val="auto"/>
              </w:rPr>
            </w:pPr>
            <w:r>
              <w:rPr>
                <w:rFonts w:ascii="Arial" w:cs="Arial" w:eastAsia="Arial" w:hAnsi="Arial"/>
                <w:sz w:val="11"/>
                <w:szCs w:val="11"/>
                <w:b w:val="1"/>
                <w:bCs w:val="1"/>
                <w:color w:val="auto"/>
              </w:rPr>
              <w:t>Three Months Ended</w:t>
            </w:r>
          </w:p>
        </w:tc>
        <w:tc>
          <w:tcPr>
            <w:tcW w:w="10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r>
      <w:tr>
        <w:trPr>
          <w:trHeight w:val="120"/>
        </w:trPr>
        <w:tc>
          <w:tcPr>
            <w:tcW w:w="2020" w:type="dxa"/>
            <w:vAlign w:val="bottom"/>
          </w:tcPr>
          <w:p>
            <w:pPr>
              <w:spacing w:after="0" w:line="120" w:lineRule="exact"/>
              <w:rPr>
                <w:sz w:val="20"/>
                <w:szCs w:val="20"/>
                <w:color w:val="auto"/>
              </w:rPr>
            </w:pPr>
            <w:r>
              <w:rPr>
                <w:rFonts w:ascii="Arial" w:cs="Arial" w:eastAsia="Arial" w:hAnsi="Arial"/>
                <w:sz w:val="11"/>
                <w:szCs w:val="11"/>
                <w:b w:val="1"/>
                <w:bCs w:val="1"/>
                <w:color w:val="auto"/>
              </w:rPr>
              <w:t>(Dollars in thousands,</w:t>
            </w:r>
          </w:p>
        </w:tc>
        <w:tc>
          <w:tcPr>
            <w:tcW w:w="1100" w:type="dxa"/>
            <w:vAlign w:val="bottom"/>
          </w:tcPr>
          <w:p>
            <w:pPr>
              <w:jc w:val="center"/>
              <w:ind w:right="43"/>
              <w:spacing w:after="0" w:line="120" w:lineRule="exact"/>
              <w:rPr>
                <w:sz w:val="20"/>
                <w:szCs w:val="20"/>
                <w:color w:val="auto"/>
              </w:rPr>
            </w:pPr>
            <w:r>
              <w:rPr>
                <w:rFonts w:ascii="Arial" w:cs="Arial" w:eastAsia="Arial" w:hAnsi="Arial"/>
                <w:sz w:val="11"/>
                <w:szCs w:val="11"/>
                <w:b w:val="1"/>
                <w:bCs w:val="1"/>
                <w:color w:val="auto"/>
                <w:w w:val="94"/>
              </w:rPr>
              <w:t>March 31,</w:t>
            </w:r>
          </w:p>
        </w:tc>
        <w:tc>
          <w:tcPr>
            <w:tcW w:w="10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0"/>
              </w:rPr>
              <w:t>June 30,</w:t>
            </w:r>
          </w:p>
        </w:tc>
        <w:tc>
          <w:tcPr>
            <w:tcW w:w="13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3"/>
              </w:rPr>
              <w:t>September 30,</w:t>
            </w:r>
          </w:p>
        </w:tc>
        <w:tc>
          <w:tcPr>
            <w:tcW w:w="12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2"/>
              </w:rPr>
              <w:t>December 31,</w:t>
            </w:r>
          </w:p>
        </w:tc>
        <w:tc>
          <w:tcPr>
            <w:tcW w:w="11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8"/>
              </w:rPr>
              <w:t>March 31,</w:t>
            </w:r>
          </w:p>
        </w:tc>
        <w:tc>
          <w:tcPr>
            <w:tcW w:w="10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0"/>
              </w:rPr>
              <w:t>June 30,</w:t>
            </w:r>
          </w:p>
        </w:tc>
        <w:tc>
          <w:tcPr>
            <w:tcW w:w="12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3"/>
              </w:rPr>
              <w:t>September 30,</w:t>
            </w:r>
          </w:p>
        </w:tc>
        <w:tc>
          <w:tcPr>
            <w:tcW w:w="11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2"/>
              </w:rPr>
              <w:t>December 31,</w:t>
            </w:r>
          </w:p>
        </w:tc>
      </w:tr>
      <w:tr>
        <w:trPr>
          <w:trHeight w:val="147"/>
        </w:trPr>
        <w:tc>
          <w:tcPr>
            <w:tcW w:w="2020" w:type="dxa"/>
            <w:vAlign w:val="bottom"/>
          </w:tcPr>
          <w:p>
            <w:pPr>
              <w:spacing w:after="0"/>
              <w:rPr>
                <w:sz w:val="20"/>
                <w:szCs w:val="20"/>
                <w:color w:val="auto"/>
              </w:rPr>
            </w:pPr>
            <w:r>
              <w:rPr>
                <w:rFonts w:ascii="Arial" w:cs="Arial" w:eastAsia="Arial" w:hAnsi="Arial"/>
                <w:sz w:val="11"/>
                <w:szCs w:val="11"/>
                <w:b w:val="1"/>
                <w:bCs w:val="1"/>
                <w:color w:val="auto"/>
              </w:rPr>
              <w:t>except per share amounts)</w:t>
            </w:r>
          </w:p>
        </w:tc>
        <w:tc>
          <w:tcPr>
            <w:tcW w:w="1100" w:type="dxa"/>
            <w:vAlign w:val="bottom"/>
          </w:tcPr>
          <w:p>
            <w:pPr>
              <w:jc w:val="right"/>
              <w:ind w:right="423"/>
              <w:spacing w:after="0"/>
              <w:rPr>
                <w:sz w:val="20"/>
                <w:szCs w:val="20"/>
                <w:color w:val="auto"/>
              </w:rPr>
            </w:pPr>
            <w:r>
              <w:rPr>
                <w:rFonts w:ascii="Arial" w:cs="Arial" w:eastAsia="Arial" w:hAnsi="Arial"/>
                <w:sz w:val="11"/>
                <w:szCs w:val="11"/>
                <w:b w:val="1"/>
                <w:bCs w:val="1"/>
                <w:color w:val="auto"/>
              </w:rPr>
              <w:t>2019</w:t>
            </w:r>
          </w:p>
        </w:tc>
        <w:tc>
          <w:tcPr>
            <w:tcW w:w="1080" w:type="dxa"/>
            <w:vAlign w:val="bottom"/>
          </w:tcPr>
          <w:p>
            <w:pPr>
              <w:jc w:val="right"/>
              <w:ind w:right="343"/>
              <w:spacing w:after="0"/>
              <w:rPr>
                <w:sz w:val="20"/>
                <w:szCs w:val="20"/>
                <w:color w:val="auto"/>
              </w:rPr>
            </w:pPr>
            <w:r>
              <w:rPr>
                <w:rFonts w:ascii="Arial" w:cs="Arial" w:eastAsia="Arial" w:hAnsi="Arial"/>
                <w:sz w:val="11"/>
                <w:szCs w:val="11"/>
                <w:b w:val="1"/>
                <w:bCs w:val="1"/>
                <w:color w:val="auto"/>
              </w:rPr>
              <w:t>2019</w:t>
            </w:r>
          </w:p>
        </w:tc>
        <w:tc>
          <w:tcPr>
            <w:tcW w:w="1320" w:type="dxa"/>
            <w:vAlign w:val="bottom"/>
          </w:tcPr>
          <w:p>
            <w:pPr>
              <w:jc w:val="right"/>
              <w:ind w:right="463"/>
              <w:spacing w:after="0"/>
              <w:rPr>
                <w:sz w:val="20"/>
                <w:szCs w:val="20"/>
                <w:color w:val="auto"/>
              </w:rPr>
            </w:pPr>
            <w:r>
              <w:rPr>
                <w:rFonts w:ascii="Arial" w:cs="Arial" w:eastAsia="Arial" w:hAnsi="Arial"/>
                <w:sz w:val="11"/>
                <w:szCs w:val="11"/>
                <w:b w:val="1"/>
                <w:bCs w:val="1"/>
                <w:color w:val="auto"/>
              </w:rPr>
              <w:t>2019</w:t>
            </w:r>
          </w:p>
        </w:tc>
        <w:tc>
          <w:tcPr>
            <w:tcW w:w="1260" w:type="dxa"/>
            <w:vAlign w:val="bottom"/>
          </w:tcPr>
          <w:p>
            <w:pPr>
              <w:jc w:val="right"/>
              <w:ind w:right="463"/>
              <w:spacing w:after="0"/>
              <w:rPr>
                <w:sz w:val="20"/>
                <w:szCs w:val="20"/>
                <w:color w:val="auto"/>
              </w:rPr>
            </w:pPr>
            <w:r>
              <w:rPr>
                <w:rFonts w:ascii="Arial" w:cs="Arial" w:eastAsia="Arial" w:hAnsi="Arial"/>
                <w:sz w:val="11"/>
                <w:szCs w:val="11"/>
                <w:b w:val="1"/>
                <w:bCs w:val="1"/>
                <w:color w:val="auto"/>
              </w:rPr>
              <w:t>2019</w:t>
            </w:r>
          </w:p>
        </w:tc>
        <w:tc>
          <w:tcPr>
            <w:tcW w:w="1120" w:type="dxa"/>
            <w:vAlign w:val="bottom"/>
          </w:tcPr>
          <w:p>
            <w:pPr>
              <w:jc w:val="right"/>
              <w:ind w:right="383"/>
              <w:spacing w:after="0"/>
              <w:rPr>
                <w:sz w:val="20"/>
                <w:szCs w:val="20"/>
                <w:color w:val="auto"/>
              </w:rPr>
            </w:pPr>
            <w:r>
              <w:rPr>
                <w:rFonts w:ascii="Arial" w:cs="Arial" w:eastAsia="Arial" w:hAnsi="Arial"/>
                <w:sz w:val="11"/>
                <w:szCs w:val="11"/>
                <w:b w:val="1"/>
                <w:bCs w:val="1"/>
                <w:color w:val="auto"/>
              </w:rPr>
              <w:t>2018</w:t>
            </w:r>
          </w:p>
        </w:tc>
        <w:tc>
          <w:tcPr>
            <w:tcW w:w="1000" w:type="dxa"/>
            <w:vAlign w:val="bottom"/>
          </w:tcPr>
          <w:p>
            <w:pPr>
              <w:jc w:val="right"/>
              <w:ind w:right="283"/>
              <w:spacing w:after="0"/>
              <w:rPr>
                <w:sz w:val="20"/>
                <w:szCs w:val="20"/>
                <w:color w:val="auto"/>
              </w:rPr>
            </w:pPr>
            <w:r>
              <w:rPr>
                <w:rFonts w:ascii="Arial" w:cs="Arial" w:eastAsia="Arial" w:hAnsi="Arial"/>
                <w:sz w:val="11"/>
                <w:szCs w:val="11"/>
                <w:b w:val="1"/>
                <w:bCs w:val="1"/>
                <w:color w:val="auto"/>
              </w:rPr>
              <w:t>2018</w:t>
            </w:r>
          </w:p>
        </w:tc>
        <w:tc>
          <w:tcPr>
            <w:tcW w:w="1220" w:type="dxa"/>
            <w:vAlign w:val="bottom"/>
          </w:tcPr>
          <w:p>
            <w:pPr>
              <w:jc w:val="right"/>
              <w:ind w:right="403"/>
              <w:spacing w:after="0"/>
              <w:rPr>
                <w:sz w:val="20"/>
                <w:szCs w:val="20"/>
                <w:color w:val="auto"/>
              </w:rPr>
            </w:pPr>
            <w:r>
              <w:rPr>
                <w:rFonts w:ascii="Arial" w:cs="Arial" w:eastAsia="Arial" w:hAnsi="Arial"/>
                <w:sz w:val="11"/>
                <w:szCs w:val="11"/>
                <w:b w:val="1"/>
                <w:bCs w:val="1"/>
                <w:color w:val="auto"/>
              </w:rPr>
              <w:t>2018</w:t>
            </w:r>
          </w:p>
        </w:tc>
        <w:tc>
          <w:tcPr>
            <w:tcW w:w="1140" w:type="dxa"/>
            <w:vAlign w:val="bottom"/>
          </w:tcPr>
          <w:p>
            <w:pPr>
              <w:jc w:val="right"/>
              <w:ind w:right="383"/>
              <w:spacing w:after="0"/>
              <w:rPr>
                <w:sz w:val="20"/>
                <w:szCs w:val="20"/>
                <w:color w:val="auto"/>
              </w:rPr>
            </w:pPr>
            <w:r>
              <w:rPr>
                <w:rFonts w:ascii="Arial" w:cs="Arial" w:eastAsia="Arial" w:hAnsi="Arial"/>
                <w:sz w:val="11"/>
                <w:szCs w:val="11"/>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141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color w:val="auto"/>
        </w:rPr>
        <w:t>Revenues:</w:t>
      </w:r>
    </w:p>
    <w:p>
      <w:pPr>
        <w:sectPr>
          <w:pgSz w:w="11900" w:h="16838" w:orient="portrait"/>
          <w:cols w:equalWidth="0" w:num="1">
            <w:col w:w="11280"/>
          </w:cols>
          <w:pgMar w:left="300" w:top="125" w:right="319" w:bottom="1440" w:gutter="0" w:footer="0" w:header="0"/>
        </w:sectPr>
      </w:pP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1600" w:type="dxa"/>
            <w:vAlign w:val="bottom"/>
          </w:tcPr>
          <w:p>
            <w:pPr>
              <w:spacing w:after="0"/>
              <w:rPr>
                <w:sz w:val="20"/>
                <w:szCs w:val="20"/>
                <w:color w:val="auto"/>
              </w:rPr>
            </w:pPr>
            <w:r>
              <w:rPr>
                <w:rFonts w:ascii="Arial" w:cs="Arial" w:eastAsia="Arial" w:hAnsi="Arial"/>
                <w:sz w:val="11"/>
                <w:szCs w:val="11"/>
                <w:color w:val="auto"/>
              </w:rPr>
              <w:t>Products and licensing</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53"/>
        </w:trPr>
        <w:tc>
          <w:tcPr>
            <w:tcW w:w="16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600" w:type="dxa"/>
            <w:vAlign w:val="bottom"/>
          </w:tcPr>
          <w:p>
            <w:pPr>
              <w:spacing w:after="0"/>
              <w:rPr>
                <w:sz w:val="20"/>
                <w:szCs w:val="20"/>
                <w:color w:val="auto"/>
              </w:rPr>
            </w:pPr>
            <w:r>
              <w:rPr>
                <w:rFonts w:ascii="Arial" w:cs="Arial" w:eastAsia="Arial" w:hAnsi="Arial"/>
                <w:sz w:val="11"/>
                <w:szCs w:val="11"/>
                <w:color w:val="auto"/>
              </w:rPr>
              <w:t>Technology development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600" w:type="dxa"/>
            <w:vAlign w:val="bottom"/>
          </w:tcPr>
          <w:p>
            <w:pPr>
              <w:spacing w:after="0"/>
              <w:rPr>
                <w:sz w:val="20"/>
                <w:szCs w:val="20"/>
                <w:color w:val="auto"/>
              </w:rPr>
            </w:pPr>
            <w:r>
              <w:rPr>
                <w:rFonts w:ascii="Arial" w:cs="Arial" w:eastAsia="Arial" w:hAnsi="Arial"/>
                <w:sz w:val="11"/>
                <w:szCs w:val="11"/>
                <w:color w:val="auto"/>
              </w:rPr>
              <w:t>Total revenues</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00" w:type="dxa"/>
            <w:vAlign w:val="bottom"/>
          </w:tcPr>
          <w:p>
            <w:pPr>
              <w:spacing w:after="0"/>
              <w:rPr>
                <w:sz w:val="20"/>
                <w:szCs w:val="20"/>
                <w:color w:val="auto"/>
              </w:rPr>
            </w:pPr>
            <w:r>
              <w:rPr>
                <w:rFonts w:ascii="Arial" w:cs="Arial" w:eastAsia="Arial" w:hAnsi="Arial"/>
                <w:sz w:val="11"/>
                <w:szCs w:val="11"/>
                <w:color w:val="auto"/>
              </w:rPr>
              <w:t>Gross margin</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00" w:type="dxa"/>
            <w:vAlign w:val="bottom"/>
          </w:tcPr>
          <w:p>
            <w:pPr>
              <w:spacing w:after="0"/>
              <w:rPr>
                <w:sz w:val="20"/>
                <w:szCs w:val="20"/>
                <w:color w:val="auto"/>
              </w:rPr>
            </w:pPr>
            <w:r>
              <w:rPr>
                <w:rFonts w:ascii="Arial" w:cs="Arial" w:eastAsia="Arial" w:hAnsi="Arial"/>
                <w:sz w:val="11"/>
                <w:szCs w:val="11"/>
                <w:color w:val="auto"/>
              </w:rPr>
              <w:t>Operating (loss)/income</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0" w:right="520"/>
        <w:spacing w:after="0" w:line="256" w:lineRule="auto"/>
        <w:rPr>
          <w:sz w:val="20"/>
          <w:szCs w:val="20"/>
          <w:color w:val="auto"/>
        </w:rPr>
      </w:pPr>
      <w:r>
        <w:rPr>
          <w:rFonts w:ascii="Arial" w:cs="Arial" w:eastAsia="Arial" w:hAnsi="Arial"/>
          <w:sz w:val="11"/>
          <w:szCs w:val="11"/>
          <w:color w:val="auto"/>
        </w:rPr>
        <w:t>Net income/(loss) from continuing operations</w:t>
      </w:r>
    </w:p>
    <w:p>
      <w:pPr>
        <w:spacing w:after="0" w:line="6" w:lineRule="exact"/>
        <w:rPr>
          <w:sz w:val="20"/>
          <w:szCs w:val="20"/>
          <w:color w:val="auto"/>
        </w:rPr>
      </w:pPr>
    </w:p>
    <w:p>
      <w:pPr>
        <w:ind w:left="20" w:right="120"/>
        <w:spacing w:after="0" w:line="256" w:lineRule="auto"/>
        <w:rPr>
          <w:sz w:val="20"/>
          <w:szCs w:val="20"/>
          <w:color w:val="auto"/>
        </w:rPr>
      </w:pPr>
      <w:r>
        <w:rPr>
          <w:rFonts w:ascii="Arial" w:cs="Arial" w:eastAsia="Arial" w:hAnsi="Arial"/>
          <w:sz w:val="11"/>
          <w:szCs w:val="11"/>
          <w:color w:val="auto"/>
        </w:rPr>
        <w:t>Income from discontinued operations net of income taxes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income</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940" w:type="dxa"/>
            <w:vAlign w:val="bottom"/>
          </w:tcPr>
          <w:p>
            <w:pPr>
              <w:spacing w:after="0"/>
              <w:rPr>
                <w:sz w:val="20"/>
                <w:szCs w:val="20"/>
                <w:color w:val="auto"/>
              </w:rPr>
            </w:pPr>
            <w:r>
              <w:rPr>
                <w:rFonts w:ascii="Arial" w:cs="Arial" w:eastAsia="Arial" w:hAnsi="Arial"/>
                <w:sz w:val="11"/>
                <w:szCs w:val="11"/>
                <w:color w:val="auto"/>
              </w:rPr>
              <w:t>Net income attributable to common</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1940" w:type="dxa"/>
            <w:vAlign w:val="bottom"/>
          </w:tcPr>
          <w:p>
            <w:pPr>
              <w:spacing w:after="0"/>
              <w:rPr>
                <w:sz w:val="20"/>
                <w:szCs w:val="20"/>
                <w:color w:val="auto"/>
              </w:rPr>
            </w:pPr>
            <w:r>
              <w:rPr>
                <w:rFonts w:ascii="Arial" w:cs="Arial" w:eastAsia="Arial" w:hAnsi="Arial"/>
                <w:sz w:val="11"/>
                <w:szCs w:val="11"/>
                <w:color w:val="auto"/>
              </w:rPr>
              <w:t>stockholders</w:t>
            </w: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940" w:type="dxa"/>
            <w:vAlign w:val="bottom"/>
          </w:tcPr>
          <w:p>
            <w:pPr>
              <w:spacing w:after="0"/>
              <w:rPr>
                <w:sz w:val="20"/>
                <w:szCs w:val="20"/>
                <w:color w:val="auto"/>
              </w:rPr>
            </w:pPr>
            <w:r>
              <w:rPr>
                <w:rFonts w:ascii="Arial" w:cs="Arial" w:eastAsia="Arial" w:hAnsi="Arial"/>
                <w:sz w:val="11"/>
                <w:szCs w:val="11"/>
                <w:color w:val="auto"/>
              </w:rPr>
              <w:t>Net income/(loss) per share from</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40" w:type="dxa"/>
            <w:vAlign w:val="bottom"/>
          </w:tcPr>
          <w:p>
            <w:pPr>
              <w:spacing w:after="0"/>
              <w:rPr>
                <w:sz w:val="20"/>
                <w:szCs w:val="20"/>
                <w:color w:val="auto"/>
              </w:rPr>
            </w:pPr>
            <w:r>
              <w:rPr>
                <w:rFonts w:ascii="Arial" w:cs="Arial" w:eastAsia="Arial" w:hAnsi="Arial"/>
                <w:sz w:val="11"/>
                <w:szCs w:val="11"/>
                <w:color w:val="auto"/>
              </w:rPr>
              <w:t>continuing operations: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280"/>
              <w:spacing w:after="0"/>
              <w:rPr>
                <w:sz w:val="20"/>
                <w:szCs w:val="20"/>
                <w:color w:val="auto"/>
              </w:rPr>
            </w:pPr>
            <w:r>
              <w:rPr>
                <w:rFonts w:ascii="Arial" w:cs="Arial" w:eastAsia="Arial" w:hAnsi="Arial"/>
                <w:sz w:val="11"/>
                <w:szCs w:val="11"/>
                <w:color w:val="auto"/>
              </w:rPr>
              <w:t>Basic</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53"/>
        </w:trPr>
        <w:tc>
          <w:tcPr>
            <w:tcW w:w="19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280"/>
              <w:spacing w:after="0"/>
              <w:rPr>
                <w:sz w:val="20"/>
                <w:szCs w:val="20"/>
                <w:color w:val="auto"/>
              </w:rPr>
            </w:pPr>
            <w:r>
              <w:rPr>
                <w:rFonts w:ascii="Arial" w:cs="Arial" w:eastAsia="Arial" w:hAnsi="Arial"/>
                <w:sz w:val="11"/>
                <w:szCs w:val="11"/>
                <w:color w:val="auto"/>
              </w:rPr>
              <w:t>Diluted</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53"/>
        </w:trPr>
        <w:tc>
          <w:tcPr>
            <w:tcW w:w="19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1940" w:type="dxa"/>
            <w:vAlign w:val="bottom"/>
          </w:tcPr>
          <w:p>
            <w:pPr>
              <w:spacing w:after="0"/>
              <w:rPr>
                <w:sz w:val="20"/>
                <w:szCs w:val="20"/>
                <w:color w:val="auto"/>
              </w:rPr>
            </w:pPr>
            <w:r>
              <w:rPr>
                <w:rFonts w:ascii="Arial" w:cs="Arial" w:eastAsia="Arial" w:hAnsi="Arial"/>
                <w:sz w:val="11"/>
                <w:szCs w:val="11"/>
                <w:color w:val="auto"/>
                <w:w w:val="98"/>
              </w:rPr>
              <w:t>Net income per share from discontinued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40" w:type="dxa"/>
            <w:vAlign w:val="bottom"/>
          </w:tcPr>
          <w:p>
            <w:pPr>
              <w:spacing w:after="0"/>
              <w:rPr>
                <w:sz w:val="20"/>
                <w:szCs w:val="20"/>
                <w:color w:val="auto"/>
              </w:rPr>
            </w:pPr>
            <w:r>
              <w:rPr>
                <w:rFonts w:ascii="Arial" w:cs="Arial" w:eastAsia="Arial" w:hAnsi="Arial"/>
                <w:sz w:val="11"/>
                <w:szCs w:val="11"/>
                <w:color w:val="auto"/>
              </w:rPr>
              <w:t>operations: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280"/>
              <w:spacing w:after="0"/>
              <w:rPr>
                <w:sz w:val="20"/>
                <w:szCs w:val="20"/>
                <w:color w:val="auto"/>
              </w:rPr>
            </w:pPr>
            <w:r>
              <w:rPr>
                <w:rFonts w:ascii="Arial" w:cs="Arial" w:eastAsia="Arial" w:hAnsi="Arial"/>
                <w:sz w:val="11"/>
                <w:szCs w:val="11"/>
                <w:color w:val="auto"/>
              </w:rPr>
              <w:t>Basic</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53"/>
        </w:trPr>
        <w:tc>
          <w:tcPr>
            <w:tcW w:w="19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280"/>
              <w:spacing w:after="0"/>
              <w:rPr>
                <w:sz w:val="20"/>
                <w:szCs w:val="20"/>
                <w:color w:val="auto"/>
              </w:rPr>
            </w:pPr>
            <w:r>
              <w:rPr>
                <w:rFonts w:ascii="Arial" w:cs="Arial" w:eastAsia="Arial" w:hAnsi="Arial"/>
                <w:sz w:val="11"/>
                <w:szCs w:val="11"/>
                <w:color w:val="auto"/>
              </w:rPr>
              <w:t>Diluted</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53"/>
        </w:trPr>
        <w:tc>
          <w:tcPr>
            <w:tcW w:w="19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1940" w:type="dxa"/>
            <w:vAlign w:val="bottom"/>
          </w:tcPr>
          <w:p>
            <w:pPr>
              <w:spacing w:after="0"/>
              <w:rPr>
                <w:sz w:val="20"/>
                <w:szCs w:val="20"/>
                <w:color w:val="auto"/>
              </w:rPr>
            </w:pPr>
            <w:r>
              <w:rPr>
                <w:rFonts w:ascii="Arial" w:cs="Arial" w:eastAsia="Arial" w:hAnsi="Arial"/>
                <w:sz w:val="11"/>
                <w:szCs w:val="11"/>
                <w:color w:val="auto"/>
              </w:rPr>
              <w:t>Net income attributable to common</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40" w:type="dxa"/>
            <w:vAlign w:val="bottom"/>
          </w:tcPr>
          <w:p>
            <w:pPr>
              <w:spacing w:after="0"/>
              <w:rPr>
                <w:sz w:val="20"/>
                <w:szCs w:val="20"/>
                <w:color w:val="auto"/>
              </w:rPr>
            </w:pPr>
            <w:r>
              <w:rPr>
                <w:rFonts w:ascii="Arial" w:cs="Arial" w:eastAsia="Arial" w:hAnsi="Arial"/>
                <w:sz w:val="11"/>
                <w:szCs w:val="11"/>
                <w:color w:val="auto"/>
              </w:rPr>
              <w:t>stockholders: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280"/>
              <w:spacing w:after="0"/>
              <w:rPr>
                <w:sz w:val="20"/>
                <w:szCs w:val="20"/>
                <w:color w:val="auto"/>
              </w:rPr>
            </w:pPr>
            <w:r>
              <w:rPr>
                <w:rFonts w:ascii="Arial" w:cs="Arial" w:eastAsia="Arial" w:hAnsi="Arial"/>
                <w:sz w:val="11"/>
                <w:szCs w:val="11"/>
                <w:color w:val="auto"/>
              </w:rPr>
              <w:t>Basic</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53"/>
        </w:trPr>
        <w:tc>
          <w:tcPr>
            <w:tcW w:w="19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280"/>
              <w:spacing w:after="0"/>
              <w:rPr>
                <w:sz w:val="20"/>
                <w:szCs w:val="20"/>
                <w:color w:val="auto"/>
              </w:rPr>
            </w:pPr>
            <w:r>
              <w:rPr>
                <w:rFonts w:ascii="Arial" w:cs="Arial" w:eastAsia="Arial" w:hAnsi="Arial"/>
                <w:sz w:val="11"/>
                <w:szCs w:val="11"/>
                <w:color w:val="auto"/>
              </w:rPr>
              <w:t>Diluted</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53"/>
        </w:trPr>
        <w:tc>
          <w:tcPr>
            <w:tcW w:w="19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940" w:type="dxa"/>
            <w:vAlign w:val="bottom"/>
          </w:tcPr>
          <w:p>
            <w:pPr>
              <w:spacing w:after="0"/>
              <w:rPr>
                <w:sz w:val="20"/>
                <w:szCs w:val="20"/>
                <w:color w:val="auto"/>
              </w:rPr>
            </w:pPr>
            <w:r>
              <w:rPr>
                <w:rFonts w:ascii="Arial" w:cs="Arial" w:eastAsia="Arial" w:hAnsi="Arial"/>
                <w:sz w:val="11"/>
                <w:szCs w:val="11"/>
                <w:color w:val="auto"/>
              </w:rPr>
              <w:t>Weighted average shares:</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940" w:type="dxa"/>
            <w:vAlign w:val="bottom"/>
          </w:tcPr>
          <w:p>
            <w:pPr>
              <w:ind w:left="280"/>
              <w:spacing w:after="0"/>
              <w:rPr>
                <w:sz w:val="20"/>
                <w:szCs w:val="20"/>
                <w:color w:val="auto"/>
              </w:rPr>
            </w:pPr>
            <w:r>
              <w:rPr>
                <w:rFonts w:ascii="Arial" w:cs="Arial" w:eastAsia="Arial" w:hAnsi="Arial"/>
                <w:sz w:val="11"/>
                <w:szCs w:val="11"/>
                <w:color w:val="auto"/>
              </w:rPr>
              <w:t>Basic</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40" w:type="dxa"/>
            <w:vAlign w:val="bottom"/>
          </w:tcPr>
          <w:p>
            <w:pPr>
              <w:ind w:left="280"/>
              <w:spacing w:after="0"/>
              <w:rPr>
                <w:sz w:val="20"/>
                <w:szCs w:val="20"/>
                <w:color w:val="auto"/>
              </w:rPr>
            </w:pPr>
            <w:r>
              <w:rPr>
                <w:rFonts w:ascii="Arial" w:cs="Arial" w:eastAsia="Arial" w:hAnsi="Arial"/>
                <w:sz w:val="11"/>
                <w:szCs w:val="11"/>
                <w:color w:val="auto"/>
              </w:rPr>
              <w:t>Diluted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740" w:type="dxa"/>
            <w:vAlign w:val="bottom"/>
          </w:tcPr>
          <w:p>
            <w:pPr>
              <w:jc w:val="right"/>
              <w:ind w:right="163"/>
              <w:spacing w:after="0"/>
              <w:rPr>
                <w:sz w:val="20"/>
                <w:szCs w:val="20"/>
                <w:color w:val="auto"/>
              </w:rPr>
            </w:pPr>
            <w:r>
              <w:rPr>
                <w:rFonts w:ascii="Arial" w:cs="Arial" w:eastAsia="Arial" w:hAnsi="Arial"/>
                <w:sz w:val="11"/>
                <w:szCs w:val="11"/>
                <w:color w:val="auto"/>
              </w:rPr>
              <w:t>8,192</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11,373</w:t>
            </w:r>
          </w:p>
        </w:tc>
        <w:tc>
          <w:tcPr>
            <w:tcW w:w="120" w:type="dxa"/>
            <w:vAlign w:val="bottom"/>
          </w:tcPr>
          <w:p>
            <w:pPr>
              <w:spacing w:after="0"/>
              <w:rPr>
                <w:sz w:val="12"/>
                <w:szCs w:val="12"/>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11,894</w:t>
            </w:r>
          </w:p>
        </w:tc>
        <w:tc>
          <w:tcPr>
            <w:tcW w:w="120" w:type="dxa"/>
            <w:vAlign w:val="bottom"/>
          </w:tcPr>
          <w:p>
            <w:pPr>
              <w:spacing w:after="0"/>
              <w:rPr>
                <w:sz w:val="12"/>
                <w:szCs w:val="12"/>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13,032</w:t>
            </w:r>
          </w:p>
        </w:tc>
        <w:tc>
          <w:tcPr>
            <w:tcW w:w="120" w:type="dxa"/>
            <w:vAlign w:val="bottom"/>
          </w:tcPr>
          <w:p>
            <w:pPr>
              <w:spacing w:after="0"/>
              <w:rPr>
                <w:sz w:val="12"/>
                <w:szCs w:val="12"/>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4,131</w:t>
            </w:r>
          </w:p>
        </w:tc>
        <w:tc>
          <w:tcPr>
            <w:tcW w:w="100" w:type="dxa"/>
            <w:vAlign w:val="bottom"/>
          </w:tcPr>
          <w:p>
            <w:pPr>
              <w:spacing w:after="0"/>
              <w:rPr>
                <w:sz w:val="12"/>
                <w:szCs w:val="12"/>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4,457</w:t>
            </w:r>
          </w:p>
        </w:tc>
        <w:tc>
          <w:tcPr>
            <w:tcW w:w="100" w:type="dxa"/>
            <w:vAlign w:val="bottom"/>
          </w:tcPr>
          <w:p>
            <w:pPr>
              <w:spacing w:after="0"/>
              <w:rPr>
                <w:sz w:val="12"/>
                <w:szCs w:val="12"/>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5,371</w:t>
            </w:r>
          </w:p>
        </w:tc>
        <w:tc>
          <w:tcPr>
            <w:tcW w:w="100" w:type="dxa"/>
            <w:vAlign w:val="bottom"/>
          </w:tcPr>
          <w:p>
            <w:pPr>
              <w:spacing w:after="0"/>
              <w:rPr>
                <w:sz w:val="12"/>
                <w:szCs w:val="12"/>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7,990</w:t>
            </w:r>
          </w:p>
        </w:tc>
      </w:tr>
      <w:tr>
        <w:trPr>
          <w:trHeight w:val="216"/>
        </w:trPr>
        <w:tc>
          <w:tcPr>
            <w:tcW w:w="740" w:type="dxa"/>
            <w:vAlign w:val="bottom"/>
          </w:tcPr>
          <w:p>
            <w:pPr>
              <w:jc w:val="right"/>
              <w:ind w:right="163"/>
              <w:spacing w:after="0"/>
              <w:rPr>
                <w:sz w:val="20"/>
                <w:szCs w:val="20"/>
                <w:color w:val="auto"/>
              </w:rPr>
            </w:pPr>
            <w:r>
              <w:rPr>
                <w:rFonts w:ascii="Arial" w:cs="Arial" w:eastAsia="Arial" w:hAnsi="Arial"/>
                <w:sz w:val="11"/>
                <w:szCs w:val="11"/>
                <w:color w:val="auto"/>
              </w:rPr>
              <w:t>6,641</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6,441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6,495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6,448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4,637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5,466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5,316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5,548</w:t>
            </w:r>
          </w:p>
        </w:tc>
      </w:tr>
      <w:tr>
        <w:trPr>
          <w:trHeight w:val="188"/>
        </w:trPr>
        <w:tc>
          <w:tcPr>
            <w:tcW w:w="740" w:type="dxa"/>
            <w:vAlign w:val="bottom"/>
          </w:tcPr>
          <w:p>
            <w:pPr>
              <w:jc w:val="right"/>
              <w:ind w:right="163"/>
              <w:spacing w:after="0"/>
              <w:rPr>
                <w:sz w:val="20"/>
                <w:szCs w:val="20"/>
                <w:color w:val="auto"/>
              </w:rPr>
            </w:pPr>
            <w:r>
              <w:rPr>
                <w:rFonts w:ascii="Arial" w:cs="Arial" w:eastAsia="Arial" w:hAnsi="Arial"/>
                <w:sz w:val="11"/>
                <w:szCs w:val="11"/>
                <w:color w:val="auto"/>
              </w:rPr>
              <w:t>14,833</w:t>
            </w:r>
          </w:p>
        </w:tc>
        <w:tc>
          <w:tcPr>
            <w:tcW w:w="240" w:type="dxa"/>
            <w:vAlign w:val="bottom"/>
          </w:tcPr>
          <w:p>
            <w:pPr>
              <w:spacing w:after="0"/>
              <w:rPr>
                <w:sz w:val="16"/>
                <w:szCs w:val="16"/>
                <w:color w:val="auto"/>
              </w:rPr>
            </w:pP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17,814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18,389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19,480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8,768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9,923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10,687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13,538</w:t>
            </w:r>
          </w:p>
        </w:tc>
      </w:tr>
      <w:tr>
        <w:trPr>
          <w:trHeight w:val="212"/>
        </w:trPr>
        <w:tc>
          <w:tcPr>
            <w:tcW w:w="740" w:type="dxa"/>
            <w:vAlign w:val="bottom"/>
          </w:tcPr>
          <w:p>
            <w:pPr>
              <w:jc w:val="right"/>
              <w:ind w:right="163"/>
              <w:spacing w:after="0"/>
              <w:rPr>
                <w:sz w:val="20"/>
                <w:szCs w:val="20"/>
                <w:color w:val="auto"/>
              </w:rPr>
            </w:pPr>
            <w:r>
              <w:rPr>
                <w:rFonts w:ascii="Arial" w:cs="Arial" w:eastAsia="Arial" w:hAnsi="Arial"/>
                <w:sz w:val="11"/>
                <w:szCs w:val="11"/>
                <w:color w:val="auto"/>
              </w:rPr>
              <w:t>6,768</w:t>
            </w:r>
          </w:p>
        </w:tc>
        <w:tc>
          <w:tcPr>
            <w:tcW w:w="240" w:type="dxa"/>
            <w:vAlign w:val="bottom"/>
          </w:tcPr>
          <w:p>
            <w:pPr>
              <w:spacing w:after="0"/>
              <w:rPr>
                <w:sz w:val="18"/>
                <w:szCs w:val="18"/>
                <w:color w:val="auto"/>
              </w:rPr>
            </w:pP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8,752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9,275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10,388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3,840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4,231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4,689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6,572</w:t>
            </w:r>
          </w:p>
        </w:tc>
      </w:tr>
      <w:tr>
        <w:trPr>
          <w:trHeight w:val="212"/>
        </w:trPr>
        <w:tc>
          <w:tcPr>
            <w:tcW w:w="740" w:type="dxa"/>
            <w:vAlign w:val="bottom"/>
          </w:tcPr>
          <w:p>
            <w:pPr>
              <w:jc w:val="right"/>
              <w:ind w:right="123"/>
              <w:spacing w:after="0"/>
              <w:rPr>
                <w:sz w:val="20"/>
                <w:szCs w:val="20"/>
                <w:color w:val="auto"/>
              </w:rPr>
            </w:pPr>
            <w:r>
              <w:rPr>
                <w:rFonts w:ascii="Arial" w:cs="Arial" w:eastAsia="Arial" w:hAnsi="Arial"/>
                <w:sz w:val="11"/>
                <w:szCs w:val="11"/>
                <w:color w:val="auto"/>
              </w:rPr>
              <w:t>(898)</w:t>
            </w:r>
          </w:p>
        </w:tc>
        <w:tc>
          <w:tcPr>
            <w:tcW w:w="240" w:type="dxa"/>
            <w:vAlign w:val="bottom"/>
          </w:tcPr>
          <w:p>
            <w:pPr>
              <w:spacing w:after="0"/>
              <w:rPr>
                <w:sz w:val="18"/>
                <w:szCs w:val="18"/>
                <w:color w:val="auto"/>
              </w:rPr>
            </w:pP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1,014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1,481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1,718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(373)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205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581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423</w:t>
            </w:r>
          </w:p>
        </w:tc>
      </w:tr>
      <w:tr>
        <w:trPr>
          <w:trHeight w:val="276"/>
        </w:trPr>
        <w:tc>
          <w:tcPr>
            <w:tcW w:w="740" w:type="dxa"/>
            <w:vAlign w:val="bottom"/>
          </w:tcPr>
          <w:p>
            <w:pPr>
              <w:jc w:val="right"/>
              <w:ind w:right="163"/>
              <w:spacing w:after="0"/>
              <w:rPr>
                <w:sz w:val="20"/>
                <w:szCs w:val="20"/>
                <w:color w:val="auto"/>
              </w:rPr>
            </w:pPr>
            <w:r>
              <w:rPr>
                <w:rFonts w:ascii="Arial" w:cs="Arial" w:eastAsia="Arial" w:hAnsi="Arial"/>
                <w:sz w:val="11"/>
                <w:szCs w:val="11"/>
                <w:color w:val="auto"/>
              </w:rPr>
              <w:t>1,126</w:t>
            </w:r>
          </w:p>
        </w:tc>
        <w:tc>
          <w:tcPr>
            <w:tcW w:w="240" w:type="dxa"/>
            <w:vAlign w:val="bottom"/>
          </w:tcPr>
          <w:p>
            <w:pPr>
              <w:spacing w:after="0"/>
              <w:rPr>
                <w:sz w:val="23"/>
                <w:szCs w:val="23"/>
                <w:color w:val="auto"/>
              </w:rPr>
            </w:pP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840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1,231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2,146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(272)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299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1,293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(122)</w:t>
            </w:r>
          </w:p>
        </w:tc>
      </w:tr>
      <w:tr>
        <w:trPr>
          <w:trHeight w:val="276"/>
        </w:trPr>
        <w:tc>
          <w:tcPr>
            <w:tcW w:w="74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421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768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7,556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1,062</w:t>
            </w:r>
          </w:p>
        </w:tc>
      </w:tr>
      <w:tr>
        <w:trPr>
          <w:trHeight w:val="212"/>
        </w:trPr>
        <w:tc>
          <w:tcPr>
            <w:tcW w:w="740" w:type="dxa"/>
            <w:vAlign w:val="bottom"/>
          </w:tcPr>
          <w:p>
            <w:pPr>
              <w:jc w:val="right"/>
              <w:ind w:right="163"/>
              <w:spacing w:after="0"/>
              <w:rPr>
                <w:sz w:val="20"/>
                <w:szCs w:val="20"/>
                <w:color w:val="auto"/>
              </w:rPr>
            </w:pPr>
            <w:r>
              <w:rPr>
                <w:rFonts w:ascii="Arial" w:cs="Arial" w:eastAsia="Arial" w:hAnsi="Arial"/>
                <w:sz w:val="11"/>
                <w:szCs w:val="11"/>
                <w:color w:val="auto"/>
              </w:rPr>
              <w:t>1,126</w:t>
            </w:r>
          </w:p>
        </w:tc>
        <w:tc>
          <w:tcPr>
            <w:tcW w:w="240" w:type="dxa"/>
            <w:vAlign w:val="bottom"/>
          </w:tcPr>
          <w:p>
            <w:pPr>
              <w:spacing w:after="0"/>
              <w:rPr>
                <w:sz w:val="18"/>
                <w:szCs w:val="18"/>
                <w:color w:val="auto"/>
              </w:rPr>
            </w:pP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840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1,231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2,146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149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1,067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8,849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940</w:t>
            </w:r>
          </w:p>
        </w:tc>
      </w:tr>
      <w:tr>
        <w:trPr>
          <w:trHeight w:val="269"/>
        </w:trPr>
        <w:tc>
          <w:tcPr>
            <w:tcW w:w="740" w:type="dxa"/>
            <w:vAlign w:val="bottom"/>
          </w:tcPr>
          <w:p>
            <w:pPr>
              <w:jc w:val="right"/>
              <w:ind w:right="163"/>
              <w:spacing w:after="0"/>
              <w:rPr>
                <w:sz w:val="20"/>
                <w:szCs w:val="20"/>
                <w:color w:val="auto"/>
              </w:rPr>
            </w:pPr>
            <w:r>
              <w:rPr>
                <w:rFonts w:ascii="Arial" w:cs="Arial" w:eastAsia="Arial" w:hAnsi="Arial"/>
                <w:sz w:val="11"/>
                <w:szCs w:val="11"/>
                <w:color w:val="auto"/>
              </w:rPr>
              <w:t>1,043</w:t>
            </w: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751</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1,117</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2,146</w:t>
            </w:r>
          </w:p>
        </w:tc>
        <w:tc>
          <w:tcPr>
            <w:tcW w:w="120" w:type="dxa"/>
            <w:vAlign w:val="bottom"/>
          </w:tcPr>
          <w:p>
            <w:pPr>
              <w:spacing w:after="0"/>
              <w:rPr>
                <w:sz w:val="23"/>
                <w:szCs w:val="2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84</w:t>
            </w:r>
          </w:p>
        </w:tc>
        <w:tc>
          <w:tcPr>
            <w:tcW w:w="100" w:type="dxa"/>
            <w:vAlign w:val="bottom"/>
          </w:tcPr>
          <w:p>
            <w:pPr>
              <w:spacing w:after="0"/>
              <w:rPr>
                <w:sz w:val="23"/>
                <w:szCs w:val="23"/>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1,004</w:t>
            </w:r>
          </w:p>
        </w:tc>
        <w:tc>
          <w:tcPr>
            <w:tcW w:w="100" w:type="dxa"/>
            <w:vAlign w:val="bottom"/>
          </w:tcPr>
          <w:p>
            <w:pPr>
              <w:spacing w:after="0"/>
              <w:rPr>
                <w:sz w:val="23"/>
                <w:szCs w:val="23"/>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8,785</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873</w:t>
            </w:r>
          </w:p>
        </w:tc>
      </w:tr>
      <w:tr>
        <w:trPr>
          <w:trHeight w:val="20"/>
        </w:trPr>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34"/>
        </w:trPr>
        <w:tc>
          <w:tcPr>
            <w:tcW w:w="740" w:type="dxa"/>
            <w:vAlign w:val="bottom"/>
          </w:tcPr>
          <w:p>
            <w:pPr>
              <w:jc w:val="right"/>
              <w:ind w:right="163"/>
              <w:spacing w:after="0"/>
              <w:rPr>
                <w:sz w:val="20"/>
                <w:szCs w:val="20"/>
                <w:color w:val="auto"/>
              </w:rPr>
            </w:pPr>
            <w:r>
              <w:rPr>
                <w:rFonts w:ascii="Arial" w:cs="Arial" w:eastAsia="Arial" w:hAnsi="Arial"/>
                <w:sz w:val="11"/>
                <w:szCs w:val="11"/>
                <w:color w:val="auto"/>
              </w:rPr>
              <w:t>0.04</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0.03</w:t>
            </w:r>
          </w:p>
        </w:tc>
        <w:tc>
          <w:tcPr>
            <w:tcW w:w="120" w:type="dxa"/>
            <w:vAlign w:val="bottom"/>
          </w:tcPr>
          <w:p>
            <w:pPr>
              <w:spacing w:after="0"/>
              <w:rPr>
                <w:sz w:val="24"/>
                <w:szCs w:val="24"/>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0.04</w:t>
            </w:r>
          </w:p>
        </w:tc>
        <w:tc>
          <w:tcPr>
            <w:tcW w:w="120" w:type="dxa"/>
            <w:vAlign w:val="bottom"/>
          </w:tcPr>
          <w:p>
            <w:pPr>
              <w:spacing w:after="0"/>
              <w:rPr>
                <w:sz w:val="24"/>
                <w:szCs w:val="24"/>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0.07</w:t>
            </w:r>
          </w:p>
        </w:tc>
        <w:tc>
          <w:tcPr>
            <w:tcW w:w="120" w:type="dxa"/>
            <w:vAlign w:val="bottom"/>
          </w:tcPr>
          <w:p>
            <w:pPr>
              <w:spacing w:after="0"/>
              <w:rPr>
                <w:sz w:val="24"/>
                <w:szCs w:val="24"/>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(0.01)</w:t>
            </w:r>
          </w:p>
        </w:tc>
        <w:tc>
          <w:tcPr>
            <w:tcW w:w="100" w:type="dxa"/>
            <w:vAlign w:val="bottom"/>
          </w:tcPr>
          <w:p>
            <w:pPr>
              <w:spacing w:after="0"/>
              <w:rPr>
                <w:sz w:val="24"/>
                <w:szCs w:val="24"/>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0.01</w:t>
            </w:r>
          </w:p>
        </w:tc>
        <w:tc>
          <w:tcPr>
            <w:tcW w:w="100" w:type="dxa"/>
            <w:vAlign w:val="bottom"/>
          </w:tcPr>
          <w:p>
            <w:pPr>
              <w:spacing w:after="0"/>
              <w:rPr>
                <w:sz w:val="24"/>
                <w:szCs w:val="24"/>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0.05</w:t>
            </w:r>
          </w:p>
        </w:tc>
        <w:tc>
          <w:tcPr>
            <w:tcW w:w="100" w:type="dxa"/>
            <w:vAlign w:val="bottom"/>
          </w:tcPr>
          <w:p>
            <w:pPr>
              <w:spacing w:after="0"/>
              <w:rPr>
                <w:sz w:val="24"/>
                <w:szCs w:val="24"/>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212"/>
        </w:trPr>
        <w:tc>
          <w:tcPr>
            <w:tcW w:w="740" w:type="dxa"/>
            <w:vAlign w:val="bottom"/>
          </w:tcPr>
          <w:p>
            <w:pPr>
              <w:jc w:val="right"/>
              <w:ind w:right="163"/>
              <w:spacing w:after="0"/>
              <w:rPr>
                <w:sz w:val="20"/>
                <w:szCs w:val="20"/>
                <w:color w:val="auto"/>
              </w:rPr>
            </w:pPr>
            <w:r>
              <w:rPr>
                <w:rFonts w:ascii="Arial" w:cs="Arial" w:eastAsia="Arial" w:hAnsi="Arial"/>
                <w:sz w:val="11"/>
                <w:szCs w:val="11"/>
                <w:color w:val="auto"/>
              </w:rPr>
              <w:t>0.03</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0.02</w:t>
            </w:r>
          </w:p>
        </w:tc>
        <w:tc>
          <w:tcPr>
            <w:tcW w:w="120" w:type="dxa"/>
            <w:vAlign w:val="bottom"/>
          </w:tcPr>
          <w:p>
            <w:pPr>
              <w:spacing w:after="0"/>
              <w:rPr>
                <w:sz w:val="18"/>
                <w:szCs w:val="18"/>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0.04</w:t>
            </w:r>
          </w:p>
        </w:tc>
        <w:tc>
          <w:tcPr>
            <w:tcW w:w="120" w:type="dxa"/>
            <w:vAlign w:val="bottom"/>
          </w:tcPr>
          <w:p>
            <w:pPr>
              <w:spacing w:after="0"/>
              <w:rPr>
                <w:sz w:val="18"/>
                <w:szCs w:val="18"/>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0.07</w:t>
            </w:r>
          </w:p>
        </w:tc>
        <w:tc>
          <w:tcPr>
            <w:tcW w:w="120" w:type="dxa"/>
            <w:vAlign w:val="bottom"/>
          </w:tcPr>
          <w:p>
            <w:pPr>
              <w:spacing w:after="0"/>
              <w:rPr>
                <w:sz w:val="18"/>
                <w:szCs w:val="18"/>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(0.01)</w:t>
            </w:r>
          </w:p>
        </w:tc>
        <w:tc>
          <w:tcPr>
            <w:tcW w:w="100" w:type="dxa"/>
            <w:vAlign w:val="bottom"/>
          </w:tcPr>
          <w:p>
            <w:pPr>
              <w:spacing w:after="0"/>
              <w:rPr>
                <w:sz w:val="18"/>
                <w:szCs w:val="18"/>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0.01</w:t>
            </w:r>
          </w:p>
        </w:tc>
        <w:tc>
          <w:tcPr>
            <w:tcW w:w="100" w:type="dxa"/>
            <w:vAlign w:val="bottom"/>
          </w:tcPr>
          <w:p>
            <w:pPr>
              <w:spacing w:after="0"/>
              <w:rPr>
                <w:sz w:val="18"/>
                <w:szCs w:val="18"/>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0.04</w:t>
            </w:r>
          </w:p>
        </w:tc>
        <w:tc>
          <w:tcPr>
            <w:tcW w:w="100" w:type="dxa"/>
            <w:vAlign w:val="bottom"/>
          </w:tcPr>
          <w:p>
            <w:pPr>
              <w:spacing w:after="0"/>
              <w:rPr>
                <w:sz w:val="18"/>
                <w:szCs w:val="18"/>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488"/>
        </w:trPr>
        <w:tc>
          <w:tcPr>
            <w:tcW w:w="74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0.02</w:t>
            </w:r>
          </w:p>
        </w:tc>
        <w:tc>
          <w:tcPr>
            <w:tcW w:w="100" w:type="dxa"/>
            <w:vAlign w:val="bottom"/>
          </w:tcPr>
          <w:p>
            <w:pPr>
              <w:spacing w:after="0"/>
              <w:rPr>
                <w:sz w:val="24"/>
                <w:szCs w:val="24"/>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0.03</w:t>
            </w:r>
          </w:p>
        </w:tc>
        <w:tc>
          <w:tcPr>
            <w:tcW w:w="100" w:type="dxa"/>
            <w:vAlign w:val="bottom"/>
          </w:tcPr>
          <w:p>
            <w:pPr>
              <w:spacing w:after="0"/>
              <w:rPr>
                <w:sz w:val="24"/>
                <w:szCs w:val="24"/>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0.27</w:t>
            </w:r>
          </w:p>
        </w:tc>
        <w:tc>
          <w:tcPr>
            <w:tcW w:w="100" w:type="dxa"/>
            <w:vAlign w:val="bottom"/>
          </w:tcPr>
          <w:p>
            <w:pPr>
              <w:spacing w:after="0"/>
              <w:rPr>
                <w:sz w:val="24"/>
                <w:szCs w:val="24"/>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0.04</w:t>
            </w:r>
          </w:p>
        </w:tc>
      </w:tr>
      <w:tr>
        <w:trPr>
          <w:trHeight w:val="212"/>
        </w:trPr>
        <w:tc>
          <w:tcPr>
            <w:tcW w:w="74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0.02</w:t>
            </w:r>
          </w:p>
        </w:tc>
        <w:tc>
          <w:tcPr>
            <w:tcW w:w="100" w:type="dxa"/>
            <w:vAlign w:val="bottom"/>
          </w:tcPr>
          <w:p>
            <w:pPr>
              <w:spacing w:after="0"/>
              <w:rPr>
                <w:sz w:val="18"/>
                <w:szCs w:val="18"/>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0.02</w:t>
            </w:r>
          </w:p>
        </w:tc>
        <w:tc>
          <w:tcPr>
            <w:tcW w:w="100" w:type="dxa"/>
            <w:vAlign w:val="bottom"/>
          </w:tcPr>
          <w:p>
            <w:pPr>
              <w:spacing w:after="0"/>
              <w:rPr>
                <w:sz w:val="18"/>
                <w:szCs w:val="18"/>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0.23</w:t>
            </w:r>
          </w:p>
        </w:tc>
        <w:tc>
          <w:tcPr>
            <w:tcW w:w="100" w:type="dxa"/>
            <w:vAlign w:val="bottom"/>
          </w:tcPr>
          <w:p>
            <w:pPr>
              <w:spacing w:after="0"/>
              <w:rPr>
                <w:sz w:val="18"/>
                <w:szCs w:val="18"/>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0.04</w:t>
            </w:r>
          </w:p>
        </w:tc>
      </w:tr>
      <w:tr>
        <w:trPr>
          <w:trHeight w:val="488"/>
        </w:trPr>
        <w:tc>
          <w:tcPr>
            <w:tcW w:w="740" w:type="dxa"/>
            <w:vAlign w:val="bottom"/>
          </w:tcPr>
          <w:p>
            <w:pPr>
              <w:jc w:val="right"/>
              <w:ind w:right="163"/>
              <w:spacing w:after="0"/>
              <w:rPr>
                <w:sz w:val="20"/>
                <w:szCs w:val="20"/>
                <w:color w:val="auto"/>
              </w:rPr>
            </w:pPr>
            <w:r>
              <w:rPr>
                <w:rFonts w:ascii="Arial" w:cs="Arial" w:eastAsia="Arial" w:hAnsi="Arial"/>
                <w:sz w:val="11"/>
                <w:szCs w:val="11"/>
                <w:color w:val="auto"/>
              </w:rPr>
              <w:t>0.04</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0.03</w:t>
            </w:r>
          </w:p>
        </w:tc>
        <w:tc>
          <w:tcPr>
            <w:tcW w:w="120" w:type="dxa"/>
            <w:vAlign w:val="bottom"/>
          </w:tcPr>
          <w:p>
            <w:pPr>
              <w:spacing w:after="0"/>
              <w:rPr>
                <w:sz w:val="24"/>
                <w:szCs w:val="24"/>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0.04</w:t>
            </w:r>
          </w:p>
        </w:tc>
        <w:tc>
          <w:tcPr>
            <w:tcW w:w="120" w:type="dxa"/>
            <w:vAlign w:val="bottom"/>
          </w:tcPr>
          <w:p>
            <w:pPr>
              <w:spacing w:after="0"/>
              <w:rPr>
                <w:sz w:val="24"/>
                <w:szCs w:val="24"/>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0.07</w:t>
            </w:r>
          </w:p>
        </w:tc>
        <w:tc>
          <w:tcPr>
            <w:tcW w:w="120" w:type="dxa"/>
            <w:vAlign w:val="bottom"/>
          </w:tcPr>
          <w:p>
            <w:pPr>
              <w:spacing w:after="0"/>
              <w:rPr>
                <w:sz w:val="24"/>
                <w:szCs w:val="24"/>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0.04</w:t>
            </w:r>
          </w:p>
        </w:tc>
        <w:tc>
          <w:tcPr>
            <w:tcW w:w="100" w:type="dxa"/>
            <w:vAlign w:val="bottom"/>
          </w:tcPr>
          <w:p>
            <w:pPr>
              <w:spacing w:after="0"/>
              <w:rPr>
                <w:sz w:val="24"/>
                <w:szCs w:val="24"/>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0.31</w:t>
            </w:r>
          </w:p>
        </w:tc>
        <w:tc>
          <w:tcPr>
            <w:tcW w:w="100" w:type="dxa"/>
            <w:vAlign w:val="bottom"/>
          </w:tcPr>
          <w:p>
            <w:pPr>
              <w:spacing w:after="0"/>
              <w:rPr>
                <w:sz w:val="24"/>
                <w:szCs w:val="24"/>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0.03</w:t>
            </w:r>
          </w:p>
        </w:tc>
      </w:tr>
      <w:tr>
        <w:trPr>
          <w:trHeight w:val="212"/>
        </w:trPr>
        <w:tc>
          <w:tcPr>
            <w:tcW w:w="740" w:type="dxa"/>
            <w:vAlign w:val="bottom"/>
          </w:tcPr>
          <w:p>
            <w:pPr>
              <w:jc w:val="right"/>
              <w:ind w:right="163"/>
              <w:spacing w:after="0"/>
              <w:rPr>
                <w:sz w:val="20"/>
                <w:szCs w:val="20"/>
                <w:color w:val="auto"/>
              </w:rPr>
            </w:pPr>
            <w:r>
              <w:rPr>
                <w:rFonts w:ascii="Arial" w:cs="Arial" w:eastAsia="Arial" w:hAnsi="Arial"/>
                <w:sz w:val="11"/>
                <w:szCs w:val="11"/>
                <w:color w:val="auto"/>
              </w:rPr>
              <w:t>0.03</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0.02</w:t>
            </w:r>
          </w:p>
        </w:tc>
        <w:tc>
          <w:tcPr>
            <w:tcW w:w="120" w:type="dxa"/>
            <w:vAlign w:val="bottom"/>
          </w:tcPr>
          <w:p>
            <w:pPr>
              <w:spacing w:after="0"/>
              <w:rPr>
                <w:sz w:val="18"/>
                <w:szCs w:val="18"/>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0.03</w:t>
            </w:r>
          </w:p>
        </w:tc>
        <w:tc>
          <w:tcPr>
            <w:tcW w:w="120" w:type="dxa"/>
            <w:vAlign w:val="bottom"/>
          </w:tcPr>
          <w:p>
            <w:pPr>
              <w:spacing w:after="0"/>
              <w:rPr>
                <w:sz w:val="18"/>
                <w:szCs w:val="18"/>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0.07</w:t>
            </w:r>
          </w:p>
        </w:tc>
        <w:tc>
          <w:tcPr>
            <w:tcW w:w="120" w:type="dxa"/>
            <w:vAlign w:val="bottom"/>
          </w:tcPr>
          <w:p>
            <w:pPr>
              <w:spacing w:after="0"/>
              <w:rPr>
                <w:sz w:val="18"/>
                <w:szCs w:val="18"/>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0.03</w:t>
            </w:r>
          </w:p>
        </w:tc>
        <w:tc>
          <w:tcPr>
            <w:tcW w:w="100" w:type="dxa"/>
            <w:vAlign w:val="bottom"/>
          </w:tcPr>
          <w:p>
            <w:pPr>
              <w:spacing w:after="0"/>
              <w:rPr>
                <w:sz w:val="18"/>
                <w:szCs w:val="18"/>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0.27</w:t>
            </w:r>
          </w:p>
        </w:tc>
        <w:tc>
          <w:tcPr>
            <w:tcW w:w="100" w:type="dxa"/>
            <w:vAlign w:val="bottom"/>
          </w:tcPr>
          <w:p>
            <w:pPr>
              <w:spacing w:after="0"/>
              <w:rPr>
                <w:sz w:val="18"/>
                <w:szCs w:val="18"/>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0.03</w:t>
            </w:r>
          </w:p>
        </w:tc>
      </w:tr>
      <w:tr>
        <w:trPr>
          <w:trHeight w:val="424"/>
        </w:trPr>
        <w:tc>
          <w:tcPr>
            <w:tcW w:w="740" w:type="dxa"/>
            <w:vAlign w:val="bottom"/>
          </w:tcPr>
          <w:p>
            <w:pPr>
              <w:jc w:val="right"/>
              <w:ind w:right="163"/>
              <w:spacing w:after="0"/>
              <w:rPr>
                <w:sz w:val="20"/>
                <w:szCs w:val="20"/>
                <w:color w:val="auto"/>
              </w:rPr>
            </w:pPr>
            <w:r>
              <w:rPr>
                <w:rFonts w:ascii="Arial" w:cs="Arial" w:eastAsia="Arial" w:hAnsi="Arial"/>
                <w:sz w:val="11"/>
                <w:szCs w:val="11"/>
                <w:color w:val="auto"/>
                <w:w w:val="90"/>
              </w:rPr>
              <w:t>28,039,080</w:t>
            </w:r>
          </w:p>
        </w:tc>
        <w:tc>
          <w:tcPr>
            <w:tcW w:w="240" w:type="dxa"/>
            <w:vAlign w:val="bottom"/>
          </w:tcPr>
          <w:p>
            <w:pPr>
              <w:spacing w:after="0"/>
              <w:rPr>
                <w:sz w:val="24"/>
                <w:szCs w:val="24"/>
                <w:color w:val="auto"/>
              </w:rPr>
            </w:pP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28,246,840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28,291,297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30,159,322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27,204,989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27,531,361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27,901,631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28,067,348</w:t>
            </w:r>
          </w:p>
        </w:tc>
      </w:tr>
      <w:tr>
        <w:trPr>
          <w:trHeight w:val="212"/>
        </w:trPr>
        <w:tc>
          <w:tcPr>
            <w:tcW w:w="740" w:type="dxa"/>
            <w:vAlign w:val="bottom"/>
          </w:tcPr>
          <w:p>
            <w:pPr>
              <w:jc w:val="right"/>
              <w:ind w:right="163"/>
              <w:spacing w:after="0"/>
              <w:rPr>
                <w:sz w:val="20"/>
                <w:szCs w:val="20"/>
                <w:color w:val="auto"/>
              </w:rPr>
            </w:pPr>
            <w:r>
              <w:rPr>
                <w:rFonts w:ascii="Arial" w:cs="Arial" w:eastAsia="Arial" w:hAnsi="Arial"/>
                <w:sz w:val="11"/>
                <w:szCs w:val="11"/>
                <w:color w:val="auto"/>
                <w:w w:val="90"/>
              </w:rPr>
              <w:t>33,479,935</w:t>
            </w:r>
          </w:p>
        </w:tc>
        <w:tc>
          <w:tcPr>
            <w:tcW w:w="240" w:type="dxa"/>
            <w:vAlign w:val="bottom"/>
          </w:tcPr>
          <w:p>
            <w:pPr>
              <w:spacing w:after="0"/>
              <w:rPr>
                <w:sz w:val="18"/>
                <w:szCs w:val="18"/>
                <w:color w:val="auto"/>
              </w:rPr>
            </w:pP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33,650,790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32,115,847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32,211,847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27,204,989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31,506,745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33,055,881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3"/>
              <w:spacing w:after="0"/>
              <w:rPr>
                <w:sz w:val="20"/>
                <w:szCs w:val="20"/>
                <w:color w:val="auto"/>
              </w:rPr>
            </w:pPr>
            <w:r>
              <w:rPr>
                <w:rFonts w:ascii="Arial" w:cs="Arial" w:eastAsia="Arial" w:hAnsi="Arial"/>
                <w:sz w:val="11"/>
                <w:szCs w:val="11"/>
                <w:color w:val="auto"/>
              </w:rPr>
              <w:t>28,067,348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-2931160</wp:posOffset>
            </wp:positionV>
            <wp:extent cx="7161530" cy="2802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2802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320"/>
            <w:col w:w="8840"/>
          </w:cols>
          <w:pgMar w:left="300" w:top="125" w:right="319" w:bottom="1440" w:gutter="0" w:footer="0" w:header="0"/>
          <w:type w:val="continuous"/>
        </w:sectPr>
      </w:pPr>
    </w:p>
    <w:p>
      <w:pPr>
        <w:spacing w:after="0" w:line="19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19.</w:t>
      </w:r>
      <w:r>
        <w:rPr>
          <w:sz w:val="20"/>
          <w:szCs w:val="20"/>
          <w:color w:val="auto"/>
        </w:rPr>
        <w:tab/>
      </w:r>
      <w:r>
        <w:rPr>
          <w:rFonts w:ascii="Arial" w:cs="Arial" w:eastAsia="Arial" w:hAnsi="Arial"/>
          <w:sz w:val="12"/>
          <w:szCs w:val="12"/>
          <w:b w:val="1"/>
          <w:bCs w:val="1"/>
          <w:color w:val="auto"/>
        </w:rPr>
        <w:t>Discontinued Operations</w:t>
      </w:r>
    </w:p>
    <w:p>
      <w:pPr>
        <w:spacing w:after="0" w:line="183" w:lineRule="exact"/>
        <w:rPr>
          <w:sz w:val="20"/>
          <w:szCs w:val="20"/>
          <w:color w:val="auto"/>
        </w:rPr>
      </w:pPr>
    </w:p>
    <w:p>
      <w:pPr>
        <w:ind w:right="20" w:firstLine="340"/>
        <w:spacing w:after="0" w:line="262" w:lineRule="auto"/>
        <w:rPr>
          <w:sz w:val="20"/>
          <w:szCs w:val="20"/>
          <w:color w:val="auto"/>
        </w:rPr>
      </w:pPr>
      <w:r>
        <w:rPr>
          <w:rFonts w:ascii="Arial" w:cs="Arial" w:eastAsia="Arial" w:hAnsi="Arial"/>
          <w:sz w:val="14"/>
          <w:szCs w:val="14"/>
          <w:color w:val="auto"/>
        </w:rPr>
        <w:t>On July 31, 2018, we sold the assets and operations related to our Opto business, which was part of our Products and Licensing segment, to an unaffiliated third party for an initial purchase price up to $18.5 million, of which $17.5 million was received at closing and has been properly recorded in the financial statements with the remaining purchase price adjustment up to $1.0 million which is contingent upon the attainment of specified revenue targets during the eighteen months following the closing of the sale. The Opto business was a component of the operations of API, which we acquired in May 2015, and represented all of our operations in our Camarillo, California and Montreal, Quebec facilities.</w:t>
      </w:r>
    </w:p>
    <w:p>
      <w:pPr>
        <w:spacing w:after="0" w:line="146" w:lineRule="exact"/>
        <w:rPr>
          <w:sz w:val="20"/>
          <w:szCs w:val="20"/>
          <w:color w:val="auto"/>
        </w:rPr>
      </w:pPr>
    </w:p>
    <w:p>
      <w:pPr>
        <w:ind w:right="100" w:firstLine="139"/>
        <w:spacing w:after="0" w:line="267" w:lineRule="auto"/>
        <w:rPr>
          <w:sz w:val="20"/>
          <w:szCs w:val="20"/>
          <w:color w:val="auto"/>
        </w:rPr>
      </w:pPr>
      <w:r>
        <w:rPr>
          <w:rFonts w:ascii="Arial" w:cs="Arial" w:eastAsia="Arial" w:hAnsi="Arial"/>
          <w:sz w:val="14"/>
          <w:szCs w:val="14"/>
          <w:color w:val="auto"/>
        </w:rPr>
        <w:t>We have reported the results of operations of the Opto business as discontinued operations in our consolidated financial statements for the year ended December 31, 2018. There was no income or loss from discontinued operations for the year ended December 31, 2019. We allocated a portion of the consolidated tax expense to discontinued operations based on the ratio of the discontinued business's loss before allocations.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presents a summary of the transactions related to the sales of Opto in the year ended December 31, 2018:</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280"/>
          </w:cols>
          <w:pgMar w:left="300" w:top="125" w:right="319" w:bottom="1440" w:gutter="0" w:footer="0" w:header="0"/>
          <w:type w:val="continuous"/>
        </w:sectPr>
      </w:pPr>
    </w:p>
    <w:bookmarkStart w:id="75" w:name="page76"/>
    <w:bookmarkEnd w:id="7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tbl>
      <w:tblPr>
        <w:tblLayout w:type="fixed"/>
        <w:tblInd w:w="520" w:type="dxa"/>
        <w:tblCellMar>
          <w:top w:w="0" w:type="dxa"/>
          <w:left w:w="0" w:type="dxa"/>
          <w:bottom w:w="0" w:type="dxa"/>
          <w:right w:w="0" w:type="dxa"/>
        </w:tblCellMar>
      </w:tblPr>
      <w:tr>
        <w:trPr>
          <w:trHeight w:val="165"/>
        </w:trPr>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100" w:type="dxa"/>
            <w:vAlign w:val="bottom"/>
            <w:gridSpan w:val="4"/>
          </w:tcPr>
          <w:p>
            <w:pPr>
              <w:jc w:val="right"/>
              <w:ind w:right="44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51"/>
              <w:spacing w:after="0"/>
              <w:rPr>
                <w:sz w:val="20"/>
                <w:szCs w:val="20"/>
                <w:color w:val="auto"/>
              </w:rPr>
            </w:pPr>
            <w:r>
              <w:rPr>
                <w:rFonts w:ascii="Arial" w:cs="Arial" w:eastAsia="Arial" w:hAnsi="Arial"/>
                <w:sz w:val="11"/>
                <w:szCs w:val="11"/>
                <w:b w:val="1"/>
                <w:bCs w:val="1"/>
                <w:color w:val="auto"/>
              </w:rPr>
              <w:t>2018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Sale price</w:t>
            </w: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17,500,000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purchase price</w:t>
            </w:r>
          </w:p>
        </w:tc>
        <w:tc>
          <w:tcPr>
            <w:tcW w:w="2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17,500,000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 held for sale</w:t>
            </w:r>
          </w:p>
        </w:tc>
        <w:tc>
          <w:tcPr>
            <w:tcW w:w="2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(8,193,184)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Liabilities held for sale</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989,453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Transaction costs</w:t>
            </w:r>
          </w:p>
        </w:tc>
        <w:tc>
          <w:tcPr>
            <w:tcW w:w="2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(858,227)</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Return of working capital</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730,000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(1,572,245)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Gain on sale of discontinued operations</w:t>
            </w: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8,595,797</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80" w:type="dxa"/>
            <w:vAlign w:val="bottom"/>
            <w:gridSpan w:val="3"/>
            <w:vMerge w:val="restart"/>
          </w:tcPr>
          <w:p>
            <w:pPr>
              <w:spacing w:after="0"/>
              <w:rPr>
                <w:sz w:val="20"/>
                <w:szCs w:val="20"/>
                <w:color w:val="auto"/>
              </w:rPr>
            </w:pPr>
            <w:r>
              <w:rPr>
                <w:rFonts w:ascii="Arial" w:cs="Arial" w:eastAsia="Arial" w:hAnsi="Arial"/>
                <w:sz w:val="14"/>
                <w:szCs w:val="14"/>
                <w:color w:val="auto"/>
              </w:rPr>
              <w:t>The key components of net income from discontinued operations were as follows:</w:t>
            </w: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2"/>
        </w:trPr>
        <w:tc>
          <w:tcPr>
            <w:tcW w:w="668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1"/>
              </w:rPr>
              <w:t>Year Ended December 31,</w:t>
            </w: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460" w:type="dxa"/>
            <w:vAlign w:val="bottom"/>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2018</w:t>
            </w: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460" w:type="dxa"/>
            <w:vAlign w:val="bottom"/>
          </w:tcPr>
          <w:p>
            <w:pPr>
              <w:spacing w:after="0"/>
              <w:rPr>
                <w:sz w:val="16"/>
                <w:szCs w:val="16"/>
                <w:color w:val="auto"/>
              </w:rPr>
            </w:pPr>
          </w:p>
        </w:tc>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8,363,606</w:t>
            </w:r>
          </w:p>
        </w:tc>
        <w:tc>
          <w:tcPr>
            <w:tcW w:w="0" w:type="dxa"/>
            <w:vAlign w:val="bottom"/>
          </w:tcPr>
          <w:p>
            <w:pPr>
              <w:spacing w:after="0"/>
              <w:rPr>
                <w:sz w:val="1"/>
                <w:szCs w:val="1"/>
                <w:color w:val="auto"/>
              </w:rPr>
            </w:pPr>
          </w:p>
        </w:tc>
      </w:tr>
      <w:tr>
        <w:trPr>
          <w:trHeight w:val="191"/>
        </w:trPr>
        <w:tc>
          <w:tcPr>
            <w:tcW w:w="1460" w:type="dxa"/>
            <w:vAlign w:val="bottom"/>
          </w:tcPr>
          <w:p>
            <w:pPr>
              <w:spacing w:after="0"/>
              <w:rPr>
                <w:sz w:val="16"/>
                <w:szCs w:val="16"/>
                <w:color w:val="auto"/>
              </w:rPr>
            </w:pPr>
          </w:p>
        </w:tc>
        <w:tc>
          <w:tcPr>
            <w:tcW w:w="5220" w:type="dxa"/>
            <w:vAlign w:val="bottom"/>
            <w:gridSpan w:val="2"/>
          </w:tcPr>
          <w:p>
            <w:pPr>
              <w:ind w:left="20"/>
              <w:spacing w:after="0"/>
              <w:rPr>
                <w:sz w:val="20"/>
                <w:szCs w:val="20"/>
                <w:color w:val="auto"/>
              </w:rPr>
            </w:pPr>
            <w:r>
              <w:rPr>
                <w:rFonts w:ascii="Arial" w:cs="Arial" w:eastAsia="Arial" w:hAnsi="Arial"/>
                <w:sz w:val="14"/>
                <w:szCs w:val="14"/>
                <w:color w:val="auto"/>
              </w:rPr>
              <w:t>Cost of revenues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4"/>
                <w:szCs w:val="14"/>
                <w:color w:val="auto"/>
              </w:rPr>
              <w:t>5,294,268</w:t>
            </w: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460" w:type="dxa"/>
            <w:vAlign w:val="bottom"/>
          </w:tcPr>
          <w:p>
            <w:pPr>
              <w:spacing w:after="0"/>
              <w:rPr>
                <w:sz w:val="16"/>
                <w:szCs w:val="16"/>
                <w:color w:val="auto"/>
              </w:rPr>
            </w:pPr>
          </w:p>
        </w:tc>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1,728,113</w:t>
            </w:r>
          </w:p>
        </w:tc>
        <w:tc>
          <w:tcPr>
            <w:tcW w:w="0" w:type="dxa"/>
            <w:vAlign w:val="bottom"/>
          </w:tcPr>
          <w:p>
            <w:pPr>
              <w:spacing w:after="0"/>
              <w:rPr>
                <w:sz w:val="1"/>
                <w:szCs w:val="1"/>
                <w:color w:val="auto"/>
              </w:rPr>
            </w:pPr>
          </w:p>
        </w:tc>
      </w:tr>
      <w:tr>
        <w:trPr>
          <w:trHeight w:val="191"/>
        </w:trPr>
        <w:tc>
          <w:tcPr>
            <w:tcW w:w="1460" w:type="dxa"/>
            <w:vAlign w:val="bottom"/>
          </w:tcPr>
          <w:p>
            <w:pPr>
              <w:spacing w:after="0"/>
              <w:rPr>
                <w:sz w:val="16"/>
                <w:szCs w:val="16"/>
                <w:color w:val="auto"/>
              </w:rPr>
            </w:pPr>
          </w:p>
        </w:tc>
        <w:tc>
          <w:tcPr>
            <w:tcW w:w="5220" w:type="dxa"/>
            <w:vAlign w:val="bottom"/>
            <w:gridSpan w:val="2"/>
          </w:tcPr>
          <w:p>
            <w:pPr>
              <w:ind w:left="20"/>
              <w:spacing w:after="0"/>
              <w:rPr>
                <w:sz w:val="20"/>
                <w:szCs w:val="20"/>
                <w:color w:val="auto"/>
              </w:rPr>
            </w:pPr>
            <w:r>
              <w:rPr>
                <w:rFonts w:ascii="Arial" w:cs="Arial" w:eastAsia="Arial" w:hAnsi="Arial"/>
                <w:sz w:val="14"/>
                <w:szCs w:val="14"/>
                <w:color w:val="auto"/>
              </w:rPr>
              <w:t>Other (income)/expenses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4"/>
                <w:szCs w:val="14"/>
                <w:color w:val="auto"/>
              </w:rPr>
              <w:t>(13,330)</w:t>
            </w: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5220" w:type="dxa"/>
            <w:vAlign w:val="bottom"/>
            <w:tcBorders>
              <w:bottom w:val="single" w:sz="8" w:color="CCEEFF"/>
            </w:tcBorders>
            <w:gridSpan w:val="2"/>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460" w:type="dxa"/>
            <w:vAlign w:val="bottom"/>
          </w:tcPr>
          <w:p>
            <w:pPr>
              <w:spacing w:after="0"/>
              <w:rPr>
                <w:sz w:val="15"/>
                <w:szCs w:val="15"/>
                <w:color w:val="auto"/>
              </w:rPr>
            </w:pPr>
          </w:p>
        </w:tc>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2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1,354,555</w:t>
            </w:r>
          </w:p>
        </w:tc>
        <w:tc>
          <w:tcPr>
            <w:tcW w:w="0" w:type="dxa"/>
            <w:vAlign w:val="bottom"/>
          </w:tcPr>
          <w:p>
            <w:pPr>
              <w:spacing w:after="0"/>
              <w:rPr>
                <w:sz w:val="1"/>
                <w:szCs w:val="1"/>
                <w:color w:val="auto"/>
              </w:rPr>
            </w:pPr>
          </w:p>
        </w:tc>
      </w:tr>
      <w:tr>
        <w:trPr>
          <w:trHeight w:val="191"/>
        </w:trPr>
        <w:tc>
          <w:tcPr>
            <w:tcW w:w="1460" w:type="dxa"/>
            <w:vAlign w:val="bottom"/>
          </w:tcPr>
          <w:p>
            <w:pPr>
              <w:spacing w:after="0"/>
              <w:rPr>
                <w:sz w:val="16"/>
                <w:szCs w:val="16"/>
                <w:color w:val="auto"/>
              </w:rPr>
            </w:pPr>
          </w:p>
        </w:tc>
        <w:tc>
          <w:tcPr>
            <w:tcW w:w="5220" w:type="dxa"/>
            <w:vAlign w:val="bottom"/>
            <w:gridSpan w:val="2"/>
          </w:tcPr>
          <w:p>
            <w:pPr>
              <w:ind w:left="20"/>
              <w:spacing w:after="0"/>
              <w:rPr>
                <w:sz w:val="20"/>
                <w:szCs w:val="20"/>
                <w:color w:val="auto"/>
              </w:rPr>
            </w:pPr>
            <w:r>
              <w:rPr>
                <w:rFonts w:ascii="Arial" w:cs="Arial" w:eastAsia="Arial" w:hAnsi="Arial"/>
                <w:sz w:val="14"/>
                <w:szCs w:val="14"/>
                <w:color w:val="auto"/>
              </w:rPr>
              <w:t>Allocated tax expense</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4"/>
                <w:szCs w:val="14"/>
                <w:color w:val="auto"/>
              </w:rPr>
              <w:t>183,921</w:t>
            </w: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5220" w:type="dxa"/>
            <w:vAlign w:val="bottom"/>
            <w:tcBorders>
              <w:bottom w:val="single" w:sz="8" w:color="CCEEFF"/>
            </w:tcBorders>
            <w:gridSpan w:val="2"/>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460" w:type="dxa"/>
            <w:vAlign w:val="bottom"/>
          </w:tcPr>
          <w:p>
            <w:pPr>
              <w:spacing w:after="0"/>
              <w:rPr>
                <w:sz w:val="15"/>
                <w:szCs w:val="15"/>
                <w:color w:val="auto"/>
              </w:rPr>
            </w:pPr>
          </w:p>
        </w:tc>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income from discontinued operations</w:t>
            </w:r>
          </w:p>
        </w:tc>
        <w:tc>
          <w:tcPr>
            <w:tcW w:w="2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1,170,634</w:t>
            </w:r>
          </w:p>
        </w:tc>
        <w:tc>
          <w:tcPr>
            <w:tcW w:w="0" w:type="dxa"/>
            <w:vAlign w:val="bottom"/>
          </w:tcPr>
          <w:p>
            <w:pPr>
              <w:spacing w:after="0"/>
              <w:rPr>
                <w:sz w:val="1"/>
                <w:szCs w:val="1"/>
                <w:color w:val="auto"/>
              </w:rPr>
            </w:pPr>
          </w:p>
        </w:tc>
      </w:tr>
      <w:tr>
        <w:trPr>
          <w:trHeight w:val="191"/>
        </w:trPr>
        <w:tc>
          <w:tcPr>
            <w:tcW w:w="1460" w:type="dxa"/>
            <w:vAlign w:val="bottom"/>
          </w:tcPr>
          <w:p>
            <w:pPr>
              <w:spacing w:after="0"/>
              <w:rPr>
                <w:sz w:val="16"/>
                <w:szCs w:val="16"/>
                <w:color w:val="auto"/>
              </w:rPr>
            </w:pPr>
          </w:p>
        </w:tc>
        <w:tc>
          <w:tcPr>
            <w:tcW w:w="5220" w:type="dxa"/>
            <w:vAlign w:val="bottom"/>
            <w:gridSpan w:val="2"/>
          </w:tcPr>
          <w:p>
            <w:pPr>
              <w:ind w:left="20"/>
              <w:spacing w:after="0"/>
              <w:rPr>
                <w:sz w:val="20"/>
                <w:szCs w:val="20"/>
                <w:color w:val="auto"/>
              </w:rPr>
            </w:pPr>
            <w:r>
              <w:rPr>
                <w:rFonts w:ascii="Arial" w:cs="Arial" w:eastAsia="Arial" w:hAnsi="Arial"/>
                <w:sz w:val="14"/>
                <w:szCs w:val="14"/>
                <w:color w:val="auto"/>
              </w:rPr>
              <w:t>Gain on sale, net of related income taxes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4"/>
                <w:szCs w:val="14"/>
                <w:color w:val="auto"/>
              </w:rPr>
              <w:t>8,595,797</w:t>
            </w: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5220" w:type="dxa"/>
            <w:vAlign w:val="bottom"/>
            <w:tcBorders>
              <w:bottom w:val="single" w:sz="8" w:color="CCEEFF"/>
            </w:tcBorders>
            <w:gridSpan w:val="2"/>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1460" w:type="dxa"/>
            <w:vAlign w:val="bottom"/>
          </w:tcPr>
          <w:p>
            <w:pPr>
              <w:spacing w:after="0"/>
              <w:rPr>
                <w:sz w:val="17"/>
                <w:szCs w:val="17"/>
                <w:color w:val="auto"/>
              </w:rPr>
            </w:pPr>
          </w:p>
        </w:tc>
        <w:tc>
          <w:tcPr>
            <w:tcW w:w="5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from discontinued operations</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9,766,431</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right="220" w:firstLine="509"/>
        <w:spacing w:after="0" w:line="297" w:lineRule="auto"/>
        <w:rPr>
          <w:sz w:val="20"/>
          <w:szCs w:val="20"/>
          <w:color w:val="auto"/>
        </w:rPr>
      </w:pPr>
      <w:r>
        <w:rPr>
          <w:rFonts w:ascii="Arial" w:cs="Arial" w:eastAsia="Arial" w:hAnsi="Arial"/>
          <w:sz w:val="13"/>
          <w:szCs w:val="13"/>
          <w:color w:val="auto"/>
        </w:rPr>
        <w:t>For the year ended December 31, 2018, the acquisition of property plant and equipment was $0.1 million, intangible property costs were $0.01 million, and depreciation and amortization was $0.2 million, all related to discontinued operations. For the year ended December 31, 2018, proceeds from the sale of the Opto business which were included in cash flows from investing activities $16.0 million. The gain on sale of discontinued operations included in non-cash adjustments to cash flows from operating activities for 2018 was $8.6 million.</w:t>
      </w:r>
    </w:p>
    <w:p>
      <w:pPr>
        <w:spacing w:after="0" w:line="120"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9.</w:t>
        <w:tab/>
        <w:t>CHANGES IN AND DISAGREEMENTS WITH ACCOUNTANTS ON ACCOUNTING AND FINANCIAL DISCLOSURE.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None.</w:t>
      </w:r>
    </w:p>
    <w:p>
      <w:pPr>
        <w:spacing w:after="0" w:line="238"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3"/>
          <w:szCs w:val="13"/>
          <w:b w:val="1"/>
          <w:bCs w:val="1"/>
          <w:color w:val="auto"/>
        </w:rPr>
        <w:t>CONTROLS AND PROCEDURES.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76" w:lineRule="exact"/>
        <w:rPr>
          <w:sz w:val="20"/>
          <w:szCs w:val="20"/>
          <w:color w:val="auto"/>
        </w:rPr>
      </w:pPr>
    </w:p>
    <w:p>
      <w:pPr>
        <w:ind w:firstLine="340"/>
        <w:spacing w:after="0" w:line="282" w:lineRule="auto"/>
        <w:rPr>
          <w:sz w:val="20"/>
          <w:szCs w:val="20"/>
          <w:color w:val="auto"/>
        </w:rPr>
      </w:pPr>
      <w:r>
        <w:rPr>
          <w:rFonts w:ascii="Arial" w:cs="Arial" w:eastAsia="Arial" w:hAnsi="Arial"/>
          <w:sz w:val="13"/>
          <w:szCs w:val="13"/>
          <w:color w:val="auto"/>
        </w:rPr>
        <w:t>We maintain “disclosure controls and procedures,” as defined in Rules 13a-15(e) and 15d-15(e) under the Securities Exchange Act of 1934, as amended (the “Exchange Act”), which are controls and other procedures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260"/>
          </w:cols>
          <w:pgMar w:left="300" w:top="125" w:right="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6"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necessarily applies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03" w:lineRule="exact"/>
        <w:rPr>
          <w:sz w:val="20"/>
          <w:szCs w:val="20"/>
          <w:color w:val="auto"/>
        </w:rPr>
      </w:pPr>
    </w:p>
    <w:p>
      <w:pPr>
        <w:ind w:right="80" w:firstLine="340"/>
        <w:spacing w:after="0" w:line="297" w:lineRule="auto"/>
        <w:rPr>
          <w:sz w:val="20"/>
          <w:szCs w:val="20"/>
          <w:color w:val="auto"/>
        </w:rPr>
      </w:pPr>
      <w:r>
        <w:rPr>
          <w:rFonts w:ascii="Arial" w:cs="Arial" w:eastAsia="Arial" w:hAnsi="Arial"/>
          <w:sz w:val="13"/>
          <w:szCs w:val="13"/>
          <w:color w:val="auto"/>
        </w:rPr>
        <w:t>Under the supervision and with the participation of our management, including our President and Chief Executive Officer and our Chief Financial Officer, we evaluated the effectiveness of the design and operation of our disclosure controls and procedures as of the end of the period covered by this report. Based on this evaluation, our President and Chief Executive Officer and our Chief Financial Officer have concluded that, as of December 31, 2019, our disclosure controls and procedures were effective at the reasonable assurance level.</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204" w:lineRule="exact"/>
        <w:rPr>
          <w:sz w:val="20"/>
          <w:szCs w:val="20"/>
          <w:color w:val="auto"/>
        </w:rPr>
      </w:pPr>
    </w:p>
    <w:p>
      <w:pPr>
        <w:ind w:right="200" w:firstLine="141"/>
        <w:spacing w:after="0" w:line="321" w:lineRule="auto"/>
        <w:rPr>
          <w:sz w:val="20"/>
          <w:szCs w:val="20"/>
          <w:color w:val="auto"/>
        </w:rPr>
      </w:pPr>
      <w:r>
        <w:rPr>
          <w:rFonts w:ascii="Arial" w:cs="Arial" w:eastAsia="Arial" w:hAnsi="Arial"/>
          <w:sz w:val="13"/>
          <w:szCs w:val="13"/>
          <w:color w:val="auto"/>
        </w:rPr>
        <w:t>There have been no changes in our internal control over financial reporting identified in connection with the evaluation required by paragraph (d) of Securities Exchange Act Rule 13a-15(e) and Rule 15d-15(e) that occurred in the quarter ended December 31, 2019 that have materially affected, or are reasonably likely to materially affect, our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76" w:lineRule="exact"/>
        <w:rPr>
          <w:sz w:val="20"/>
          <w:szCs w:val="20"/>
          <w:color w:val="auto"/>
        </w:rPr>
      </w:pPr>
    </w:p>
    <w:p>
      <w:pPr>
        <w:ind w:right="120" w:firstLine="340"/>
        <w:spacing w:after="0" w:line="307" w:lineRule="auto"/>
        <w:rPr>
          <w:sz w:val="20"/>
          <w:szCs w:val="20"/>
          <w:color w:val="auto"/>
        </w:rPr>
      </w:pPr>
      <w:r>
        <w:rPr>
          <w:rFonts w:ascii="Arial" w:cs="Arial" w:eastAsia="Arial" w:hAnsi="Arial"/>
          <w:sz w:val="12"/>
          <w:szCs w:val="12"/>
          <w:color w:val="auto"/>
        </w:rPr>
        <w:t>Our management is responsible for establishing and maintaining adequate internal control over financial reporting as defined in Rules 13a-15(f) and 15d-15(f) under the Exchange Act. Our internal control over financial reporting is designed,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80" w:lineRule="exact"/>
        <w:rPr>
          <w:sz w:val="20"/>
          <w:szCs w:val="20"/>
          <w:color w:val="auto"/>
        </w:rPr>
      </w:pPr>
    </w:p>
    <w:p>
      <w:pPr>
        <w:ind w:right="20" w:firstLine="340"/>
        <w:spacing w:after="0" w:line="288" w:lineRule="auto"/>
        <w:rPr>
          <w:sz w:val="20"/>
          <w:szCs w:val="20"/>
          <w:color w:val="auto"/>
        </w:rPr>
      </w:pPr>
      <w:r>
        <w:rPr>
          <w:rFonts w:ascii="Arial" w:cs="Arial" w:eastAsia="Arial" w:hAnsi="Arial"/>
          <w:sz w:val="13"/>
          <w:szCs w:val="13"/>
          <w:color w:val="auto"/>
        </w:rPr>
        <w:t>There are inherent limitations in the effectiveness of any internal control over financial reporting, including the possibility of human error and the circumvention or overriding of controls. Accordingly, even effective internal control over financial reporting can provide only reasonable assurance with respect to financial statement preparation and may not prevent or detect all misstatements. Further, because of changes in conditions, effectiveness of internal control over financial reporting may vary over time. Our internal control system was designed to provide reasonable assurance regarding the reliability of financial reporting and the preparation of financial statements for external purposes in accordance with GAAP.</w:t>
      </w:r>
    </w:p>
    <w:p>
      <w:pPr>
        <w:spacing w:after="0" w:line="89" w:lineRule="exact"/>
        <w:rPr>
          <w:sz w:val="20"/>
          <w:szCs w:val="20"/>
          <w:color w:val="auto"/>
        </w:rPr>
      </w:pPr>
    </w:p>
    <w:p>
      <w:pPr>
        <w:ind w:right="60" w:firstLine="340"/>
        <w:spacing w:after="0" w:line="257" w:lineRule="auto"/>
        <w:rPr>
          <w:sz w:val="20"/>
          <w:szCs w:val="20"/>
          <w:color w:val="auto"/>
        </w:rPr>
      </w:pPr>
      <w:r>
        <w:rPr>
          <w:rFonts w:ascii="Arial" w:cs="Arial" w:eastAsia="Arial" w:hAnsi="Arial"/>
          <w:sz w:val="14"/>
          <w:szCs w:val="14"/>
          <w:color w:val="auto"/>
        </w:rPr>
        <w:t xml:space="preserve">Under the supervision and with the participation of our management, including our President and Chief Executive Officer, and our Chief Financial Officer, we conducted an evaluation of the effectiveness of our internal control over financial reporting as of December 31, 2019. This evaluation was based on the criteria established in the 2013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As permitted by SEC rules, management's assessment and conclusion on the effectiveness of our internal control over financial reporting as of December 31, 2019, excludes an assessment of the internal control over financial reporting of General Photonics Corporation ("GP"), which were acquired on March 1, 2019. The total acquired assets, based on the preliminary purchase allocation is approximately 6% of our consolidated total assets, excluding the preliminary value of goodwill and intangible assets related to GP, at December 31, 2019. Revenues and income from continuing operations from GP for the period from March 2, 2019 through December 31, 2019, were approximately 7% and 26%, respectively, of our consolidated operations.</w:t>
      </w:r>
    </w:p>
    <w:p>
      <w:pPr>
        <w:spacing w:after="0" w:line="109" w:lineRule="exact"/>
        <w:rPr>
          <w:sz w:val="20"/>
          <w:szCs w:val="20"/>
          <w:color w:val="auto"/>
        </w:rPr>
      </w:pPr>
    </w:p>
    <w:p>
      <w:pPr>
        <w:ind w:right="140" w:firstLine="340"/>
        <w:spacing w:after="0" w:line="267" w:lineRule="auto"/>
        <w:rPr>
          <w:sz w:val="20"/>
          <w:szCs w:val="20"/>
          <w:color w:val="auto"/>
        </w:rPr>
      </w:pPr>
      <w:r>
        <w:rPr>
          <w:rFonts w:ascii="Arial" w:cs="Arial" w:eastAsia="Arial" w:hAnsi="Arial"/>
          <w:sz w:val="14"/>
          <w:szCs w:val="14"/>
          <w:color w:val="auto"/>
        </w:rPr>
        <w:t xml:space="preserve">Based on our evaluation under the framework established in the 2013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our President and Chief Executive officer, and our Chief Financial Officer concluded that our internal control over financial reporting was effective as of December 31, 2019 to provide reasonable assurance regarding the reliability of financial reporting and the preparation of financial statements for external purposes in accordance with GAAP.</w:t>
      </w:r>
    </w:p>
    <w:p>
      <w:pPr>
        <w:spacing w:after="0" w:line="142" w:lineRule="exact"/>
        <w:rPr>
          <w:sz w:val="20"/>
          <w:szCs w:val="20"/>
          <w:color w:val="auto"/>
        </w:rPr>
      </w:pPr>
    </w:p>
    <w:p>
      <w:pPr>
        <w:ind w:right="240" w:firstLine="509"/>
        <w:spacing w:after="0" w:line="281" w:lineRule="auto"/>
        <w:rPr>
          <w:sz w:val="20"/>
          <w:szCs w:val="20"/>
          <w:color w:val="auto"/>
        </w:rPr>
      </w:pPr>
      <w:r>
        <w:rPr>
          <w:rFonts w:ascii="Arial" w:cs="Arial" w:eastAsia="Arial" w:hAnsi="Arial"/>
          <w:sz w:val="14"/>
          <w:szCs w:val="14"/>
          <w:color w:val="auto"/>
        </w:rPr>
        <w:t>This Annual Report on Form 10-K includes an attestation report of our independent registered public accounting firm regarding internal control over financial reporting, which appears in Part II, Item 8 of this Annual Report on Form 10-K.</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280"/>
          </w:cols>
          <w:pgMar w:left="300" w:top="125" w:right="31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48"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9B.</w:t>
        <w:tab/>
        <w:t>OTHER INFORMATION.</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None</w:t>
      </w:r>
    </w:p>
    <w:p>
      <w:pPr>
        <w:spacing w:after="0" w:line="179"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0159"/>
          </w:cols>
          <w:pgMar w:left="300" w:top="125" w:right="1440"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79"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PART III</w:t>
      </w:r>
    </w:p>
    <w:p>
      <w:pPr>
        <w:spacing w:after="0" w:line="157"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10.</w:t>
        <w:tab/>
        <w:t>DIRECTORS, EXECUTIVE OFFICERS AND CORPORATE GOVERNANCE</w:t>
      </w:r>
    </w:p>
    <w:p>
      <w:pPr>
        <w:spacing w:after="0" w:line="76" w:lineRule="exact"/>
        <w:rPr>
          <w:sz w:val="20"/>
          <w:szCs w:val="20"/>
          <w:color w:val="auto"/>
        </w:rPr>
      </w:pPr>
    </w:p>
    <w:p>
      <w:pPr>
        <w:ind w:firstLine="340"/>
        <w:spacing w:after="0" w:line="281" w:lineRule="auto"/>
        <w:rPr>
          <w:sz w:val="20"/>
          <w:szCs w:val="20"/>
          <w:color w:val="auto"/>
        </w:rPr>
      </w:pPr>
      <w:r>
        <w:rPr>
          <w:rFonts w:ascii="Arial" w:cs="Arial" w:eastAsia="Arial" w:hAnsi="Arial"/>
          <w:sz w:val="14"/>
          <w:szCs w:val="14"/>
          <w:color w:val="auto"/>
        </w:rPr>
        <w:t>The information required by Item 10 of Form 10-K will be included in the proxy statement related to our 2020 Annual Meeting of Stockholders, (the "2020 Proxy Statement"), anticipated to be filed with the SEC within 120 days after December 31, 2019, and is incorporated into this report by reference.</w:t>
      </w:r>
    </w:p>
    <w:p>
      <w:pPr>
        <w:spacing w:after="0" w:line="192"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11.</w:t>
        <w:tab/>
        <w:t>EXECUTIVE COMPENSATION.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information required by Item 11 of Form 10-K is incorporated into this report by reference to the information to be provided in our 2020 Proxy Statement.</w:t>
      </w:r>
    </w:p>
    <w:p>
      <w:pPr>
        <w:spacing w:after="0" w:line="238"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12.</w:t>
        <w:tab/>
        <w:t>SECURITY OWNERSHIP OF CERTAIN BENEFICIAL OWNERS AND MANAGEMENT AND RELATED STOCKHOLDER MATTERS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information required by Item 12 of Form 10-K is incorporated into this report by reference to the information to be provided in our 2020 Proxy Statement.</w:t>
      </w:r>
    </w:p>
    <w:p>
      <w:pPr>
        <w:spacing w:after="0" w:line="238"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13.</w:t>
        <w:tab/>
        <w:t>CERTAIN RELATIONSHIPS AND RELATED TRANSACTIONS, AND DIRECTOR INDEPENDENCE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information required by Item 13 of Form 10-K is incorporated into this report by reference to the information to be provided in our 2020 Proxy Statement.</w:t>
      </w:r>
    </w:p>
    <w:p>
      <w:pPr>
        <w:spacing w:after="0" w:line="238"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14.</w:t>
        <w:tab/>
        <w:t>PRINCIPAL ACCOUNTING FEES AND SERVICES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information required by Item 14 of Form 10-K is incorporated into this report by reference to the information to be provided in our 2020 Proxy Statement.</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220"/>
          </w:cols>
          <w:pgMar w:left="300" w:top="125" w:right="37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IV</w:t>
      </w:r>
    </w:p>
    <w:p>
      <w:pPr>
        <w:spacing w:after="0" w:line="157"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15.</w:t>
        <w:tab/>
        <w:t>EXHIBITS, FINANCIAL STATEMENT SCHEDULE</w:t>
      </w:r>
    </w:p>
    <w:p>
      <w:pPr>
        <w:spacing w:after="0" w:line="23" w:lineRule="exact"/>
        <w:rPr>
          <w:sz w:val="20"/>
          <w:szCs w:val="20"/>
          <w:color w:val="auto"/>
        </w:rPr>
      </w:pPr>
    </w:p>
    <w:p>
      <w:pPr>
        <w:ind w:left="420" w:hanging="245"/>
        <w:spacing w:after="0"/>
        <w:tabs>
          <w:tab w:leader="none" w:pos="4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following documents are filed as part of this Annual Report on Form 10-K:</w:t>
      </w:r>
    </w:p>
    <w:p>
      <w:pPr>
        <w:spacing w:after="0" w:line="8" w:lineRule="exact"/>
        <w:rPr>
          <w:rFonts w:ascii="Arial" w:cs="Arial" w:eastAsia="Arial" w:hAnsi="Arial"/>
          <w:sz w:val="14"/>
          <w:szCs w:val="14"/>
          <w:color w:val="auto"/>
        </w:rPr>
      </w:pPr>
    </w:p>
    <w:p>
      <w:pPr>
        <w:ind w:left="720" w:hanging="259"/>
        <w:spacing w:after="0"/>
        <w:tabs>
          <w:tab w:leader="none" w:pos="720" w:val="left"/>
        </w:tabs>
        <w:numPr>
          <w:ilvl w:val="1"/>
          <w:numId w:val="21"/>
        </w:numPr>
        <w:rPr>
          <w:rFonts w:ascii="Arial" w:cs="Arial" w:eastAsia="Arial" w:hAnsi="Arial"/>
          <w:sz w:val="14"/>
          <w:szCs w:val="14"/>
          <w:color w:val="auto"/>
        </w:rPr>
      </w:pPr>
      <w:r>
        <w:rPr>
          <w:rFonts w:ascii="Arial" w:cs="Arial" w:eastAsia="Arial" w:hAnsi="Arial"/>
          <w:sz w:val="14"/>
          <w:szCs w:val="14"/>
          <w:color w:val="auto"/>
        </w:rPr>
        <w:t>Financial Statements. See Index to Consolidated Financial Statements at Item 8 of this Report on Form 10-K.</w:t>
      </w:r>
    </w:p>
    <w:p>
      <w:pPr>
        <w:spacing w:after="0" w:line="8" w:lineRule="exact"/>
        <w:rPr>
          <w:rFonts w:ascii="Arial" w:cs="Arial" w:eastAsia="Arial" w:hAnsi="Arial"/>
          <w:sz w:val="14"/>
          <w:szCs w:val="14"/>
          <w:color w:val="auto"/>
        </w:rPr>
      </w:pPr>
    </w:p>
    <w:p>
      <w:pPr>
        <w:ind w:left="720" w:hanging="259"/>
        <w:spacing w:after="0"/>
        <w:tabs>
          <w:tab w:leader="none" w:pos="720" w:val="left"/>
        </w:tabs>
        <w:numPr>
          <w:ilvl w:val="1"/>
          <w:numId w:val="21"/>
        </w:numPr>
        <w:rPr>
          <w:rFonts w:ascii="Arial" w:cs="Arial" w:eastAsia="Arial" w:hAnsi="Arial"/>
          <w:sz w:val="14"/>
          <w:szCs w:val="14"/>
          <w:color w:val="auto"/>
        </w:rPr>
      </w:pPr>
      <w:r>
        <w:rPr>
          <w:rFonts w:ascii="Arial" w:cs="Arial" w:eastAsia="Arial" w:hAnsi="Arial"/>
          <w:sz w:val="14"/>
          <w:szCs w:val="14"/>
          <w:color w:val="auto"/>
        </w:rPr>
        <w:t>Schedules.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7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Schedule II</w:t>
            </w:r>
          </w:p>
        </w:tc>
        <w:tc>
          <w:tcPr>
            <w:tcW w:w="0" w:type="dxa"/>
            <w:vAlign w:val="bottom"/>
          </w:tcPr>
          <w:p>
            <w:pPr>
              <w:spacing w:after="0"/>
              <w:rPr>
                <w:sz w:val="1"/>
                <w:szCs w:val="1"/>
                <w:color w:val="auto"/>
              </w:rPr>
            </w:pPr>
          </w:p>
        </w:tc>
      </w:tr>
      <w:tr>
        <w:trPr>
          <w:trHeight w:val="273"/>
        </w:trPr>
        <w:tc>
          <w:tcPr>
            <w:tcW w:w="3760" w:type="dxa"/>
            <w:vAlign w:val="bottom"/>
          </w:tcPr>
          <w:p>
            <w:pPr>
              <w:spacing w:after="0"/>
              <w:rPr>
                <w:sz w:val="23"/>
                <w:szCs w:val="23"/>
                <w:color w:val="auto"/>
              </w:rPr>
            </w:pPr>
          </w:p>
        </w:tc>
        <w:tc>
          <w:tcPr>
            <w:tcW w:w="3260" w:type="dxa"/>
            <w:vAlign w:val="bottom"/>
            <w:gridSpan w:val="4"/>
          </w:tcPr>
          <w:p>
            <w:pPr>
              <w:jc w:val="center"/>
              <w:ind w:left="429"/>
              <w:spacing w:after="0"/>
              <w:rPr>
                <w:sz w:val="20"/>
                <w:szCs w:val="20"/>
                <w:color w:val="auto"/>
              </w:rPr>
            </w:pPr>
            <w:r>
              <w:rPr>
                <w:rFonts w:ascii="Arial" w:cs="Arial" w:eastAsia="Arial" w:hAnsi="Arial"/>
                <w:sz w:val="14"/>
                <w:szCs w:val="14"/>
                <w:b w:val="1"/>
                <w:bCs w:val="1"/>
                <w:color w:val="auto"/>
                <w:w w:val="93"/>
              </w:rPr>
              <w:t>Luna Innovations Incorporated</w:t>
            </w: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3260" w:type="dxa"/>
            <w:vAlign w:val="bottom"/>
            <w:gridSpan w:val="4"/>
          </w:tcPr>
          <w:p>
            <w:pPr>
              <w:jc w:val="center"/>
              <w:ind w:left="429"/>
              <w:spacing w:after="0"/>
              <w:rPr>
                <w:sz w:val="20"/>
                <w:szCs w:val="20"/>
                <w:color w:val="auto"/>
              </w:rPr>
            </w:pPr>
            <w:r>
              <w:rPr>
                <w:rFonts w:ascii="Arial" w:cs="Arial" w:eastAsia="Arial" w:hAnsi="Arial"/>
                <w:sz w:val="14"/>
                <w:szCs w:val="14"/>
                <w:b w:val="1"/>
                <w:bCs w:val="1"/>
                <w:color w:val="auto"/>
                <w:w w:val="91"/>
              </w:rPr>
              <w:t>Valuation and Qualifying Accounts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2"/>
        </w:trPr>
        <w:tc>
          <w:tcPr>
            <w:tcW w:w="3760" w:type="dxa"/>
            <w:vAlign w:val="bottom"/>
          </w:tcPr>
          <w:p>
            <w:pPr>
              <w:ind w:left="20"/>
              <w:spacing w:after="0"/>
              <w:rPr>
                <w:sz w:val="20"/>
                <w:szCs w:val="20"/>
                <w:color w:val="auto"/>
              </w:rPr>
            </w:pPr>
            <w:r>
              <w:rPr>
                <w:rFonts w:ascii="Arial" w:cs="Arial" w:eastAsia="Arial" w:hAnsi="Arial"/>
                <w:sz w:val="11"/>
                <w:szCs w:val="11"/>
                <w:b w:val="1"/>
                <w:bCs w:val="1"/>
                <w:color w:val="auto"/>
              </w:rPr>
              <w:t>Column A</w:t>
            </w:r>
          </w:p>
        </w:tc>
        <w:tc>
          <w:tcPr>
            <w:tcW w:w="17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75"/>
              <w:spacing w:after="0"/>
              <w:rPr>
                <w:sz w:val="20"/>
                <w:szCs w:val="20"/>
                <w:color w:val="auto"/>
              </w:rPr>
            </w:pPr>
            <w:r>
              <w:rPr>
                <w:rFonts w:ascii="Arial" w:cs="Arial" w:eastAsia="Arial" w:hAnsi="Arial"/>
                <w:sz w:val="11"/>
                <w:szCs w:val="11"/>
                <w:b w:val="1"/>
                <w:bCs w:val="1"/>
                <w:color w:val="auto"/>
                <w:w w:val="92"/>
              </w:rPr>
              <w:t>Column B</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Column C</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173"/>
              <w:spacing w:after="0"/>
              <w:rPr>
                <w:sz w:val="20"/>
                <w:szCs w:val="20"/>
                <w:color w:val="auto"/>
              </w:rPr>
            </w:pPr>
            <w:r>
              <w:rPr>
                <w:rFonts w:ascii="Arial" w:cs="Arial" w:eastAsia="Arial" w:hAnsi="Arial"/>
                <w:sz w:val="11"/>
                <w:szCs w:val="11"/>
                <w:b w:val="1"/>
                <w:bCs w:val="1"/>
                <w:color w:val="auto"/>
                <w:w w:val="96"/>
              </w:rPr>
              <w:t>Column D</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194"/>
              <w:spacing w:after="0"/>
              <w:rPr>
                <w:sz w:val="20"/>
                <w:szCs w:val="20"/>
                <w:color w:val="auto"/>
              </w:rPr>
            </w:pPr>
            <w:r>
              <w:rPr>
                <w:rFonts w:ascii="Arial" w:cs="Arial" w:eastAsia="Arial" w:hAnsi="Arial"/>
                <w:sz w:val="11"/>
                <w:szCs w:val="11"/>
                <w:b w:val="1"/>
                <w:bCs w:val="1"/>
                <w:color w:val="auto"/>
                <w:w w:val="97"/>
              </w:rPr>
              <w:t>Column E</w:t>
            </w:r>
          </w:p>
        </w:tc>
        <w:tc>
          <w:tcPr>
            <w:tcW w:w="0" w:type="dxa"/>
            <w:vAlign w:val="bottom"/>
          </w:tcPr>
          <w:p>
            <w:pPr>
              <w:spacing w:after="0"/>
              <w:rPr>
                <w:sz w:val="1"/>
                <w:szCs w:val="1"/>
                <w:color w:val="auto"/>
              </w:rPr>
            </w:pPr>
          </w:p>
        </w:tc>
      </w:tr>
      <w:tr>
        <w:trPr>
          <w:trHeight w:val="115"/>
        </w:trPr>
        <w:tc>
          <w:tcPr>
            <w:tcW w:w="37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tcPr>
          <w:p>
            <w:pPr>
              <w:jc w:val="center"/>
              <w:ind w:right="380"/>
              <w:spacing w:after="0" w:line="116" w:lineRule="exact"/>
              <w:rPr>
                <w:sz w:val="20"/>
                <w:szCs w:val="20"/>
                <w:color w:val="auto"/>
              </w:rPr>
            </w:pPr>
            <w:r>
              <w:rPr>
                <w:rFonts w:ascii="Arial" w:cs="Arial" w:eastAsia="Arial" w:hAnsi="Arial"/>
                <w:sz w:val="11"/>
                <w:szCs w:val="11"/>
                <w:b w:val="1"/>
                <w:bCs w:val="1"/>
                <w:color w:val="auto"/>
                <w:w w:val="89"/>
              </w:rPr>
              <w:t>Balance</w:t>
            </w: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jc w:val="center"/>
              <w:ind w:right="194"/>
              <w:spacing w:after="0" w:line="116" w:lineRule="exact"/>
              <w:rPr>
                <w:sz w:val="20"/>
                <w:szCs w:val="20"/>
                <w:color w:val="auto"/>
              </w:rPr>
            </w:pPr>
            <w:r>
              <w:rPr>
                <w:rFonts w:ascii="Arial" w:cs="Arial" w:eastAsia="Arial" w:hAnsi="Arial"/>
                <w:sz w:val="11"/>
                <w:szCs w:val="11"/>
                <w:b w:val="1"/>
                <w:bCs w:val="1"/>
                <w:color w:val="auto"/>
                <w:w w:val="90"/>
              </w:rPr>
              <w:t>Balance at</w:t>
            </w:r>
          </w:p>
        </w:tc>
        <w:tc>
          <w:tcPr>
            <w:tcW w:w="0" w:type="dxa"/>
            <w:vAlign w:val="bottom"/>
          </w:tcPr>
          <w:p>
            <w:pPr>
              <w:spacing w:after="0"/>
              <w:rPr>
                <w:sz w:val="1"/>
                <w:szCs w:val="1"/>
                <w:color w:val="auto"/>
              </w:rPr>
            </w:pPr>
          </w:p>
        </w:tc>
      </w:tr>
      <w:tr>
        <w:trPr>
          <w:trHeight w:val="117"/>
        </w:trPr>
        <w:tc>
          <w:tcPr>
            <w:tcW w:w="37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tcPr>
          <w:p>
            <w:pPr>
              <w:jc w:val="center"/>
              <w:ind w:right="360"/>
              <w:spacing w:after="0" w:line="117" w:lineRule="exact"/>
              <w:rPr>
                <w:sz w:val="20"/>
                <w:szCs w:val="20"/>
                <w:color w:val="auto"/>
              </w:rPr>
            </w:pPr>
            <w:r>
              <w:rPr>
                <w:rFonts w:ascii="Arial" w:cs="Arial" w:eastAsia="Arial" w:hAnsi="Arial"/>
                <w:sz w:val="11"/>
                <w:szCs w:val="11"/>
                <w:b w:val="1"/>
                <w:bCs w:val="1"/>
                <w:color w:val="auto"/>
                <w:w w:val="91"/>
              </w:rPr>
              <w:t>at beginning</w:t>
            </w:r>
          </w:p>
        </w:tc>
        <w:tc>
          <w:tcPr>
            <w:tcW w:w="260" w:type="dxa"/>
            <w:vAlign w:val="bottom"/>
          </w:tcPr>
          <w:p>
            <w:pPr>
              <w:spacing w:after="0"/>
              <w:rPr>
                <w:sz w:val="10"/>
                <w:szCs w:val="10"/>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Additions</w:t>
            </w:r>
          </w:p>
        </w:tc>
        <w:tc>
          <w:tcPr>
            <w:tcW w:w="240" w:type="dxa"/>
            <w:vAlign w:val="bottom"/>
          </w:tcPr>
          <w:p>
            <w:pPr>
              <w:spacing w:after="0"/>
              <w:rPr>
                <w:sz w:val="10"/>
                <w:szCs w:val="10"/>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w w:val="90"/>
              </w:rPr>
              <w:t>Deductions</w:t>
            </w:r>
          </w:p>
        </w:tc>
        <w:tc>
          <w:tcPr>
            <w:tcW w:w="260" w:type="dxa"/>
            <w:vAlign w:val="bottom"/>
          </w:tcPr>
          <w:p>
            <w:pPr>
              <w:spacing w:after="0"/>
              <w:rPr>
                <w:sz w:val="10"/>
                <w:szCs w:val="10"/>
                <w:color w:val="auto"/>
              </w:rPr>
            </w:pPr>
          </w:p>
        </w:tc>
        <w:tc>
          <w:tcPr>
            <w:tcW w:w="1080" w:type="dxa"/>
            <w:vAlign w:val="bottom"/>
          </w:tcPr>
          <w:p>
            <w:pPr>
              <w:jc w:val="center"/>
              <w:ind w:right="194"/>
              <w:spacing w:after="0" w:line="117" w:lineRule="exact"/>
              <w:rPr>
                <w:sz w:val="20"/>
                <w:szCs w:val="20"/>
                <w:color w:val="auto"/>
              </w:rPr>
            </w:pPr>
            <w:r>
              <w:rPr>
                <w:rFonts w:ascii="Arial" w:cs="Arial" w:eastAsia="Arial" w:hAnsi="Arial"/>
                <w:sz w:val="11"/>
                <w:szCs w:val="11"/>
                <w:b w:val="1"/>
                <w:bCs w:val="1"/>
                <w:color w:val="auto"/>
                <w:w w:val="91"/>
              </w:rPr>
              <w:t>end</w:t>
            </w:r>
          </w:p>
        </w:tc>
        <w:tc>
          <w:tcPr>
            <w:tcW w:w="0" w:type="dxa"/>
            <w:vAlign w:val="bottom"/>
          </w:tcPr>
          <w:p>
            <w:pPr>
              <w:spacing w:after="0"/>
              <w:rPr>
                <w:sz w:val="1"/>
                <w:szCs w:val="1"/>
                <w:color w:val="auto"/>
              </w:rPr>
            </w:pPr>
          </w:p>
        </w:tc>
      </w:tr>
      <w:tr>
        <w:trPr>
          <w:trHeight w:val="151"/>
        </w:trPr>
        <w:tc>
          <w:tcPr>
            <w:tcW w:w="37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2"/>
              </w:rPr>
              <w:t>of Period</w:t>
            </w:r>
          </w:p>
        </w:tc>
        <w:tc>
          <w:tcPr>
            <w:tcW w:w="2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center"/>
              <w:ind w:right="174"/>
              <w:spacing w:after="0"/>
              <w:rPr>
                <w:sz w:val="20"/>
                <w:szCs w:val="20"/>
                <w:color w:val="auto"/>
              </w:rPr>
            </w:pPr>
            <w:r>
              <w:rPr>
                <w:rFonts w:ascii="Arial" w:cs="Arial" w:eastAsia="Arial" w:hAnsi="Arial"/>
                <w:sz w:val="11"/>
                <w:szCs w:val="11"/>
                <w:b w:val="1"/>
                <w:bCs w:val="1"/>
                <w:color w:val="auto"/>
                <w:w w:val="93"/>
              </w:rPr>
              <w:t>of period</w:t>
            </w:r>
          </w:p>
        </w:tc>
        <w:tc>
          <w:tcPr>
            <w:tcW w:w="0" w:type="dxa"/>
            <w:vAlign w:val="bottom"/>
          </w:tcPr>
          <w:p>
            <w:pPr>
              <w:spacing w:after="0"/>
              <w:rPr>
                <w:sz w:val="1"/>
                <w:szCs w:val="1"/>
                <w:color w:val="auto"/>
              </w:rPr>
            </w:pPr>
          </w:p>
        </w:tc>
      </w:tr>
      <w:tr>
        <w:trPr>
          <w:trHeight w:val="187"/>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Year Ended December 31, 2018</w:t>
            </w:r>
          </w:p>
        </w:tc>
        <w:tc>
          <w:tcPr>
            <w:tcW w:w="17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60" w:type="dxa"/>
            <w:vAlign w:val="bottom"/>
          </w:tcPr>
          <w:p>
            <w:pPr>
              <w:ind w:left="20"/>
              <w:spacing w:after="0"/>
              <w:rPr>
                <w:sz w:val="20"/>
                <w:szCs w:val="20"/>
                <w:color w:val="auto"/>
              </w:rPr>
            </w:pPr>
            <w:r>
              <w:rPr>
                <w:rFonts w:ascii="Arial" w:cs="Arial" w:eastAsia="Arial" w:hAnsi="Arial"/>
                <w:sz w:val="14"/>
                <w:szCs w:val="14"/>
                <w:color w:val="auto"/>
              </w:rPr>
              <w:t>Reserves deducted from assets to which they apply:</w:t>
            </w: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7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Deferred tax valuation allowance</w:t>
            </w:r>
          </w:p>
        </w:tc>
        <w:tc>
          <w:tcPr>
            <w:tcW w:w="2020" w:type="dxa"/>
            <w:vAlign w:val="bottom"/>
            <w:tcBorders>
              <w:bottom w:val="single" w:sz="8" w:color="CCEEFF"/>
            </w:tcBorders>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5,020,744</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(1,753,211)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3,267,533</w:t>
            </w:r>
          </w:p>
        </w:tc>
        <w:tc>
          <w:tcPr>
            <w:tcW w:w="0" w:type="dxa"/>
            <w:vAlign w:val="bottom"/>
          </w:tcPr>
          <w:p>
            <w:pPr>
              <w:spacing w:after="0"/>
              <w:rPr>
                <w:sz w:val="1"/>
                <w:szCs w:val="1"/>
                <w:color w:val="auto"/>
              </w:rPr>
            </w:pPr>
          </w:p>
        </w:tc>
      </w:tr>
      <w:tr>
        <w:trPr>
          <w:trHeight w:val="191"/>
        </w:trPr>
        <w:tc>
          <w:tcPr>
            <w:tcW w:w="3760" w:type="dxa"/>
            <w:vAlign w:val="bottom"/>
          </w:tcPr>
          <w:p>
            <w:pPr>
              <w:ind w:left="300"/>
              <w:spacing w:after="0"/>
              <w:rPr>
                <w:sz w:val="20"/>
                <w:szCs w:val="20"/>
                <w:color w:val="auto"/>
              </w:rPr>
            </w:pPr>
            <w:r>
              <w:rPr>
                <w:rFonts w:ascii="Arial" w:cs="Arial" w:eastAsia="Arial" w:hAnsi="Arial"/>
                <w:sz w:val="14"/>
                <w:szCs w:val="14"/>
                <w:color w:val="auto"/>
              </w:rPr>
              <w:t>Allowances for doubtful accounts</w:t>
            </w: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55"/>
              <w:spacing w:after="0"/>
              <w:rPr>
                <w:sz w:val="20"/>
                <w:szCs w:val="20"/>
                <w:color w:val="auto"/>
              </w:rPr>
            </w:pPr>
            <w:r>
              <w:rPr>
                <w:rFonts w:ascii="Arial" w:cs="Arial" w:eastAsia="Arial" w:hAnsi="Arial"/>
                <w:sz w:val="14"/>
                <w:szCs w:val="14"/>
                <w:color w:val="auto"/>
              </w:rPr>
              <w:t>286,717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3"/>
              <w:spacing w:after="0"/>
              <w:rPr>
                <w:sz w:val="20"/>
                <w:szCs w:val="20"/>
                <w:color w:val="auto"/>
              </w:rPr>
            </w:pPr>
            <w:r>
              <w:rPr>
                <w:rFonts w:ascii="Arial" w:cs="Arial" w:eastAsia="Arial" w:hAnsi="Arial"/>
                <w:sz w:val="14"/>
                <w:szCs w:val="14"/>
                <w:color w:val="auto"/>
              </w:rPr>
              <w:t>3,500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34"/>
              <w:spacing w:after="0"/>
              <w:rPr>
                <w:sz w:val="20"/>
                <w:szCs w:val="20"/>
                <w:color w:val="auto"/>
              </w:rPr>
            </w:pPr>
            <w:r>
              <w:rPr>
                <w:rFonts w:ascii="Arial" w:cs="Arial" w:eastAsia="Arial" w:hAnsi="Arial"/>
                <w:sz w:val="14"/>
                <w:szCs w:val="14"/>
                <w:color w:val="auto"/>
              </w:rPr>
              <w:t>284,083</w:t>
            </w:r>
          </w:p>
        </w:tc>
        <w:tc>
          <w:tcPr>
            <w:tcW w:w="0" w:type="dxa"/>
            <w:vAlign w:val="bottom"/>
          </w:tcPr>
          <w:p>
            <w:pPr>
              <w:spacing w:after="0"/>
              <w:rPr>
                <w:sz w:val="1"/>
                <w:szCs w:val="1"/>
                <w:color w:val="auto"/>
              </w:rPr>
            </w:pPr>
          </w:p>
        </w:tc>
      </w:tr>
      <w:tr>
        <w:trPr>
          <w:trHeight w:val="22"/>
        </w:trPr>
        <w:tc>
          <w:tcPr>
            <w:tcW w:w="376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760" w:type="dxa"/>
            <w:vAlign w:val="bottom"/>
            <w:tcBorders>
              <w:bottom w:val="single" w:sz="8" w:color="CCEEFF"/>
            </w:tcBorders>
            <w:shd w:val="clear" w:color="auto" w:fill="CCEEFF"/>
          </w:tcPr>
          <w:p>
            <w:pPr>
              <w:spacing w:after="0"/>
              <w:rPr>
                <w:sz w:val="15"/>
                <w:szCs w:val="15"/>
                <w:color w:val="auto"/>
              </w:rPr>
            </w:pPr>
          </w:p>
        </w:tc>
        <w:tc>
          <w:tcPr>
            <w:tcW w:w="2020" w:type="dxa"/>
            <w:vAlign w:val="bottom"/>
            <w:tcBorders>
              <w:bottom w:val="single" w:sz="8" w:color="CCEEFF"/>
            </w:tcBorders>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5,307,461</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3,500</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(1,759,345)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3,551,616</w:t>
            </w:r>
          </w:p>
        </w:tc>
        <w:tc>
          <w:tcPr>
            <w:tcW w:w="0" w:type="dxa"/>
            <w:vAlign w:val="bottom"/>
          </w:tcPr>
          <w:p>
            <w:pPr>
              <w:spacing w:after="0"/>
              <w:rPr>
                <w:sz w:val="1"/>
                <w:szCs w:val="1"/>
                <w:color w:val="auto"/>
              </w:rPr>
            </w:pPr>
          </w:p>
        </w:tc>
      </w:tr>
      <w:tr>
        <w:trPr>
          <w:trHeight w:val="191"/>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Reserves deducted from assets to which they apply:</w:t>
            </w:r>
          </w:p>
        </w:tc>
        <w:tc>
          <w:tcPr>
            <w:tcW w:w="17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60" w:type="dxa"/>
            <w:vAlign w:val="bottom"/>
          </w:tcPr>
          <w:p>
            <w:pPr>
              <w:ind w:left="300"/>
              <w:spacing w:after="0"/>
              <w:rPr>
                <w:sz w:val="20"/>
                <w:szCs w:val="20"/>
                <w:color w:val="auto"/>
              </w:rPr>
            </w:pPr>
            <w:r>
              <w:rPr>
                <w:rFonts w:ascii="Arial" w:cs="Arial" w:eastAsia="Arial" w:hAnsi="Arial"/>
                <w:sz w:val="14"/>
                <w:szCs w:val="14"/>
                <w:color w:val="auto"/>
              </w:rPr>
              <w:t>Deferred tax valuation allowance</w:t>
            </w:r>
          </w:p>
        </w:tc>
        <w:tc>
          <w:tcPr>
            <w:tcW w:w="20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5"/>
              <w:spacing w:after="0"/>
              <w:rPr>
                <w:sz w:val="20"/>
                <w:szCs w:val="20"/>
                <w:color w:val="auto"/>
              </w:rPr>
            </w:pPr>
            <w:r>
              <w:rPr>
                <w:rFonts w:ascii="Arial" w:cs="Arial" w:eastAsia="Arial" w:hAnsi="Arial"/>
                <w:sz w:val="14"/>
                <w:szCs w:val="14"/>
                <w:color w:val="auto"/>
              </w:rPr>
              <w:t>3,267,533</w:t>
            </w:r>
          </w:p>
        </w:tc>
        <w:tc>
          <w:tcPr>
            <w:tcW w:w="12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(2,907,609)</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4"/>
              <w:spacing w:after="0"/>
              <w:rPr>
                <w:sz w:val="20"/>
                <w:szCs w:val="20"/>
                <w:color w:val="auto"/>
              </w:rPr>
            </w:pPr>
            <w:r>
              <w:rPr>
                <w:rFonts w:ascii="Arial" w:cs="Arial" w:eastAsia="Arial" w:hAnsi="Arial"/>
                <w:sz w:val="14"/>
                <w:szCs w:val="14"/>
                <w:color w:val="auto"/>
              </w:rPr>
              <w:t>359,924</w:t>
            </w:r>
          </w:p>
        </w:tc>
        <w:tc>
          <w:tcPr>
            <w:tcW w:w="0" w:type="dxa"/>
            <w:vAlign w:val="bottom"/>
          </w:tcPr>
          <w:p>
            <w:pPr>
              <w:spacing w:after="0"/>
              <w:rPr>
                <w:sz w:val="1"/>
                <w:szCs w:val="1"/>
                <w:color w:val="auto"/>
              </w:rPr>
            </w:pPr>
          </w:p>
        </w:tc>
      </w:tr>
      <w:tr>
        <w:trPr>
          <w:trHeight w:val="22"/>
        </w:trPr>
        <w:tc>
          <w:tcPr>
            <w:tcW w:w="3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Allowances for doubtful accounts</w:t>
            </w:r>
          </w:p>
        </w:tc>
        <w:tc>
          <w:tcPr>
            <w:tcW w:w="17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284,083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646,196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930,279</w:t>
            </w:r>
          </w:p>
        </w:tc>
        <w:tc>
          <w:tcPr>
            <w:tcW w:w="0" w:type="dxa"/>
            <w:vAlign w:val="bottom"/>
          </w:tcPr>
          <w:p>
            <w:pPr>
              <w:spacing w:after="0"/>
              <w:rPr>
                <w:sz w:val="1"/>
                <w:szCs w:val="1"/>
                <w:color w:val="auto"/>
              </w:rPr>
            </w:pPr>
          </w:p>
        </w:tc>
      </w:tr>
      <w:tr>
        <w:trPr>
          <w:trHeight w:val="181"/>
        </w:trPr>
        <w:tc>
          <w:tcPr>
            <w:tcW w:w="37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color w:val="auto"/>
              </w:rPr>
              <w:t>3,551,616</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646,196</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(2,907,609)</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rPr>
              <w:t>1,290,203</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right="140" w:firstLine="340"/>
        <w:spacing w:after="0" w:line="260" w:lineRule="auto"/>
        <w:rPr>
          <w:sz w:val="20"/>
          <w:szCs w:val="20"/>
          <w:color w:val="auto"/>
        </w:rPr>
      </w:pPr>
      <w:r>
        <w:rPr>
          <w:rFonts w:ascii="Arial" w:cs="Arial" w:eastAsia="Arial" w:hAnsi="Arial"/>
          <w:sz w:val="14"/>
          <w:szCs w:val="14"/>
          <w:color w:val="auto"/>
        </w:rPr>
        <w:t>All other schedules are omitted as the required information is inapplicable or the information is presented in the Consolidated Financial Statements and notes thereto in Item 8 of Part II of this Annual Report on Form 10-K.</w:t>
      </w:r>
    </w:p>
    <w:p>
      <w:pPr>
        <w:spacing w:after="0" w:line="1" w:lineRule="exact"/>
        <w:rPr>
          <w:sz w:val="20"/>
          <w:szCs w:val="20"/>
          <w:color w:val="auto"/>
        </w:rPr>
      </w:pPr>
    </w:p>
    <w:p>
      <w:pPr>
        <w:ind w:left="720" w:hanging="259"/>
        <w:spacing w:after="0"/>
        <w:tabs>
          <w:tab w:leader="none" w:pos="720" w:val="left"/>
        </w:tabs>
        <w:numPr>
          <w:ilvl w:val="1"/>
          <w:numId w:val="22"/>
        </w:numPr>
        <w:rPr>
          <w:rFonts w:ascii="Arial" w:cs="Arial" w:eastAsia="Arial" w:hAnsi="Arial"/>
          <w:sz w:val="14"/>
          <w:szCs w:val="14"/>
          <w:color w:val="auto"/>
        </w:rPr>
      </w:pPr>
      <w:r>
        <w:rPr>
          <w:rFonts w:ascii="Arial" w:cs="Arial" w:eastAsia="Arial" w:hAnsi="Arial"/>
          <w:sz w:val="14"/>
          <w:szCs w:val="14"/>
          <w:color w:val="auto"/>
        </w:rPr>
        <w:t>Exhibits. The exhibits filed as part of this report are listed under “Exhibits” at subsection (b) of this Item 15.</w:t>
      </w:r>
    </w:p>
    <w:p>
      <w:pPr>
        <w:spacing w:after="0" w:line="8" w:lineRule="exact"/>
        <w:rPr>
          <w:rFonts w:ascii="Arial" w:cs="Arial" w:eastAsia="Arial" w:hAnsi="Arial"/>
          <w:sz w:val="14"/>
          <w:szCs w:val="14"/>
          <w:color w:val="auto"/>
        </w:rPr>
      </w:pPr>
    </w:p>
    <w:p>
      <w:pPr>
        <w:ind w:left="420" w:hanging="245"/>
        <w:spacing w:after="0"/>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Exhibits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280"/>
          </w:cols>
          <w:pgMar w:left="300" w:top="125" w:right="31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320" w:type="dxa"/>
            <w:vAlign w:val="bottom"/>
            <w:gridSpan w:val="26"/>
          </w:tcPr>
          <w:p>
            <w:pPr>
              <w:ind w:left="1180"/>
              <w:spacing w:after="0"/>
              <w:rPr>
                <w:sz w:val="20"/>
                <w:szCs w:val="20"/>
                <w:color w:val="auto"/>
              </w:rPr>
            </w:pPr>
            <w:r>
              <w:rPr>
                <w:rFonts w:ascii="Arial" w:cs="Arial" w:eastAsia="Arial" w:hAnsi="Arial"/>
                <w:sz w:val="14"/>
                <w:szCs w:val="14"/>
                <w:b w:val="1"/>
                <w:bCs w:val="1"/>
                <w:color w:val="auto"/>
              </w:rPr>
              <w:t>EXHIBIT INDEX</w:t>
            </w:r>
          </w:p>
        </w:tc>
      </w:tr>
      <w:tr>
        <w:trPr>
          <w:trHeight w:val="234"/>
        </w:trPr>
        <w:tc>
          <w:tcPr>
            <w:tcW w:w="5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3"/>
              </w:rPr>
              <w:t>Exhibit No.</w:t>
            </w:r>
          </w:p>
        </w:tc>
        <w:tc>
          <w:tcPr>
            <w:tcW w:w="680" w:type="dxa"/>
            <w:vAlign w:val="bottom"/>
          </w:tcPr>
          <w:p>
            <w:pPr>
              <w:spacing w:after="0"/>
              <w:rPr>
                <w:sz w:val="20"/>
                <w:szCs w:val="20"/>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4"/>
              </w:rPr>
              <w:t>Exhibit Document</w:t>
            </w:r>
          </w:p>
        </w:tc>
        <w:tc>
          <w:tcPr>
            <w:tcW w:w="9080" w:type="dxa"/>
            <w:vAlign w:val="bottom"/>
            <w:gridSpan w:val="33"/>
          </w:tcPr>
          <w:p>
            <w:pPr>
              <w:spacing w:after="0"/>
              <w:rPr>
                <w:sz w:val="20"/>
                <w:szCs w:val="20"/>
                <w:color w:val="auto"/>
              </w:rPr>
            </w:pPr>
          </w:p>
        </w:tc>
      </w:tr>
      <w:tr>
        <w:trPr>
          <w:trHeight w:val="171"/>
        </w:trPr>
        <w:tc>
          <w:tcPr>
            <w:tcW w:w="560" w:type="dxa"/>
            <w:vAlign w:val="bottom"/>
          </w:tcPr>
          <w:p>
            <w:pPr>
              <w:spacing w:after="0"/>
              <w:rPr>
                <w:sz w:val="20"/>
                <w:szCs w:val="20"/>
                <w:color w:val="auto"/>
              </w:rPr>
            </w:pPr>
            <w:r>
              <w:rPr>
                <w:rFonts w:ascii="Arial" w:cs="Arial" w:eastAsia="Arial" w:hAnsi="Arial"/>
                <w:sz w:val="14"/>
                <w:szCs w:val="14"/>
                <w:color w:val="auto"/>
              </w:rPr>
              <w:t>2.1#</w:t>
            </w:r>
          </w:p>
        </w:tc>
        <w:tc>
          <w:tcPr>
            <w:tcW w:w="680" w:type="dxa"/>
            <w:vAlign w:val="bottom"/>
          </w:tcPr>
          <w:p>
            <w:pPr>
              <w:spacing w:after="0"/>
              <w:rPr>
                <w:sz w:val="14"/>
                <w:szCs w:val="14"/>
                <w:color w:val="auto"/>
              </w:rPr>
            </w:pPr>
          </w:p>
        </w:tc>
        <w:tc>
          <w:tcPr>
            <w:tcW w:w="9940" w:type="dxa"/>
            <w:vAlign w:val="bottom"/>
            <w:tcBorders>
              <w:bottom w:val="single" w:sz="8" w:color="0000FF"/>
            </w:tcBorders>
            <w:gridSpan w:val="35"/>
          </w:tcPr>
          <w:p>
            <w:pPr>
              <w:spacing w:after="0"/>
              <w:rPr>
                <w:rFonts w:ascii="Arial" w:cs="Arial" w:eastAsia="Arial" w:hAnsi="Arial"/>
                <w:sz w:val="14"/>
                <w:szCs w:val="14"/>
                <w:color w:val="0000FF"/>
                <w:w w:val="91"/>
              </w:rPr>
            </w:pPr>
            <w:hyperlink r:id="rId56">
              <w:r>
                <w:rPr>
                  <w:rFonts w:ascii="Arial" w:cs="Arial" w:eastAsia="Arial" w:hAnsi="Arial"/>
                  <w:sz w:val="14"/>
                  <w:szCs w:val="14"/>
                  <w:color w:val="0000FF"/>
                  <w:w w:val="91"/>
                </w:rPr>
                <w:t>Agreement and Plan of Merger and Reorganization dated as of January 30, 2015, by and among Luna Innovations Incorporated, API Merger Sub, Inc. and Advanced Photonix,</w:t>
              </w:r>
            </w:hyperlink>
          </w:p>
        </w:tc>
        <w:tc>
          <w:tcPr>
            <w:tcW w:w="40" w:type="dxa"/>
            <w:vAlign w:val="bottom"/>
          </w:tcPr>
          <w:p>
            <w:pPr>
              <w:spacing w:after="0"/>
              <w:rPr>
                <w:sz w:val="14"/>
                <w:szCs w:val="14"/>
                <w:color w:val="auto"/>
              </w:rPr>
            </w:pPr>
          </w:p>
        </w:tc>
      </w:tr>
      <w:tr>
        <w:trPr>
          <w:trHeight w:val="150"/>
        </w:trPr>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80" w:type="dxa"/>
            <w:vAlign w:val="bottom"/>
            <w:tcBorders>
              <w:bottom w:val="single" w:sz="8" w:color="0000FF"/>
            </w:tcBorders>
            <w:gridSpan w:val="18"/>
          </w:tcPr>
          <w:p>
            <w:pPr>
              <w:spacing w:after="0" w:line="150" w:lineRule="exact"/>
              <w:rPr>
                <w:rFonts w:ascii="Arial" w:cs="Arial" w:eastAsia="Arial" w:hAnsi="Arial"/>
                <w:sz w:val="14"/>
                <w:szCs w:val="14"/>
                <w:color w:val="0000FF"/>
                <w:w w:val="92"/>
              </w:rPr>
            </w:pPr>
            <w:hyperlink r:id="rId56">
              <w:r>
                <w:rPr>
                  <w:rFonts w:ascii="Arial" w:cs="Arial" w:eastAsia="Arial" w:hAnsi="Arial"/>
                  <w:sz w:val="14"/>
                  <w:szCs w:val="14"/>
                  <w:color w:val="0000FF"/>
                  <w:w w:val="92"/>
                </w:rPr>
                <w:t>Inc. (incorporated by reference to Exhibit 2.1 to the Registrant's Current Report on Form 8-K (File No. 000-52008) filed on February 2, 2015).</w:t>
              </w:r>
            </w:hyperlink>
          </w:p>
        </w:tc>
        <w:tc>
          <w:tcPr>
            <w:tcW w:w="1900" w:type="dxa"/>
            <w:vAlign w:val="bottom"/>
            <w:gridSpan w:val="18"/>
          </w:tcPr>
          <w:p>
            <w:pPr>
              <w:spacing w:after="0"/>
              <w:rPr>
                <w:sz w:val="13"/>
                <w:szCs w:val="13"/>
                <w:color w:val="auto"/>
              </w:rPr>
            </w:pPr>
          </w:p>
        </w:tc>
      </w:tr>
      <w:tr>
        <w:trPr>
          <w:trHeight w:val="192"/>
        </w:trPr>
        <w:tc>
          <w:tcPr>
            <w:tcW w:w="560" w:type="dxa"/>
            <w:vAlign w:val="bottom"/>
          </w:tcPr>
          <w:p>
            <w:pPr>
              <w:spacing w:after="0"/>
              <w:rPr>
                <w:sz w:val="20"/>
                <w:szCs w:val="20"/>
                <w:color w:val="auto"/>
              </w:rPr>
            </w:pPr>
            <w:r>
              <w:rPr>
                <w:rFonts w:ascii="Arial" w:cs="Arial" w:eastAsia="Arial" w:hAnsi="Arial"/>
                <w:sz w:val="14"/>
                <w:szCs w:val="14"/>
                <w:color w:val="auto"/>
              </w:rPr>
              <w:t>2.2#</w:t>
            </w:r>
          </w:p>
        </w:tc>
        <w:tc>
          <w:tcPr>
            <w:tcW w:w="680" w:type="dxa"/>
            <w:vAlign w:val="bottom"/>
          </w:tcPr>
          <w:p>
            <w:pPr>
              <w:spacing w:after="0"/>
              <w:rPr>
                <w:sz w:val="16"/>
                <w:szCs w:val="16"/>
                <w:color w:val="auto"/>
              </w:rPr>
            </w:pPr>
          </w:p>
        </w:tc>
        <w:tc>
          <w:tcPr>
            <w:tcW w:w="9980" w:type="dxa"/>
            <w:vAlign w:val="bottom"/>
            <w:gridSpan w:val="36"/>
          </w:tcPr>
          <w:p>
            <w:pPr>
              <w:spacing w:after="0"/>
              <w:rPr>
                <w:rFonts w:ascii="Arial" w:cs="Arial" w:eastAsia="Arial" w:hAnsi="Arial"/>
                <w:sz w:val="14"/>
                <w:szCs w:val="14"/>
                <w:color w:val="0000FF"/>
                <w:w w:val="98"/>
              </w:rPr>
            </w:pPr>
            <w:hyperlink r:id="rId57">
              <w:r>
                <w:rPr>
                  <w:rFonts w:ascii="Arial" w:cs="Arial" w:eastAsia="Arial" w:hAnsi="Arial"/>
                  <w:sz w:val="14"/>
                  <w:szCs w:val="14"/>
                  <w:color w:val="0000FF"/>
                  <w:w w:val="98"/>
                </w:rPr>
                <w:t>Asset Purchase Agreement, dated July 31, 2018 by and among Luna Innovations Incorporated, Advanced Photonix, Inc., Advanced Photonix Canada, Inc. and OSI</w:t>
              </w:r>
            </w:hyperlink>
          </w:p>
        </w:tc>
      </w:tr>
      <w:tr>
        <w:trPr>
          <w:trHeight w:val="150"/>
        </w:trPr>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40" w:type="dxa"/>
            <w:vAlign w:val="bottom"/>
            <w:tcBorders>
              <w:top w:val="single" w:sz="8" w:color="0000FF"/>
            </w:tcBorders>
            <w:gridSpan w:val="20"/>
          </w:tcPr>
          <w:p>
            <w:pPr>
              <w:spacing w:after="0" w:line="150" w:lineRule="exact"/>
              <w:rPr>
                <w:rFonts w:ascii="Arial" w:cs="Arial" w:eastAsia="Arial" w:hAnsi="Arial"/>
                <w:sz w:val="14"/>
                <w:szCs w:val="14"/>
                <w:color w:val="0000FF"/>
                <w:w w:val="93"/>
              </w:rPr>
            </w:pPr>
            <w:hyperlink r:id="rId57">
              <w:r>
                <w:rPr>
                  <w:rFonts w:ascii="Arial" w:cs="Arial" w:eastAsia="Arial" w:hAnsi="Arial"/>
                  <w:sz w:val="14"/>
                  <w:szCs w:val="14"/>
                  <w:color w:val="0000FF"/>
                  <w:w w:val="93"/>
                </w:rPr>
                <w:t>Optoelectronics, Inc. (incorporated by reference to Exhibit 2.1 to the Registrant's Quarterly Report on Form 10-Q (File No. 000-52008) filed on August 1, 2018).</w:t>
              </w:r>
            </w:hyperlink>
          </w:p>
        </w:tc>
        <w:tc>
          <w:tcPr>
            <w:tcW w:w="740" w:type="dxa"/>
            <w:vAlign w:val="bottom"/>
            <w:gridSpan w:val="16"/>
          </w:tcPr>
          <w:p>
            <w:pPr>
              <w:spacing w:after="0"/>
              <w:rPr>
                <w:sz w:val="13"/>
                <w:szCs w:val="13"/>
                <w:color w:val="auto"/>
              </w:rPr>
            </w:pPr>
          </w:p>
        </w:tc>
      </w:tr>
      <w:tr>
        <w:trPr>
          <w:trHeight w:val="20"/>
        </w:trPr>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560" w:type="dxa"/>
            <w:vAlign w:val="bottom"/>
          </w:tcPr>
          <w:p>
            <w:pPr>
              <w:spacing w:after="0"/>
              <w:rPr>
                <w:sz w:val="20"/>
                <w:szCs w:val="20"/>
                <w:color w:val="auto"/>
              </w:rPr>
            </w:pPr>
            <w:r>
              <w:rPr>
                <w:rFonts w:ascii="Arial" w:cs="Arial" w:eastAsia="Arial" w:hAnsi="Arial"/>
                <w:sz w:val="14"/>
                <w:szCs w:val="14"/>
                <w:color w:val="auto"/>
              </w:rPr>
              <w:t>2.3#</w:t>
            </w:r>
          </w:p>
        </w:tc>
        <w:tc>
          <w:tcPr>
            <w:tcW w:w="680" w:type="dxa"/>
            <w:vAlign w:val="bottom"/>
          </w:tcPr>
          <w:p>
            <w:pPr>
              <w:spacing w:after="0"/>
              <w:rPr>
                <w:sz w:val="16"/>
                <w:szCs w:val="16"/>
                <w:color w:val="auto"/>
              </w:rPr>
            </w:pPr>
          </w:p>
        </w:tc>
        <w:tc>
          <w:tcPr>
            <w:tcW w:w="9980" w:type="dxa"/>
            <w:vAlign w:val="bottom"/>
            <w:gridSpan w:val="36"/>
          </w:tcPr>
          <w:p>
            <w:pPr>
              <w:spacing w:after="0"/>
              <w:rPr>
                <w:rFonts w:ascii="Arial" w:cs="Arial" w:eastAsia="Arial" w:hAnsi="Arial"/>
                <w:sz w:val="14"/>
                <w:szCs w:val="14"/>
                <w:color w:val="0000FF"/>
                <w:w w:val="92"/>
              </w:rPr>
            </w:pPr>
            <w:hyperlink r:id="rId58">
              <w:r>
                <w:rPr>
                  <w:rFonts w:ascii="Arial" w:cs="Arial" w:eastAsia="Arial" w:hAnsi="Arial"/>
                  <w:sz w:val="14"/>
                  <w:szCs w:val="14"/>
                  <w:color w:val="0000FF"/>
                  <w:w w:val="92"/>
                </w:rPr>
                <w:t>Asset Purchase Agreement, dated October 15, 2018 by and among Luna Innovations Incorporated, Luna Technologies, Inc. and Micron Optics, Inc. (incorporated by reference</w:t>
              </w:r>
            </w:hyperlink>
          </w:p>
        </w:tc>
      </w:tr>
      <w:tr>
        <w:trPr>
          <w:trHeight w:val="150"/>
        </w:trPr>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900" w:type="dxa"/>
            <w:vAlign w:val="bottom"/>
            <w:tcBorders>
              <w:top w:val="single" w:sz="8" w:color="0000FF"/>
            </w:tcBorders>
            <w:gridSpan w:val="33"/>
          </w:tcPr>
          <w:p>
            <w:pPr>
              <w:spacing w:after="0" w:line="150" w:lineRule="exact"/>
              <w:rPr>
                <w:rFonts w:ascii="Arial" w:cs="Arial" w:eastAsia="Arial" w:hAnsi="Arial"/>
                <w:sz w:val="14"/>
                <w:szCs w:val="14"/>
                <w:color w:val="0000FF"/>
              </w:rPr>
            </w:pPr>
            <w:hyperlink r:id="rId58">
              <w:r>
                <w:rPr>
                  <w:rFonts w:ascii="Arial" w:cs="Arial" w:eastAsia="Arial" w:hAnsi="Arial"/>
                  <w:sz w:val="14"/>
                  <w:szCs w:val="14"/>
                  <w:color w:val="0000FF"/>
                </w:rPr>
                <w:t>to Exhibit 2.1 to the Registrant's Current Report on Form 8-K (File No. 000-52008) filed on October 16, 2018).</w:t>
              </w:r>
            </w:hyperlink>
          </w:p>
        </w:tc>
        <w:tc>
          <w:tcPr>
            <w:tcW w:w="80" w:type="dxa"/>
            <w:vAlign w:val="bottom"/>
            <w:gridSpan w:val="3"/>
          </w:tcPr>
          <w:p>
            <w:pPr>
              <w:spacing w:after="0"/>
              <w:rPr>
                <w:sz w:val="13"/>
                <w:szCs w:val="13"/>
                <w:color w:val="auto"/>
              </w:rPr>
            </w:pPr>
          </w:p>
        </w:tc>
      </w:tr>
      <w:tr>
        <w:trPr>
          <w:trHeight w:val="20"/>
        </w:trPr>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560" w:type="dxa"/>
            <w:vAlign w:val="bottom"/>
          </w:tcPr>
          <w:p>
            <w:pPr>
              <w:spacing w:after="0"/>
              <w:rPr>
                <w:sz w:val="20"/>
                <w:szCs w:val="20"/>
                <w:color w:val="auto"/>
              </w:rPr>
            </w:pPr>
            <w:r>
              <w:rPr>
                <w:rFonts w:ascii="Arial" w:cs="Arial" w:eastAsia="Arial" w:hAnsi="Arial"/>
                <w:sz w:val="14"/>
                <w:szCs w:val="14"/>
                <w:color w:val="auto"/>
              </w:rPr>
              <w:t>2.4#</w:t>
            </w:r>
          </w:p>
        </w:tc>
        <w:tc>
          <w:tcPr>
            <w:tcW w:w="680" w:type="dxa"/>
            <w:vAlign w:val="bottom"/>
          </w:tcPr>
          <w:p>
            <w:pPr>
              <w:spacing w:after="0"/>
              <w:rPr>
                <w:sz w:val="16"/>
                <w:szCs w:val="16"/>
                <w:color w:val="auto"/>
              </w:rPr>
            </w:pPr>
          </w:p>
        </w:tc>
        <w:tc>
          <w:tcPr>
            <w:tcW w:w="9520" w:type="dxa"/>
            <w:vAlign w:val="bottom"/>
            <w:tcBorders>
              <w:bottom w:val="single" w:sz="8" w:color="0000FF"/>
            </w:tcBorders>
            <w:gridSpan w:val="21"/>
          </w:tcPr>
          <w:p>
            <w:pPr>
              <w:spacing w:after="0"/>
              <w:rPr>
                <w:rFonts w:ascii="Arial" w:cs="Arial" w:eastAsia="Arial" w:hAnsi="Arial"/>
                <w:sz w:val="14"/>
                <w:szCs w:val="14"/>
                <w:color w:val="0000FF"/>
                <w:w w:val="90"/>
              </w:rPr>
            </w:pPr>
            <w:hyperlink r:id="rId59">
              <w:r>
                <w:rPr>
                  <w:rFonts w:ascii="Arial" w:cs="Arial" w:eastAsia="Arial" w:hAnsi="Arial"/>
                  <w:sz w:val="14"/>
                  <w:szCs w:val="14"/>
                  <w:color w:val="0000FF"/>
                  <w:w w:val="90"/>
                </w:rPr>
                <w:t>Stock Purchase Agreement, dated March 1, 2019 by and among Luna Innovations Incorporated, Luna Technologies, Inc., Steve Yao and General Photonics Corporation</w:t>
              </w:r>
            </w:hyperlink>
          </w:p>
        </w:tc>
        <w:tc>
          <w:tcPr>
            <w:tcW w:w="460" w:type="dxa"/>
            <w:vAlign w:val="bottom"/>
            <w:gridSpan w:val="15"/>
          </w:tcPr>
          <w:p>
            <w:pPr>
              <w:spacing w:after="0"/>
              <w:rPr>
                <w:sz w:val="16"/>
                <w:szCs w:val="16"/>
                <w:color w:val="auto"/>
              </w:rPr>
            </w:pPr>
          </w:p>
        </w:tc>
      </w:tr>
      <w:tr>
        <w:trPr>
          <w:trHeight w:val="150"/>
        </w:trPr>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980" w:type="dxa"/>
            <w:vAlign w:val="bottom"/>
            <w:gridSpan w:val="36"/>
          </w:tcPr>
          <w:p>
            <w:pPr>
              <w:spacing w:after="0" w:line="150" w:lineRule="exact"/>
              <w:rPr>
                <w:rFonts w:ascii="Arial" w:cs="Arial" w:eastAsia="Arial" w:hAnsi="Arial"/>
                <w:sz w:val="14"/>
                <w:szCs w:val="14"/>
                <w:color w:val="0000FF"/>
              </w:rPr>
            </w:pPr>
            <w:hyperlink r:id="rId59">
              <w:r>
                <w:rPr>
                  <w:rFonts w:ascii="Arial" w:cs="Arial" w:eastAsia="Arial" w:hAnsi="Arial"/>
                  <w:sz w:val="14"/>
                  <w:szCs w:val="14"/>
                  <w:color w:val="0000FF"/>
                </w:rPr>
                <w:t>(incorporated by reference to Exhibit 2.1 to the Registrant's Current Report on Form 8-K (File No. 000-52008) filed on March 4, 2019).</w:t>
              </w:r>
            </w:hyperlink>
          </w:p>
        </w:tc>
      </w:tr>
      <w:tr>
        <w:trPr>
          <w:trHeight w:val="20"/>
        </w:trPr>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560" w:type="dxa"/>
            <w:vAlign w:val="bottom"/>
          </w:tcPr>
          <w:p>
            <w:pPr>
              <w:spacing w:after="0"/>
              <w:rPr>
                <w:sz w:val="20"/>
                <w:szCs w:val="20"/>
                <w:color w:val="auto"/>
              </w:rPr>
            </w:pPr>
            <w:r>
              <w:rPr>
                <w:rFonts w:ascii="Arial" w:cs="Arial" w:eastAsia="Arial" w:hAnsi="Arial"/>
                <w:sz w:val="14"/>
                <w:szCs w:val="14"/>
                <w:color w:val="auto"/>
              </w:rPr>
              <w:t>3.1</w:t>
            </w:r>
          </w:p>
        </w:tc>
        <w:tc>
          <w:tcPr>
            <w:tcW w:w="680" w:type="dxa"/>
            <w:vAlign w:val="bottom"/>
          </w:tcPr>
          <w:p>
            <w:pPr>
              <w:spacing w:after="0"/>
              <w:rPr>
                <w:sz w:val="16"/>
                <w:szCs w:val="16"/>
                <w:color w:val="auto"/>
              </w:rPr>
            </w:pPr>
          </w:p>
        </w:tc>
        <w:tc>
          <w:tcPr>
            <w:tcW w:w="9800" w:type="dxa"/>
            <w:vAlign w:val="bottom"/>
            <w:tcBorders>
              <w:bottom w:val="single" w:sz="8" w:color="0000FF"/>
            </w:tcBorders>
            <w:gridSpan w:val="29"/>
          </w:tcPr>
          <w:p>
            <w:pPr>
              <w:spacing w:after="0"/>
              <w:rPr>
                <w:rFonts w:ascii="Arial" w:cs="Arial" w:eastAsia="Arial" w:hAnsi="Arial"/>
                <w:sz w:val="14"/>
                <w:szCs w:val="14"/>
                <w:color w:val="0000FF"/>
                <w:w w:val="92"/>
              </w:rPr>
            </w:pPr>
            <w:hyperlink r:id="rId60">
              <w:r>
                <w:rPr>
                  <w:rFonts w:ascii="Arial" w:cs="Arial" w:eastAsia="Arial" w:hAnsi="Arial"/>
                  <w:sz w:val="14"/>
                  <w:szCs w:val="14"/>
                  <w:color w:val="0000FF"/>
                  <w:w w:val="92"/>
                </w:rPr>
                <w:t>Amended and Restated Certificate of Incorporation of the Registrant (incorporated by reference to Exhibit 3.2 to the Registrant's Current Report on Form 8-K (File No. 000-</w:t>
              </w:r>
            </w:hyperlink>
          </w:p>
        </w:tc>
        <w:tc>
          <w:tcPr>
            <w:tcW w:w="180" w:type="dxa"/>
            <w:vAlign w:val="bottom"/>
            <w:gridSpan w:val="7"/>
          </w:tcPr>
          <w:p>
            <w:pPr>
              <w:spacing w:after="0"/>
              <w:rPr>
                <w:sz w:val="16"/>
                <w:szCs w:val="16"/>
                <w:color w:val="auto"/>
              </w:rPr>
            </w:pPr>
          </w:p>
        </w:tc>
      </w:tr>
      <w:tr>
        <w:trPr>
          <w:trHeight w:val="150"/>
        </w:trPr>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20" w:type="dxa"/>
            <w:vAlign w:val="bottom"/>
            <w:tcBorders>
              <w:bottom w:val="single" w:sz="8" w:color="0000FF"/>
            </w:tcBorders>
            <w:gridSpan w:val="6"/>
          </w:tcPr>
          <w:p>
            <w:pPr>
              <w:spacing w:after="0" w:line="150" w:lineRule="exact"/>
              <w:rPr>
                <w:rFonts w:ascii="Arial" w:cs="Arial" w:eastAsia="Arial" w:hAnsi="Arial"/>
                <w:sz w:val="14"/>
                <w:szCs w:val="14"/>
                <w:color w:val="0000FF"/>
                <w:w w:val="91"/>
              </w:rPr>
            </w:pPr>
            <w:hyperlink r:id="rId60">
              <w:r>
                <w:rPr>
                  <w:rFonts w:ascii="Arial" w:cs="Arial" w:eastAsia="Arial" w:hAnsi="Arial"/>
                  <w:sz w:val="14"/>
                  <w:szCs w:val="14"/>
                  <w:color w:val="0000FF"/>
                  <w:w w:val="91"/>
                </w:rPr>
                <w:t>52008) filed on June 8, 2006).</w:t>
              </w:r>
            </w:hyperlink>
          </w:p>
        </w:tc>
        <w:tc>
          <w:tcPr>
            <w:tcW w:w="8260" w:type="dxa"/>
            <w:vAlign w:val="bottom"/>
            <w:gridSpan w:val="30"/>
          </w:tcPr>
          <w:p>
            <w:pPr>
              <w:spacing w:after="0"/>
              <w:rPr>
                <w:sz w:val="13"/>
                <w:szCs w:val="13"/>
                <w:color w:val="auto"/>
              </w:rPr>
            </w:pPr>
          </w:p>
        </w:tc>
      </w:tr>
      <w:tr>
        <w:trPr>
          <w:trHeight w:val="192"/>
        </w:trPr>
        <w:tc>
          <w:tcPr>
            <w:tcW w:w="560" w:type="dxa"/>
            <w:vAlign w:val="bottom"/>
          </w:tcPr>
          <w:p>
            <w:pPr>
              <w:spacing w:after="0"/>
              <w:rPr>
                <w:sz w:val="20"/>
                <w:szCs w:val="20"/>
                <w:color w:val="auto"/>
              </w:rPr>
            </w:pPr>
            <w:r>
              <w:rPr>
                <w:rFonts w:ascii="Arial" w:cs="Arial" w:eastAsia="Arial" w:hAnsi="Arial"/>
                <w:sz w:val="14"/>
                <w:szCs w:val="14"/>
                <w:color w:val="auto"/>
              </w:rPr>
              <w:t>3.2</w:t>
            </w:r>
          </w:p>
        </w:tc>
        <w:tc>
          <w:tcPr>
            <w:tcW w:w="680" w:type="dxa"/>
            <w:vAlign w:val="bottom"/>
          </w:tcPr>
          <w:p>
            <w:pPr>
              <w:spacing w:after="0"/>
              <w:rPr>
                <w:sz w:val="16"/>
                <w:szCs w:val="16"/>
                <w:color w:val="auto"/>
              </w:rPr>
            </w:pPr>
          </w:p>
        </w:tc>
        <w:tc>
          <w:tcPr>
            <w:tcW w:w="9980" w:type="dxa"/>
            <w:vAlign w:val="bottom"/>
            <w:gridSpan w:val="36"/>
          </w:tcPr>
          <w:p>
            <w:pPr>
              <w:spacing w:after="0"/>
              <w:rPr>
                <w:rFonts w:ascii="Arial" w:cs="Arial" w:eastAsia="Arial" w:hAnsi="Arial"/>
                <w:sz w:val="14"/>
                <w:szCs w:val="14"/>
                <w:color w:val="0000FF"/>
                <w:w w:val="92"/>
              </w:rPr>
            </w:pPr>
            <w:hyperlink r:id="rId61">
              <w:r>
                <w:rPr>
                  <w:rFonts w:ascii="Arial" w:cs="Arial" w:eastAsia="Arial" w:hAnsi="Arial"/>
                  <w:sz w:val="14"/>
                  <w:szCs w:val="14"/>
                  <w:color w:val="0000FF"/>
                  <w:w w:val="92"/>
                </w:rPr>
                <w:t>Certificate of Designations of the Series A Convertible Preferred Stock (incorporated by reference to Exhibit 3.1 to the Registrant's Current Report on Form 8-K (File No. 000-</w:t>
              </w:r>
            </w:hyperlink>
          </w:p>
        </w:tc>
      </w:tr>
      <w:tr>
        <w:trPr>
          <w:trHeight w:val="150"/>
        </w:trPr>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920" w:type="dxa"/>
            <w:vAlign w:val="bottom"/>
            <w:tcBorders>
              <w:top w:val="single" w:sz="8" w:color="0000FF"/>
            </w:tcBorders>
            <w:gridSpan w:val="34"/>
          </w:tcPr>
          <w:p>
            <w:pPr>
              <w:spacing w:after="0" w:line="150" w:lineRule="exact"/>
              <w:rPr>
                <w:rFonts w:ascii="Arial" w:cs="Arial" w:eastAsia="Arial" w:hAnsi="Arial"/>
                <w:sz w:val="14"/>
                <w:szCs w:val="14"/>
                <w:color w:val="0000FF"/>
              </w:rPr>
            </w:pPr>
            <w:hyperlink r:id="rId61">
              <w:r>
                <w:rPr>
                  <w:rFonts w:ascii="Arial" w:cs="Arial" w:eastAsia="Arial" w:hAnsi="Arial"/>
                  <w:sz w:val="14"/>
                  <w:szCs w:val="14"/>
                  <w:color w:val="0000FF"/>
                </w:rPr>
                <w:t>52008) filed on January 15, 2010).</w:t>
              </w:r>
            </w:hyperlink>
          </w:p>
        </w:tc>
        <w:tc>
          <w:tcPr>
            <w:tcW w:w="60" w:type="dxa"/>
            <w:vAlign w:val="bottom"/>
            <w:gridSpan w:val="2"/>
          </w:tcPr>
          <w:p>
            <w:pPr>
              <w:spacing w:after="0"/>
              <w:rPr>
                <w:sz w:val="13"/>
                <w:szCs w:val="13"/>
                <w:color w:val="auto"/>
              </w:rPr>
            </w:pPr>
          </w:p>
        </w:tc>
      </w:tr>
      <w:tr>
        <w:trPr>
          <w:trHeight w:val="20"/>
        </w:trPr>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560" w:type="dxa"/>
            <w:vAlign w:val="bottom"/>
          </w:tcPr>
          <w:p>
            <w:pPr>
              <w:spacing w:after="0"/>
              <w:rPr>
                <w:sz w:val="20"/>
                <w:szCs w:val="20"/>
                <w:color w:val="auto"/>
              </w:rPr>
            </w:pPr>
            <w:r>
              <w:rPr>
                <w:rFonts w:ascii="Arial" w:cs="Arial" w:eastAsia="Arial" w:hAnsi="Arial"/>
                <w:sz w:val="14"/>
                <w:szCs w:val="14"/>
                <w:color w:val="auto"/>
              </w:rPr>
              <w:t>3.3</w:t>
            </w:r>
          </w:p>
        </w:tc>
        <w:tc>
          <w:tcPr>
            <w:tcW w:w="680" w:type="dxa"/>
            <w:vAlign w:val="bottom"/>
          </w:tcPr>
          <w:p>
            <w:pPr>
              <w:spacing w:after="0"/>
              <w:rPr>
                <w:sz w:val="16"/>
                <w:szCs w:val="16"/>
                <w:color w:val="auto"/>
              </w:rPr>
            </w:pPr>
          </w:p>
        </w:tc>
        <w:tc>
          <w:tcPr>
            <w:tcW w:w="9840" w:type="dxa"/>
            <w:vAlign w:val="bottom"/>
            <w:tcBorders>
              <w:bottom w:val="single" w:sz="8" w:color="0000FF"/>
            </w:tcBorders>
            <w:gridSpan w:val="30"/>
          </w:tcPr>
          <w:p>
            <w:pPr>
              <w:spacing w:after="0"/>
              <w:rPr>
                <w:rFonts w:ascii="Arial" w:cs="Arial" w:eastAsia="Arial" w:hAnsi="Arial"/>
                <w:sz w:val="14"/>
                <w:szCs w:val="14"/>
                <w:color w:val="0000FF"/>
                <w:w w:val="91"/>
              </w:rPr>
            </w:pPr>
            <w:hyperlink r:id="rId62">
              <w:r>
                <w:rPr>
                  <w:rFonts w:ascii="Arial" w:cs="Arial" w:eastAsia="Arial" w:hAnsi="Arial"/>
                  <w:sz w:val="14"/>
                  <w:szCs w:val="14"/>
                  <w:color w:val="0000FF"/>
                  <w:w w:val="91"/>
                </w:rPr>
                <w:t>Amended and Restated Bylaws of the Registrant (incorporated by reference to Exhibit 3.4 to the Registrant's Registration Statement on Form S-1 (File No. 333-131764) filed</w:t>
              </w:r>
            </w:hyperlink>
          </w:p>
        </w:tc>
        <w:tc>
          <w:tcPr>
            <w:tcW w:w="140" w:type="dxa"/>
            <w:vAlign w:val="bottom"/>
            <w:gridSpan w:val="6"/>
          </w:tcPr>
          <w:p>
            <w:pPr>
              <w:spacing w:after="0"/>
              <w:rPr>
                <w:sz w:val="16"/>
                <w:szCs w:val="16"/>
                <w:color w:val="auto"/>
              </w:rPr>
            </w:pPr>
          </w:p>
        </w:tc>
      </w:tr>
      <w:tr>
        <w:trPr>
          <w:trHeight w:val="150"/>
        </w:trPr>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980" w:type="dxa"/>
            <w:vAlign w:val="bottom"/>
            <w:gridSpan w:val="36"/>
          </w:tcPr>
          <w:p>
            <w:pPr>
              <w:spacing w:after="0" w:line="150" w:lineRule="exact"/>
              <w:rPr>
                <w:rFonts w:ascii="Arial" w:cs="Arial" w:eastAsia="Arial" w:hAnsi="Arial"/>
                <w:sz w:val="14"/>
                <w:szCs w:val="14"/>
                <w:color w:val="0000FF"/>
              </w:rPr>
            </w:pPr>
            <w:hyperlink r:id="rId62">
              <w:r>
                <w:rPr>
                  <w:rFonts w:ascii="Arial" w:cs="Arial" w:eastAsia="Arial" w:hAnsi="Arial"/>
                  <w:sz w:val="14"/>
                  <w:szCs w:val="14"/>
                  <w:color w:val="0000FF"/>
                </w:rPr>
                <w:t>on February 10, 2006).</w:t>
              </w:r>
            </w:hyperlink>
          </w:p>
        </w:tc>
      </w:tr>
      <w:tr>
        <w:trPr>
          <w:trHeight w:val="20"/>
        </w:trPr>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560" w:type="dxa"/>
            <w:vAlign w:val="bottom"/>
          </w:tcPr>
          <w:p>
            <w:pPr>
              <w:spacing w:after="0"/>
              <w:rPr>
                <w:sz w:val="20"/>
                <w:szCs w:val="20"/>
                <w:color w:val="auto"/>
              </w:rPr>
            </w:pPr>
            <w:r>
              <w:rPr>
                <w:rFonts w:ascii="Arial" w:cs="Arial" w:eastAsia="Arial" w:hAnsi="Arial"/>
                <w:sz w:val="14"/>
                <w:szCs w:val="14"/>
                <w:color w:val="auto"/>
              </w:rPr>
              <w:t>3.4</w:t>
            </w:r>
          </w:p>
        </w:tc>
        <w:tc>
          <w:tcPr>
            <w:tcW w:w="680" w:type="dxa"/>
            <w:vAlign w:val="bottom"/>
          </w:tcPr>
          <w:p>
            <w:pPr>
              <w:spacing w:after="0"/>
              <w:rPr>
                <w:sz w:val="16"/>
                <w:szCs w:val="16"/>
                <w:color w:val="auto"/>
              </w:rPr>
            </w:pPr>
          </w:p>
        </w:tc>
        <w:tc>
          <w:tcPr>
            <w:tcW w:w="9980" w:type="dxa"/>
            <w:vAlign w:val="bottom"/>
            <w:gridSpan w:val="36"/>
          </w:tcPr>
          <w:p>
            <w:pPr>
              <w:spacing w:after="0"/>
              <w:rPr>
                <w:rFonts w:ascii="Arial" w:cs="Arial" w:eastAsia="Arial" w:hAnsi="Arial"/>
                <w:sz w:val="14"/>
                <w:szCs w:val="14"/>
                <w:color w:val="0000FF"/>
                <w:w w:val="93"/>
              </w:rPr>
            </w:pPr>
            <w:hyperlink r:id="rId63">
              <w:r>
                <w:rPr>
                  <w:rFonts w:ascii="Arial" w:cs="Arial" w:eastAsia="Arial" w:hAnsi="Arial"/>
                  <w:sz w:val="14"/>
                  <w:szCs w:val="14"/>
                  <w:color w:val="0000FF"/>
                  <w:w w:val="93"/>
                </w:rPr>
                <w:t>Amendment to Amended and Restated Bylaws (incorporated by reference to Exhibit 3.1 to the Registrant's Registration Statement on Form 8-K (File No. 000-52008) filed on</w:t>
              </w:r>
            </w:hyperlink>
          </w:p>
        </w:tc>
      </w:tr>
      <w:tr>
        <w:trPr>
          <w:trHeight w:val="150"/>
        </w:trPr>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Borders>
              <w:top w:val="single" w:sz="8" w:color="0000FF"/>
              <w:bottom w:val="single" w:sz="8" w:color="0000FF"/>
            </w:tcBorders>
            <w:gridSpan w:val="2"/>
          </w:tcPr>
          <w:p>
            <w:pPr>
              <w:spacing w:after="0" w:line="150" w:lineRule="exact"/>
              <w:rPr>
                <w:rFonts w:ascii="Arial" w:cs="Arial" w:eastAsia="Arial" w:hAnsi="Arial"/>
                <w:sz w:val="14"/>
                <w:szCs w:val="14"/>
                <w:color w:val="0000FF"/>
                <w:w w:val="92"/>
              </w:rPr>
            </w:pPr>
            <w:hyperlink r:id="rId63">
              <w:r>
                <w:rPr>
                  <w:rFonts w:ascii="Arial" w:cs="Arial" w:eastAsia="Arial" w:hAnsi="Arial"/>
                  <w:sz w:val="14"/>
                  <w:szCs w:val="14"/>
                  <w:color w:val="0000FF"/>
                  <w:w w:val="92"/>
                </w:rPr>
                <w:t>May 10, 2010).</w:t>
              </w:r>
            </w:hyperlink>
          </w:p>
        </w:tc>
        <w:tc>
          <w:tcPr>
            <w:tcW w:w="8980" w:type="dxa"/>
            <w:vAlign w:val="bottom"/>
            <w:tcBorders>
              <w:top w:val="single" w:sz="8" w:color="0000FF"/>
            </w:tcBorders>
            <w:gridSpan w:val="29"/>
          </w:tcPr>
          <w:p>
            <w:pPr>
              <w:spacing w:after="0"/>
              <w:rPr>
                <w:sz w:val="13"/>
                <w:szCs w:val="13"/>
                <w:color w:val="auto"/>
              </w:rPr>
            </w:pPr>
          </w:p>
        </w:tc>
        <w:tc>
          <w:tcPr>
            <w:tcW w:w="120" w:type="dxa"/>
            <w:vAlign w:val="bottom"/>
            <w:gridSpan w:val="5"/>
          </w:tcPr>
          <w:p>
            <w:pPr>
              <w:spacing w:after="0"/>
              <w:rPr>
                <w:sz w:val="13"/>
                <w:szCs w:val="13"/>
                <w:color w:val="auto"/>
              </w:rPr>
            </w:pPr>
          </w:p>
        </w:tc>
      </w:tr>
      <w:tr>
        <w:trPr>
          <w:trHeight w:val="192"/>
        </w:trPr>
        <w:tc>
          <w:tcPr>
            <w:tcW w:w="560" w:type="dxa"/>
            <w:vAlign w:val="bottom"/>
          </w:tcPr>
          <w:p>
            <w:pPr>
              <w:spacing w:after="0"/>
              <w:rPr>
                <w:sz w:val="20"/>
                <w:szCs w:val="20"/>
                <w:color w:val="auto"/>
              </w:rPr>
            </w:pPr>
            <w:r>
              <w:rPr>
                <w:rFonts w:ascii="Arial" w:cs="Arial" w:eastAsia="Arial" w:hAnsi="Arial"/>
                <w:sz w:val="14"/>
                <w:szCs w:val="14"/>
                <w:color w:val="auto"/>
              </w:rPr>
              <w:t>3.4</w:t>
            </w:r>
          </w:p>
        </w:tc>
        <w:tc>
          <w:tcPr>
            <w:tcW w:w="680" w:type="dxa"/>
            <w:vAlign w:val="bottom"/>
          </w:tcPr>
          <w:p>
            <w:pPr>
              <w:spacing w:after="0"/>
              <w:rPr>
                <w:sz w:val="16"/>
                <w:szCs w:val="16"/>
                <w:color w:val="auto"/>
              </w:rPr>
            </w:pPr>
          </w:p>
        </w:tc>
        <w:tc>
          <w:tcPr>
            <w:tcW w:w="9980" w:type="dxa"/>
            <w:vAlign w:val="bottom"/>
            <w:tcBorders>
              <w:bottom w:val="single" w:sz="8" w:color="0000FF"/>
            </w:tcBorders>
            <w:gridSpan w:val="36"/>
          </w:tcPr>
          <w:p>
            <w:pPr>
              <w:spacing w:after="0"/>
              <w:rPr>
                <w:rFonts w:ascii="Arial" w:cs="Arial" w:eastAsia="Arial" w:hAnsi="Arial"/>
                <w:sz w:val="14"/>
                <w:szCs w:val="14"/>
                <w:color w:val="0000FF"/>
                <w:w w:val="92"/>
              </w:rPr>
            </w:pPr>
            <w:hyperlink r:id="rId64">
              <w:r>
                <w:rPr>
                  <w:rFonts w:ascii="Arial" w:cs="Arial" w:eastAsia="Arial" w:hAnsi="Arial"/>
                  <w:sz w:val="14"/>
                  <w:szCs w:val="14"/>
                  <w:color w:val="0000FF"/>
                  <w:w w:val="92"/>
                </w:rPr>
                <w:t>Amendment to Amended and Restated Bylaws (incorporated by reference to Exhibit 3.1 to the Registrant's Current Report on Form 8-K (File No. 000-52008) filed on February</w:t>
              </w:r>
            </w:hyperlink>
          </w:p>
        </w:tc>
      </w:tr>
      <w:tr>
        <w:trPr>
          <w:trHeight w:val="150"/>
        </w:trPr>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Borders>
              <w:bottom w:val="single" w:sz="8" w:color="0000FF"/>
            </w:tcBorders>
          </w:tcPr>
          <w:p>
            <w:pPr>
              <w:spacing w:after="0" w:line="150" w:lineRule="exact"/>
              <w:rPr>
                <w:rFonts w:ascii="Arial" w:cs="Arial" w:eastAsia="Arial" w:hAnsi="Arial"/>
                <w:sz w:val="14"/>
                <w:szCs w:val="14"/>
                <w:color w:val="0000FF"/>
                <w:w w:val="90"/>
              </w:rPr>
            </w:pPr>
            <w:hyperlink r:id="rId64">
              <w:r>
                <w:rPr>
                  <w:rFonts w:ascii="Arial" w:cs="Arial" w:eastAsia="Arial" w:hAnsi="Arial"/>
                  <w:sz w:val="14"/>
                  <w:szCs w:val="14"/>
                  <w:color w:val="0000FF"/>
                  <w:w w:val="90"/>
                </w:rPr>
                <w:t>2, 2015).</w:t>
              </w:r>
            </w:hyperlink>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2"/>
        </w:trPr>
        <w:tc>
          <w:tcPr>
            <w:tcW w:w="560" w:type="dxa"/>
            <w:vAlign w:val="bottom"/>
          </w:tcPr>
          <w:p>
            <w:pPr>
              <w:spacing w:after="0"/>
              <w:rPr>
                <w:sz w:val="20"/>
                <w:szCs w:val="20"/>
                <w:color w:val="auto"/>
              </w:rPr>
            </w:pPr>
            <w:r>
              <w:rPr>
                <w:rFonts w:ascii="Arial" w:cs="Arial" w:eastAsia="Arial" w:hAnsi="Arial"/>
                <w:sz w:val="14"/>
                <w:szCs w:val="14"/>
                <w:color w:val="auto"/>
              </w:rPr>
              <w:t>4.1</w:t>
            </w:r>
          </w:p>
        </w:tc>
        <w:tc>
          <w:tcPr>
            <w:tcW w:w="680" w:type="dxa"/>
            <w:vAlign w:val="bottom"/>
          </w:tcPr>
          <w:p>
            <w:pPr>
              <w:spacing w:after="0"/>
              <w:rPr>
                <w:sz w:val="16"/>
                <w:szCs w:val="16"/>
                <w:color w:val="auto"/>
              </w:rPr>
            </w:pPr>
          </w:p>
        </w:tc>
        <w:tc>
          <w:tcPr>
            <w:tcW w:w="9980" w:type="dxa"/>
            <w:vAlign w:val="bottom"/>
            <w:tcBorders>
              <w:bottom w:val="single" w:sz="8" w:color="0000FF"/>
            </w:tcBorders>
            <w:gridSpan w:val="36"/>
          </w:tcPr>
          <w:p>
            <w:pPr>
              <w:spacing w:after="0"/>
              <w:rPr>
                <w:rFonts w:ascii="Arial" w:cs="Arial" w:eastAsia="Arial" w:hAnsi="Arial"/>
                <w:sz w:val="14"/>
                <w:szCs w:val="14"/>
                <w:color w:val="0000FF"/>
                <w:w w:val="91"/>
              </w:rPr>
            </w:pPr>
            <w:hyperlink r:id="rId65">
              <w:r>
                <w:rPr>
                  <w:rFonts w:ascii="Arial" w:cs="Arial" w:eastAsia="Arial" w:hAnsi="Arial"/>
                  <w:sz w:val="14"/>
                  <w:szCs w:val="14"/>
                  <w:color w:val="0000FF"/>
                  <w:w w:val="91"/>
                </w:rPr>
                <w:t>Specimen Common Stock certificate of the Registrant (incorporated by reference to the Exhibit 4.1 to Amendment No. 5 of the Registrant's Registration Statement on Form S-1</w:t>
              </w:r>
            </w:hyperlink>
          </w:p>
        </w:tc>
      </w:tr>
      <w:tr>
        <w:trPr>
          <w:trHeight w:val="150"/>
        </w:trPr>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980" w:type="dxa"/>
            <w:vAlign w:val="bottom"/>
            <w:gridSpan w:val="36"/>
          </w:tcPr>
          <w:p>
            <w:pPr>
              <w:spacing w:after="0" w:line="150" w:lineRule="exact"/>
              <w:rPr>
                <w:rFonts w:ascii="Arial" w:cs="Arial" w:eastAsia="Arial" w:hAnsi="Arial"/>
                <w:sz w:val="14"/>
                <w:szCs w:val="14"/>
                <w:color w:val="0000FF"/>
              </w:rPr>
            </w:pPr>
            <w:hyperlink r:id="rId65">
              <w:r>
                <w:rPr>
                  <w:rFonts w:ascii="Arial" w:cs="Arial" w:eastAsia="Arial" w:hAnsi="Arial"/>
                  <w:sz w:val="14"/>
                  <w:szCs w:val="14"/>
                  <w:color w:val="0000FF"/>
                </w:rPr>
                <w:t>(File No. 333-131764) filed on May 19, 2006).</w:t>
              </w:r>
            </w:hyperlink>
          </w:p>
        </w:tc>
      </w:tr>
      <w:tr>
        <w:trPr>
          <w:trHeight w:val="20"/>
        </w:trPr>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560" w:type="dxa"/>
            <w:vAlign w:val="bottom"/>
          </w:tcPr>
          <w:p>
            <w:pPr>
              <w:spacing w:after="0"/>
              <w:rPr>
                <w:sz w:val="20"/>
                <w:szCs w:val="20"/>
                <w:color w:val="auto"/>
              </w:rPr>
            </w:pPr>
            <w:r>
              <w:rPr>
                <w:rFonts w:ascii="Arial" w:cs="Arial" w:eastAsia="Arial" w:hAnsi="Arial"/>
                <w:sz w:val="14"/>
                <w:szCs w:val="14"/>
                <w:color w:val="auto"/>
              </w:rPr>
              <w:t>4.2</w:t>
            </w:r>
          </w:p>
        </w:tc>
        <w:tc>
          <w:tcPr>
            <w:tcW w:w="680" w:type="dxa"/>
            <w:vAlign w:val="bottom"/>
          </w:tcPr>
          <w:p>
            <w:pPr>
              <w:spacing w:after="0"/>
              <w:rPr>
                <w:sz w:val="16"/>
                <w:szCs w:val="16"/>
                <w:color w:val="auto"/>
              </w:rPr>
            </w:pPr>
          </w:p>
        </w:tc>
        <w:tc>
          <w:tcPr>
            <w:tcW w:w="9940" w:type="dxa"/>
            <w:vAlign w:val="bottom"/>
            <w:tcBorders>
              <w:bottom w:val="single" w:sz="8" w:color="0000FF"/>
            </w:tcBorders>
            <w:gridSpan w:val="35"/>
          </w:tcPr>
          <w:p>
            <w:pPr>
              <w:spacing w:after="0"/>
              <w:rPr>
                <w:rFonts w:ascii="Arial" w:cs="Arial" w:eastAsia="Arial" w:hAnsi="Arial"/>
                <w:sz w:val="14"/>
                <w:szCs w:val="14"/>
                <w:color w:val="0000FF"/>
                <w:w w:val="92"/>
              </w:rPr>
            </w:pPr>
            <w:hyperlink r:id="rId66">
              <w:r>
                <w:rPr>
                  <w:rFonts w:ascii="Arial" w:cs="Arial" w:eastAsia="Arial" w:hAnsi="Arial"/>
                  <w:sz w:val="14"/>
                  <w:szCs w:val="14"/>
                  <w:color w:val="0000FF"/>
                  <w:w w:val="92"/>
                </w:rPr>
                <w:t>2006 Equity Incentive Plan (incorporated by reference to Exhibit 10.9 to Amendment No. 3 of the Registrant's Registration Statement on Form S-1 (File No. 333-131764) filed</w:t>
              </w:r>
            </w:hyperlink>
          </w:p>
        </w:tc>
        <w:tc>
          <w:tcPr>
            <w:tcW w:w="40" w:type="dxa"/>
            <w:vAlign w:val="bottom"/>
          </w:tcPr>
          <w:p>
            <w:pPr>
              <w:spacing w:after="0"/>
              <w:rPr>
                <w:sz w:val="16"/>
                <w:szCs w:val="16"/>
                <w:color w:val="auto"/>
              </w:rPr>
            </w:pPr>
          </w:p>
        </w:tc>
      </w:tr>
      <w:tr>
        <w:trPr>
          <w:trHeight w:val="150"/>
        </w:trPr>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Borders>
              <w:bottom w:val="single" w:sz="8" w:color="0000FF"/>
            </w:tcBorders>
            <w:gridSpan w:val="4"/>
          </w:tcPr>
          <w:p>
            <w:pPr>
              <w:spacing w:after="0" w:line="150" w:lineRule="exact"/>
              <w:rPr>
                <w:rFonts w:ascii="Arial" w:cs="Arial" w:eastAsia="Arial" w:hAnsi="Arial"/>
                <w:sz w:val="14"/>
                <w:szCs w:val="14"/>
                <w:color w:val="0000FF"/>
                <w:w w:val="94"/>
              </w:rPr>
            </w:pPr>
            <w:hyperlink r:id="rId66">
              <w:r>
                <w:rPr>
                  <w:rFonts w:ascii="Arial" w:cs="Arial" w:eastAsia="Arial" w:hAnsi="Arial"/>
                  <w:sz w:val="14"/>
                  <w:szCs w:val="14"/>
                  <w:color w:val="0000FF"/>
                  <w:w w:val="94"/>
                </w:rPr>
                <w:t>on April 28, 2006).</w:t>
              </w:r>
            </w:hyperlink>
          </w:p>
        </w:tc>
        <w:tc>
          <w:tcPr>
            <w:tcW w:w="8880" w:type="dxa"/>
            <w:vAlign w:val="bottom"/>
            <w:gridSpan w:val="32"/>
          </w:tcPr>
          <w:p>
            <w:pPr>
              <w:spacing w:after="0"/>
              <w:rPr>
                <w:sz w:val="13"/>
                <w:szCs w:val="13"/>
                <w:color w:val="auto"/>
              </w:rPr>
            </w:pPr>
          </w:p>
        </w:tc>
      </w:tr>
      <w:tr>
        <w:trPr>
          <w:trHeight w:val="192"/>
        </w:trPr>
        <w:tc>
          <w:tcPr>
            <w:tcW w:w="560" w:type="dxa"/>
            <w:vAlign w:val="bottom"/>
          </w:tcPr>
          <w:p>
            <w:pPr>
              <w:spacing w:after="0"/>
              <w:rPr>
                <w:sz w:val="20"/>
                <w:szCs w:val="20"/>
                <w:color w:val="auto"/>
              </w:rPr>
            </w:pPr>
            <w:r>
              <w:rPr>
                <w:rFonts w:ascii="Arial" w:cs="Arial" w:eastAsia="Arial" w:hAnsi="Arial"/>
                <w:sz w:val="14"/>
                <w:szCs w:val="14"/>
                <w:color w:val="auto"/>
              </w:rPr>
              <w:t>4.3</w:t>
            </w:r>
          </w:p>
        </w:tc>
        <w:tc>
          <w:tcPr>
            <w:tcW w:w="680" w:type="dxa"/>
            <w:vAlign w:val="bottom"/>
          </w:tcPr>
          <w:p>
            <w:pPr>
              <w:spacing w:after="0"/>
              <w:rPr>
                <w:sz w:val="16"/>
                <w:szCs w:val="16"/>
                <w:color w:val="auto"/>
              </w:rPr>
            </w:pPr>
          </w:p>
        </w:tc>
        <w:tc>
          <w:tcPr>
            <w:tcW w:w="9880" w:type="dxa"/>
            <w:vAlign w:val="bottom"/>
            <w:tcBorders>
              <w:bottom w:val="single" w:sz="8" w:color="0000FF"/>
            </w:tcBorders>
            <w:gridSpan w:val="32"/>
          </w:tcPr>
          <w:p>
            <w:pPr>
              <w:spacing w:after="0"/>
              <w:rPr>
                <w:rFonts w:ascii="Arial" w:cs="Arial" w:eastAsia="Arial" w:hAnsi="Arial"/>
                <w:sz w:val="14"/>
                <w:szCs w:val="14"/>
                <w:color w:val="0000FF"/>
                <w:w w:val="92"/>
              </w:rPr>
            </w:pPr>
            <w:hyperlink r:id="rId67">
              <w:r>
                <w:rPr>
                  <w:rFonts w:ascii="Arial" w:cs="Arial" w:eastAsia="Arial" w:hAnsi="Arial"/>
                  <w:sz w:val="14"/>
                  <w:szCs w:val="14"/>
                  <w:color w:val="0000FF"/>
                  <w:w w:val="92"/>
                </w:rPr>
                <w:t>Form of Stock Option Agreement under 2006 Equity Incentive Plan (incorporated by reference to Exhibit 4.7 to the Registrant's Registration Statement on Form S-1 (File No.</w:t>
              </w:r>
            </w:hyperlink>
          </w:p>
        </w:tc>
        <w:tc>
          <w:tcPr>
            <w:tcW w:w="100" w:type="dxa"/>
            <w:vAlign w:val="bottom"/>
            <w:gridSpan w:val="4"/>
          </w:tcPr>
          <w:p>
            <w:pPr>
              <w:spacing w:after="0"/>
              <w:rPr>
                <w:sz w:val="16"/>
                <w:szCs w:val="16"/>
                <w:color w:val="auto"/>
              </w:rPr>
            </w:pPr>
          </w:p>
        </w:tc>
      </w:tr>
      <w:tr>
        <w:trPr>
          <w:trHeight w:val="150"/>
        </w:trPr>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980" w:type="dxa"/>
            <w:vAlign w:val="bottom"/>
            <w:gridSpan w:val="36"/>
          </w:tcPr>
          <w:p>
            <w:pPr>
              <w:spacing w:after="0" w:line="150" w:lineRule="exact"/>
              <w:rPr>
                <w:rFonts w:ascii="Arial" w:cs="Arial" w:eastAsia="Arial" w:hAnsi="Arial"/>
                <w:sz w:val="14"/>
                <w:szCs w:val="14"/>
                <w:color w:val="0000FF"/>
              </w:rPr>
            </w:pPr>
            <w:hyperlink r:id="rId67">
              <w:r>
                <w:rPr>
                  <w:rFonts w:ascii="Arial" w:cs="Arial" w:eastAsia="Arial" w:hAnsi="Arial"/>
                  <w:sz w:val="14"/>
                  <w:szCs w:val="14"/>
                  <w:color w:val="0000FF"/>
                </w:rPr>
                <w:t>333-131764) filed on February 10, 2006).</w:t>
              </w:r>
            </w:hyperlink>
          </w:p>
        </w:tc>
      </w:tr>
      <w:tr>
        <w:trPr>
          <w:trHeight w:val="20"/>
        </w:trPr>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8"/>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192"/>
        </w:trPr>
        <w:tc>
          <w:tcPr>
            <w:tcW w:w="560" w:type="dxa"/>
            <w:vAlign w:val="bottom"/>
          </w:tcPr>
          <w:p>
            <w:pPr>
              <w:spacing w:after="0"/>
              <w:rPr>
                <w:sz w:val="20"/>
                <w:szCs w:val="20"/>
                <w:color w:val="auto"/>
              </w:rPr>
            </w:pPr>
            <w:r>
              <w:rPr>
                <w:rFonts w:ascii="Arial" w:cs="Arial" w:eastAsia="Arial" w:hAnsi="Arial"/>
                <w:sz w:val="14"/>
                <w:szCs w:val="14"/>
                <w:color w:val="auto"/>
              </w:rPr>
              <w:t>4.4</w:t>
            </w:r>
          </w:p>
        </w:tc>
        <w:tc>
          <w:tcPr>
            <w:tcW w:w="680" w:type="dxa"/>
            <w:vAlign w:val="bottom"/>
          </w:tcPr>
          <w:p>
            <w:pPr>
              <w:spacing w:after="0"/>
              <w:rPr>
                <w:sz w:val="16"/>
                <w:szCs w:val="16"/>
                <w:color w:val="auto"/>
              </w:rPr>
            </w:pPr>
          </w:p>
        </w:tc>
        <w:tc>
          <w:tcPr>
            <w:tcW w:w="9640" w:type="dxa"/>
            <w:vAlign w:val="bottom"/>
            <w:tcBorders>
              <w:bottom w:val="single" w:sz="8" w:color="0000FF"/>
            </w:tcBorders>
            <w:gridSpan w:val="25"/>
          </w:tcPr>
          <w:p>
            <w:pPr>
              <w:spacing w:after="0"/>
              <w:rPr>
                <w:rFonts w:ascii="Arial" w:cs="Arial" w:eastAsia="Arial" w:hAnsi="Arial"/>
                <w:sz w:val="14"/>
                <w:szCs w:val="14"/>
                <w:color w:val="0000FF"/>
                <w:w w:val="92"/>
              </w:rPr>
            </w:pPr>
            <w:hyperlink r:id="rId68">
              <w:r>
                <w:rPr>
                  <w:rFonts w:ascii="Arial" w:cs="Arial" w:eastAsia="Arial" w:hAnsi="Arial"/>
                  <w:sz w:val="14"/>
                  <w:szCs w:val="14"/>
                  <w:color w:val="0000FF"/>
                  <w:w w:val="92"/>
                </w:rPr>
                <w:t>2016 Equity Incentive Plan (incorporated by reference to Exhibit 4.7 to the Registrant's Registration Statement on Form S-8 (File No. 333-211802) filed on June 3, 2016).</w:t>
              </w:r>
            </w:hyperlink>
          </w:p>
        </w:tc>
        <w:tc>
          <w:tcPr>
            <w:tcW w:w="340" w:type="dxa"/>
            <w:vAlign w:val="bottom"/>
            <w:gridSpan w:val="11"/>
          </w:tcPr>
          <w:p>
            <w:pPr>
              <w:spacing w:after="0"/>
              <w:rPr>
                <w:sz w:val="16"/>
                <w:szCs w:val="16"/>
                <w:color w:val="auto"/>
              </w:rPr>
            </w:pPr>
          </w:p>
        </w:tc>
      </w:tr>
      <w:tr>
        <w:trPr>
          <w:trHeight w:val="192"/>
        </w:trPr>
        <w:tc>
          <w:tcPr>
            <w:tcW w:w="560" w:type="dxa"/>
            <w:vAlign w:val="bottom"/>
          </w:tcPr>
          <w:p>
            <w:pPr>
              <w:spacing w:after="0"/>
              <w:rPr>
                <w:sz w:val="20"/>
                <w:szCs w:val="20"/>
                <w:color w:val="auto"/>
              </w:rPr>
            </w:pPr>
            <w:r>
              <w:rPr>
                <w:rFonts w:ascii="Arial" w:cs="Arial" w:eastAsia="Arial" w:hAnsi="Arial"/>
                <w:sz w:val="14"/>
                <w:szCs w:val="14"/>
                <w:color w:val="auto"/>
              </w:rPr>
              <w:t>4.5</w:t>
            </w:r>
          </w:p>
        </w:tc>
        <w:tc>
          <w:tcPr>
            <w:tcW w:w="680" w:type="dxa"/>
            <w:vAlign w:val="bottom"/>
          </w:tcPr>
          <w:p>
            <w:pPr>
              <w:spacing w:after="0"/>
              <w:rPr>
                <w:sz w:val="16"/>
                <w:szCs w:val="16"/>
                <w:color w:val="auto"/>
              </w:rPr>
            </w:pPr>
          </w:p>
        </w:tc>
        <w:tc>
          <w:tcPr>
            <w:tcW w:w="9780" w:type="dxa"/>
            <w:vAlign w:val="bottom"/>
            <w:tcBorders>
              <w:bottom w:val="single" w:sz="8" w:color="0000FF"/>
            </w:tcBorders>
            <w:gridSpan w:val="28"/>
          </w:tcPr>
          <w:p>
            <w:pPr>
              <w:spacing w:after="0"/>
              <w:rPr>
                <w:rFonts w:ascii="Arial" w:cs="Arial" w:eastAsia="Arial" w:hAnsi="Arial"/>
                <w:sz w:val="14"/>
                <w:szCs w:val="14"/>
                <w:color w:val="0000FF"/>
                <w:w w:val="92"/>
              </w:rPr>
            </w:pPr>
            <w:hyperlink r:id="rId69">
              <w:r>
                <w:rPr>
                  <w:rFonts w:ascii="Arial" w:cs="Arial" w:eastAsia="Arial" w:hAnsi="Arial"/>
                  <w:sz w:val="14"/>
                  <w:szCs w:val="14"/>
                  <w:color w:val="0000FF"/>
                  <w:w w:val="92"/>
                </w:rPr>
                <w:t>Form of Stock Option Grant Notice and Stock Option Agreement under 2016 Equity Incentive Plan (incorporated by reference to Exhibit 4.8 of the Registrant's Registration</w:t>
              </w:r>
            </w:hyperlink>
          </w:p>
        </w:tc>
        <w:tc>
          <w:tcPr>
            <w:tcW w:w="200" w:type="dxa"/>
            <w:vAlign w:val="bottom"/>
            <w:gridSpan w:val="8"/>
          </w:tcPr>
          <w:p>
            <w:pPr>
              <w:spacing w:after="0"/>
              <w:rPr>
                <w:sz w:val="16"/>
                <w:szCs w:val="16"/>
                <w:color w:val="auto"/>
              </w:rPr>
            </w:pPr>
          </w:p>
        </w:tc>
      </w:tr>
      <w:tr>
        <w:trPr>
          <w:trHeight w:val="150"/>
        </w:trPr>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940" w:type="dxa"/>
            <w:vAlign w:val="bottom"/>
            <w:tcBorders>
              <w:bottom w:val="single" w:sz="8" w:color="0000FF"/>
            </w:tcBorders>
            <w:gridSpan w:val="11"/>
          </w:tcPr>
          <w:p>
            <w:pPr>
              <w:spacing w:after="0" w:line="150" w:lineRule="exact"/>
              <w:rPr>
                <w:rFonts w:ascii="Arial" w:cs="Arial" w:eastAsia="Arial" w:hAnsi="Arial"/>
                <w:sz w:val="14"/>
                <w:szCs w:val="14"/>
                <w:color w:val="0000FF"/>
                <w:w w:val="91"/>
              </w:rPr>
            </w:pPr>
            <w:hyperlink r:id="rId69">
              <w:r>
                <w:rPr>
                  <w:rFonts w:ascii="Arial" w:cs="Arial" w:eastAsia="Arial" w:hAnsi="Arial"/>
                  <w:sz w:val="14"/>
                  <w:szCs w:val="14"/>
                  <w:color w:val="0000FF"/>
                  <w:w w:val="91"/>
                </w:rPr>
                <w:t>Statement on Form S-8 (File No. 333-211802) filed on June 3, 2016).</w:t>
              </w:r>
            </w:hyperlink>
          </w:p>
        </w:tc>
        <w:tc>
          <w:tcPr>
            <w:tcW w:w="6040" w:type="dxa"/>
            <w:vAlign w:val="bottom"/>
            <w:gridSpan w:val="25"/>
          </w:tcPr>
          <w:p>
            <w:pPr>
              <w:spacing w:after="0"/>
              <w:rPr>
                <w:sz w:val="13"/>
                <w:szCs w:val="13"/>
                <w:color w:val="auto"/>
              </w:rPr>
            </w:pPr>
          </w:p>
        </w:tc>
      </w:tr>
      <w:tr>
        <w:trPr>
          <w:trHeight w:val="192"/>
        </w:trPr>
        <w:tc>
          <w:tcPr>
            <w:tcW w:w="560" w:type="dxa"/>
            <w:vAlign w:val="bottom"/>
          </w:tcPr>
          <w:p>
            <w:pPr>
              <w:spacing w:after="0"/>
              <w:rPr>
                <w:sz w:val="20"/>
                <w:szCs w:val="20"/>
                <w:color w:val="auto"/>
              </w:rPr>
            </w:pPr>
            <w:r>
              <w:rPr>
                <w:rFonts w:ascii="Arial" w:cs="Arial" w:eastAsia="Arial" w:hAnsi="Arial"/>
                <w:sz w:val="14"/>
                <w:szCs w:val="14"/>
                <w:color w:val="auto"/>
              </w:rPr>
              <w:t>4.6</w:t>
            </w:r>
          </w:p>
        </w:tc>
        <w:tc>
          <w:tcPr>
            <w:tcW w:w="680" w:type="dxa"/>
            <w:vAlign w:val="bottom"/>
          </w:tcPr>
          <w:p>
            <w:pPr>
              <w:spacing w:after="0"/>
              <w:rPr>
                <w:sz w:val="16"/>
                <w:szCs w:val="16"/>
                <w:color w:val="auto"/>
              </w:rPr>
            </w:pPr>
          </w:p>
        </w:tc>
        <w:tc>
          <w:tcPr>
            <w:tcW w:w="9980" w:type="dxa"/>
            <w:vAlign w:val="bottom"/>
            <w:gridSpan w:val="36"/>
          </w:tcPr>
          <w:p>
            <w:pPr>
              <w:spacing w:after="0"/>
              <w:rPr>
                <w:rFonts w:ascii="Arial" w:cs="Arial" w:eastAsia="Arial" w:hAnsi="Arial"/>
                <w:sz w:val="14"/>
                <w:szCs w:val="14"/>
                <w:color w:val="0000FF"/>
                <w:w w:val="95"/>
              </w:rPr>
            </w:pPr>
            <w:hyperlink r:id="rId70">
              <w:r>
                <w:rPr>
                  <w:rFonts w:ascii="Arial" w:cs="Arial" w:eastAsia="Arial" w:hAnsi="Arial"/>
                  <w:sz w:val="14"/>
                  <w:szCs w:val="14"/>
                  <w:color w:val="0000FF"/>
                  <w:w w:val="95"/>
                </w:rPr>
                <w:t>Form of Restricted Stock Unit Grant Notice and Restricted Stock Unit Award Agreement under 2016 Equity Incentive Plan (incorporated by reference to Exhibit 4.1 to the</w:t>
              </w:r>
            </w:hyperlink>
          </w:p>
        </w:tc>
      </w:tr>
      <w:tr>
        <w:trPr>
          <w:trHeight w:val="150"/>
        </w:trPr>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12"/>
          </w:tcPr>
          <w:p>
            <w:pPr>
              <w:spacing w:after="0" w:line="150" w:lineRule="exact"/>
              <w:rPr>
                <w:rFonts w:ascii="Arial" w:cs="Arial" w:eastAsia="Arial" w:hAnsi="Arial"/>
                <w:sz w:val="14"/>
                <w:szCs w:val="14"/>
                <w:color w:val="0000FF"/>
                <w:w w:val="92"/>
              </w:rPr>
            </w:pPr>
            <w:hyperlink r:id="rId70">
              <w:r>
                <w:rPr>
                  <w:rFonts w:ascii="Arial" w:cs="Arial" w:eastAsia="Arial" w:hAnsi="Arial"/>
                  <w:sz w:val="14"/>
                  <w:szCs w:val="14"/>
                  <w:color w:val="0000FF"/>
                  <w:w w:val="92"/>
                </w:rPr>
                <w:t>Registrant's Current Report on Form 8-K (File No. 000-52008) filed on January 16, 2019).</w:t>
              </w:r>
            </w:hyperlink>
          </w:p>
        </w:tc>
        <w:tc>
          <w:tcPr>
            <w:tcW w:w="4540" w:type="dxa"/>
            <w:vAlign w:val="bottom"/>
            <w:tcBorders>
              <w:top w:val="single" w:sz="8" w:color="0000FF"/>
            </w:tcBorders>
            <w:gridSpan w:val="14"/>
          </w:tcPr>
          <w:p>
            <w:pPr>
              <w:spacing w:after="0"/>
              <w:rPr>
                <w:sz w:val="13"/>
                <w:szCs w:val="13"/>
                <w:color w:val="auto"/>
              </w:rPr>
            </w:pPr>
          </w:p>
        </w:tc>
        <w:tc>
          <w:tcPr>
            <w:tcW w:w="300" w:type="dxa"/>
            <w:vAlign w:val="bottom"/>
            <w:gridSpan w:val="10"/>
          </w:tcPr>
          <w:p>
            <w:pPr>
              <w:spacing w:after="0"/>
              <w:rPr>
                <w:sz w:val="13"/>
                <w:szCs w:val="13"/>
                <w:color w:val="auto"/>
              </w:rPr>
            </w:pPr>
          </w:p>
        </w:tc>
      </w:tr>
      <w:tr>
        <w:trPr>
          <w:trHeight w:val="192"/>
        </w:trPr>
        <w:tc>
          <w:tcPr>
            <w:tcW w:w="560" w:type="dxa"/>
            <w:vAlign w:val="bottom"/>
          </w:tcPr>
          <w:p>
            <w:pPr>
              <w:spacing w:after="0"/>
              <w:rPr>
                <w:sz w:val="20"/>
                <w:szCs w:val="20"/>
                <w:color w:val="auto"/>
              </w:rPr>
            </w:pPr>
            <w:r>
              <w:rPr>
                <w:rFonts w:ascii="Arial" w:cs="Arial" w:eastAsia="Arial" w:hAnsi="Arial"/>
                <w:sz w:val="14"/>
                <w:szCs w:val="14"/>
                <w:color w:val="auto"/>
              </w:rPr>
              <w:t>4.7</w:t>
            </w:r>
          </w:p>
        </w:tc>
        <w:tc>
          <w:tcPr>
            <w:tcW w:w="680" w:type="dxa"/>
            <w:vAlign w:val="bottom"/>
          </w:tcPr>
          <w:p>
            <w:pPr>
              <w:spacing w:after="0"/>
              <w:rPr>
                <w:sz w:val="16"/>
                <w:szCs w:val="16"/>
                <w:color w:val="auto"/>
              </w:rPr>
            </w:pPr>
          </w:p>
        </w:tc>
        <w:tc>
          <w:tcPr>
            <w:tcW w:w="9600" w:type="dxa"/>
            <w:vAlign w:val="bottom"/>
            <w:tcBorders>
              <w:bottom w:val="single" w:sz="8" w:color="0000FF"/>
            </w:tcBorders>
            <w:gridSpan w:val="24"/>
          </w:tcPr>
          <w:p>
            <w:pPr>
              <w:spacing w:after="0"/>
              <w:rPr>
                <w:rFonts w:ascii="Arial" w:cs="Arial" w:eastAsia="Arial" w:hAnsi="Arial"/>
                <w:sz w:val="14"/>
                <w:szCs w:val="14"/>
                <w:color w:val="0000FF"/>
                <w:w w:val="92"/>
              </w:rPr>
            </w:pPr>
            <w:hyperlink r:id="rId71">
              <w:r>
                <w:rPr>
                  <w:rFonts w:ascii="Arial" w:cs="Arial" w:eastAsia="Arial" w:hAnsi="Arial"/>
                  <w:sz w:val="14"/>
                  <w:szCs w:val="14"/>
                  <w:color w:val="0000FF"/>
                  <w:w w:val="92"/>
                </w:rPr>
                <w:t>Form of Restricted Stock Award Grant Notice and Restricted Stock Award Agreement under 2016 Equity Incentive Plan (incorporated by reference to Exhibit 10.1 to the</w:t>
              </w:r>
            </w:hyperlink>
          </w:p>
        </w:tc>
        <w:tc>
          <w:tcPr>
            <w:tcW w:w="380" w:type="dxa"/>
            <w:vAlign w:val="bottom"/>
            <w:gridSpan w:val="12"/>
          </w:tcPr>
          <w:p>
            <w:pPr>
              <w:spacing w:after="0"/>
              <w:rPr>
                <w:sz w:val="16"/>
                <w:szCs w:val="16"/>
                <w:color w:val="auto"/>
              </w:rPr>
            </w:pPr>
          </w:p>
        </w:tc>
      </w:tr>
      <w:tr>
        <w:trPr>
          <w:trHeight w:val="150"/>
        </w:trPr>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980" w:type="dxa"/>
            <w:vAlign w:val="bottom"/>
            <w:gridSpan w:val="36"/>
          </w:tcPr>
          <w:p>
            <w:pPr>
              <w:spacing w:after="0" w:line="150" w:lineRule="exact"/>
              <w:rPr>
                <w:rFonts w:ascii="Arial" w:cs="Arial" w:eastAsia="Arial" w:hAnsi="Arial"/>
                <w:sz w:val="14"/>
                <w:szCs w:val="14"/>
                <w:color w:val="0000FF"/>
              </w:rPr>
            </w:pPr>
            <w:hyperlink r:id="rId71">
              <w:r>
                <w:rPr>
                  <w:rFonts w:ascii="Arial" w:cs="Arial" w:eastAsia="Arial" w:hAnsi="Arial"/>
                  <w:sz w:val="14"/>
                  <w:szCs w:val="14"/>
                  <w:color w:val="0000FF"/>
                </w:rPr>
                <w:t>Registrant's Quarterly Report on Form 10-Q (File No. 000-52008) filed on August 10, 2016).</w:t>
              </w:r>
            </w:hyperlink>
          </w:p>
        </w:tc>
      </w:tr>
      <w:tr>
        <w:trPr>
          <w:trHeight w:val="20"/>
        </w:trPr>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8"/>
            <w:shd w:val="clear" w:color="auto" w:fill="0000FF"/>
          </w:tcPr>
          <w:p>
            <w:pPr>
              <w:spacing w:after="0" w:line="20" w:lineRule="exact"/>
              <w:rPr>
                <w:sz w:val="1"/>
                <w:szCs w:val="1"/>
                <w:color w:val="auto"/>
              </w:rPr>
            </w:pPr>
          </w:p>
        </w:tc>
        <w:tc>
          <w:tcPr>
            <w:tcW w:w="3260" w:type="dxa"/>
            <w:vAlign w:val="bottom"/>
            <w:gridSpan w:val="5"/>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r>
      <w:tr>
        <w:trPr>
          <w:trHeight w:val="192"/>
        </w:trPr>
        <w:tc>
          <w:tcPr>
            <w:tcW w:w="560" w:type="dxa"/>
            <w:vAlign w:val="bottom"/>
          </w:tcPr>
          <w:p>
            <w:pPr>
              <w:spacing w:after="0"/>
              <w:rPr>
                <w:sz w:val="20"/>
                <w:szCs w:val="20"/>
                <w:color w:val="auto"/>
              </w:rPr>
            </w:pPr>
            <w:r>
              <w:rPr>
                <w:rFonts w:ascii="Arial" w:cs="Arial" w:eastAsia="Arial" w:hAnsi="Arial"/>
                <w:sz w:val="14"/>
                <w:szCs w:val="14"/>
                <w:color w:val="auto"/>
              </w:rPr>
              <w:t>4.8*</w:t>
            </w:r>
          </w:p>
        </w:tc>
        <w:tc>
          <w:tcPr>
            <w:tcW w:w="680" w:type="dxa"/>
            <w:vAlign w:val="bottom"/>
          </w:tcPr>
          <w:p>
            <w:pPr>
              <w:spacing w:after="0"/>
              <w:rPr>
                <w:sz w:val="16"/>
                <w:szCs w:val="16"/>
                <w:color w:val="auto"/>
              </w:rPr>
            </w:pPr>
          </w:p>
        </w:tc>
        <w:tc>
          <w:tcPr>
            <w:tcW w:w="9980" w:type="dxa"/>
            <w:vAlign w:val="bottom"/>
            <w:gridSpan w:val="36"/>
          </w:tcPr>
          <w:p>
            <w:pPr>
              <w:spacing w:after="0"/>
              <w:rPr>
                <w:rFonts w:ascii="Arial" w:cs="Arial" w:eastAsia="Arial" w:hAnsi="Arial"/>
                <w:sz w:val="14"/>
                <w:szCs w:val="14"/>
                <w:color w:val="0000FF"/>
              </w:rPr>
            </w:pPr>
            <w:hyperlink w:anchor="page86">
              <w:r>
                <w:rPr>
                  <w:rFonts w:ascii="Arial" w:cs="Arial" w:eastAsia="Arial" w:hAnsi="Arial"/>
                  <w:sz w:val="14"/>
                  <w:szCs w:val="14"/>
                  <w:color w:val="0000FF"/>
                </w:rPr>
                <w:t>Description of the Registrant's Securities Registered Pursuant to Section 12 of the Securities Exchange Act of 1934.</w:t>
              </w:r>
            </w:hyperlink>
          </w:p>
        </w:tc>
      </w:tr>
      <w:tr>
        <w:trPr>
          <w:trHeight w:val="20"/>
        </w:trPr>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8"/>
            <w:shd w:val="clear" w:color="auto" w:fill="0000FF"/>
          </w:tcPr>
          <w:p>
            <w:pPr>
              <w:spacing w:after="0" w:line="20" w:lineRule="exact"/>
              <w:rPr>
                <w:sz w:val="1"/>
                <w:szCs w:val="1"/>
                <w:color w:val="auto"/>
              </w:rPr>
            </w:pPr>
          </w:p>
        </w:tc>
        <w:tc>
          <w:tcPr>
            <w:tcW w:w="4540" w:type="dxa"/>
            <w:vAlign w:val="bottom"/>
            <w:gridSpan w:val="7"/>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r>
      <w:tr>
        <w:trPr>
          <w:trHeight w:val="192"/>
        </w:trPr>
        <w:tc>
          <w:tcPr>
            <w:tcW w:w="560" w:type="dxa"/>
            <w:vAlign w:val="bottom"/>
          </w:tcPr>
          <w:p>
            <w:pPr>
              <w:spacing w:after="0"/>
              <w:rPr>
                <w:sz w:val="20"/>
                <w:szCs w:val="20"/>
                <w:color w:val="auto"/>
              </w:rPr>
            </w:pPr>
            <w:r>
              <w:rPr>
                <w:rFonts w:ascii="Arial" w:cs="Arial" w:eastAsia="Arial" w:hAnsi="Arial"/>
                <w:sz w:val="14"/>
                <w:szCs w:val="14"/>
                <w:color w:val="auto"/>
              </w:rPr>
              <w:t>10.1</w:t>
            </w:r>
          </w:p>
        </w:tc>
        <w:tc>
          <w:tcPr>
            <w:tcW w:w="680" w:type="dxa"/>
            <w:vAlign w:val="bottom"/>
          </w:tcPr>
          <w:p>
            <w:pPr>
              <w:spacing w:after="0"/>
              <w:rPr>
                <w:sz w:val="16"/>
                <w:szCs w:val="16"/>
                <w:color w:val="auto"/>
              </w:rPr>
            </w:pPr>
          </w:p>
        </w:tc>
        <w:tc>
          <w:tcPr>
            <w:tcW w:w="9760" w:type="dxa"/>
            <w:vAlign w:val="bottom"/>
            <w:tcBorders>
              <w:bottom w:val="single" w:sz="8" w:color="0000FF"/>
            </w:tcBorders>
            <w:gridSpan w:val="27"/>
          </w:tcPr>
          <w:p>
            <w:pPr>
              <w:spacing w:after="0"/>
              <w:rPr>
                <w:rFonts w:ascii="Arial" w:cs="Arial" w:eastAsia="Arial" w:hAnsi="Arial"/>
                <w:sz w:val="14"/>
                <w:szCs w:val="14"/>
                <w:color w:val="0000FF"/>
                <w:w w:val="92"/>
              </w:rPr>
            </w:pPr>
            <w:hyperlink r:id="rId72">
              <w:r>
                <w:rPr>
                  <w:rFonts w:ascii="Arial" w:cs="Arial" w:eastAsia="Arial" w:hAnsi="Arial"/>
                  <w:sz w:val="14"/>
                  <w:szCs w:val="14"/>
                  <w:color w:val="0000FF"/>
                  <w:w w:val="92"/>
                </w:rPr>
                <w:t>Form of Indemnification Agreement for directors and executive officers (incorporated by reference to Exhibit 10.1 to the Registrant's Current Report on Form 8-K (File No.</w:t>
              </w:r>
            </w:hyperlink>
          </w:p>
        </w:tc>
        <w:tc>
          <w:tcPr>
            <w:tcW w:w="220" w:type="dxa"/>
            <w:vAlign w:val="bottom"/>
            <w:gridSpan w:val="9"/>
          </w:tcPr>
          <w:p>
            <w:pPr>
              <w:spacing w:after="0"/>
              <w:rPr>
                <w:sz w:val="16"/>
                <w:szCs w:val="16"/>
                <w:color w:val="auto"/>
              </w:rPr>
            </w:pPr>
          </w:p>
        </w:tc>
      </w:tr>
      <w:tr>
        <w:trPr>
          <w:trHeight w:val="150"/>
        </w:trPr>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980" w:type="dxa"/>
            <w:vAlign w:val="bottom"/>
            <w:gridSpan w:val="36"/>
          </w:tcPr>
          <w:p>
            <w:pPr>
              <w:spacing w:after="0" w:line="150" w:lineRule="exact"/>
              <w:rPr>
                <w:rFonts w:ascii="Arial" w:cs="Arial" w:eastAsia="Arial" w:hAnsi="Arial"/>
                <w:sz w:val="14"/>
                <w:szCs w:val="14"/>
                <w:color w:val="0000FF"/>
              </w:rPr>
            </w:pPr>
            <w:hyperlink r:id="rId72">
              <w:r>
                <w:rPr>
                  <w:rFonts w:ascii="Arial" w:cs="Arial" w:eastAsia="Arial" w:hAnsi="Arial"/>
                  <w:sz w:val="14"/>
                  <w:szCs w:val="14"/>
                  <w:color w:val="0000FF"/>
                </w:rPr>
                <w:t>000-52008) filed on July 17, 2009).</w:t>
              </w:r>
            </w:hyperlink>
          </w:p>
        </w:tc>
      </w:tr>
      <w:tr>
        <w:trPr>
          <w:trHeight w:val="20"/>
        </w:trPr>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8"/>
            <w:shd w:val="clear" w:color="auto" w:fill="0000FF"/>
          </w:tcPr>
          <w:p>
            <w:pPr>
              <w:spacing w:after="0" w:line="20" w:lineRule="exact"/>
              <w:rPr>
                <w:sz w:val="1"/>
                <w:szCs w:val="1"/>
                <w:color w:val="auto"/>
              </w:rPr>
            </w:pPr>
          </w:p>
        </w:tc>
        <w:tc>
          <w:tcPr>
            <w:tcW w:w="5820" w:type="dxa"/>
            <w:vAlign w:val="bottom"/>
            <w:gridSpan w:val="9"/>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13"/>
          </w:tcPr>
          <w:p>
            <w:pPr>
              <w:spacing w:after="0" w:line="20" w:lineRule="exact"/>
              <w:rPr>
                <w:sz w:val="1"/>
                <w:szCs w:val="1"/>
                <w:color w:val="auto"/>
              </w:rPr>
            </w:pPr>
          </w:p>
        </w:tc>
      </w:tr>
      <w:tr>
        <w:trPr>
          <w:trHeight w:val="192"/>
        </w:trPr>
        <w:tc>
          <w:tcPr>
            <w:tcW w:w="560" w:type="dxa"/>
            <w:vAlign w:val="bottom"/>
          </w:tcPr>
          <w:p>
            <w:pPr>
              <w:spacing w:after="0"/>
              <w:rPr>
                <w:sz w:val="20"/>
                <w:szCs w:val="20"/>
                <w:color w:val="auto"/>
              </w:rPr>
            </w:pPr>
            <w:r>
              <w:rPr>
                <w:rFonts w:ascii="Arial" w:cs="Arial" w:eastAsia="Arial" w:hAnsi="Arial"/>
                <w:sz w:val="14"/>
                <w:szCs w:val="14"/>
                <w:color w:val="auto"/>
              </w:rPr>
              <w:t>10.2**</w:t>
            </w:r>
          </w:p>
        </w:tc>
        <w:tc>
          <w:tcPr>
            <w:tcW w:w="680" w:type="dxa"/>
            <w:vAlign w:val="bottom"/>
          </w:tcPr>
          <w:p>
            <w:pPr>
              <w:spacing w:after="0"/>
              <w:rPr>
                <w:sz w:val="16"/>
                <w:szCs w:val="16"/>
                <w:color w:val="auto"/>
              </w:rPr>
            </w:pPr>
          </w:p>
        </w:tc>
        <w:tc>
          <w:tcPr>
            <w:tcW w:w="9980" w:type="dxa"/>
            <w:vAlign w:val="bottom"/>
            <w:gridSpan w:val="36"/>
          </w:tcPr>
          <w:p>
            <w:pPr>
              <w:spacing w:after="0"/>
              <w:rPr>
                <w:rFonts w:ascii="Arial" w:cs="Arial" w:eastAsia="Arial" w:hAnsi="Arial"/>
                <w:sz w:val="14"/>
                <w:szCs w:val="14"/>
                <w:color w:val="0000FF"/>
                <w:w w:val="96"/>
              </w:rPr>
            </w:pPr>
            <w:hyperlink r:id="rId73">
              <w:r>
                <w:rPr>
                  <w:rFonts w:ascii="Arial" w:cs="Arial" w:eastAsia="Arial" w:hAnsi="Arial"/>
                  <w:sz w:val="14"/>
                  <w:szCs w:val="14"/>
                  <w:color w:val="0000FF"/>
                  <w:w w:val="96"/>
                </w:rPr>
                <w:t>License Agreement No. DN-982, dated June 10, 2002, by and between the National Aeronautics and Space Administration (NASA) and Luna Innovations Incorporated;</w:t>
              </w:r>
            </w:hyperlink>
          </w:p>
        </w:tc>
      </w:tr>
      <w:tr>
        <w:trPr>
          <w:trHeight w:val="20"/>
        </w:trPr>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40" w:type="dxa"/>
            <w:vAlign w:val="bottom"/>
            <w:gridSpan w:val="17"/>
            <w:shd w:val="clear" w:color="auto" w:fill="0000FF"/>
          </w:tcPr>
          <w:p>
            <w:pPr>
              <w:spacing w:after="0" w:line="20" w:lineRule="exact"/>
              <w:rPr>
                <w:sz w:val="1"/>
                <w:szCs w:val="1"/>
                <w:color w:val="auto"/>
              </w:rPr>
            </w:pPr>
          </w:p>
        </w:tc>
        <w:tc>
          <w:tcPr>
            <w:tcW w:w="17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13"/>
          </w:tcPr>
          <w:p>
            <w:pPr>
              <w:spacing w:after="0" w:line="20" w:lineRule="exact"/>
              <w:rPr>
                <w:sz w:val="1"/>
                <w:szCs w:val="1"/>
                <w:color w:val="auto"/>
              </w:rPr>
            </w:pPr>
          </w:p>
        </w:tc>
      </w:tr>
      <w:tr>
        <w:trPr>
          <w:trHeight w:val="150"/>
        </w:trPr>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980" w:type="dxa"/>
            <w:vAlign w:val="bottom"/>
            <w:gridSpan w:val="36"/>
          </w:tcPr>
          <w:p>
            <w:pPr>
              <w:spacing w:after="0" w:line="150" w:lineRule="exact"/>
              <w:rPr>
                <w:rFonts w:ascii="Arial" w:cs="Arial" w:eastAsia="Arial" w:hAnsi="Arial"/>
                <w:sz w:val="14"/>
                <w:szCs w:val="14"/>
                <w:color w:val="0000FF"/>
                <w:w w:val="96"/>
              </w:rPr>
            </w:pPr>
            <w:hyperlink r:id="rId73">
              <w:r>
                <w:rPr>
                  <w:rFonts w:ascii="Arial" w:cs="Arial" w:eastAsia="Arial" w:hAnsi="Arial"/>
                  <w:sz w:val="14"/>
                  <w:szCs w:val="14"/>
                  <w:color w:val="0000FF"/>
                  <w:w w:val="96"/>
                </w:rPr>
                <w:t>Modification No. 1 to License Agreement No. DN-982, dated January 23, 2006, by and between NASA and Luna Innovations Incorporated (incorporated by reference to</w:t>
              </w:r>
            </w:hyperlink>
          </w:p>
        </w:tc>
      </w:tr>
      <w:tr>
        <w:trPr>
          <w:trHeight w:val="150"/>
        </w:trPr>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580" w:type="dxa"/>
            <w:vAlign w:val="bottom"/>
            <w:tcBorders>
              <w:top w:val="single" w:sz="8" w:color="0000FF"/>
            </w:tcBorders>
            <w:gridSpan w:val="23"/>
          </w:tcPr>
          <w:p>
            <w:pPr>
              <w:spacing w:after="0" w:line="150" w:lineRule="exact"/>
              <w:rPr>
                <w:rFonts w:ascii="Arial" w:cs="Arial" w:eastAsia="Arial" w:hAnsi="Arial"/>
                <w:sz w:val="14"/>
                <w:szCs w:val="14"/>
                <w:color w:val="0000FF"/>
              </w:rPr>
            </w:pPr>
            <w:hyperlink r:id="rId73">
              <w:r>
                <w:rPr>
                  <w:rFonts w:ascii="Arial" w:cs="Arial" w:eastAsia="Arial" w:hAnsi="Arial"/>
                  <w:sz w:val="14"/>
                  <w:szCs w:val="14"/>
                  <w:color w:val="0000FF"/>
                </w:rPr>
                <w:t>Exhibit 10.22 to Amendment No. 5 of the Registrant's Registration Statement on Form S-1 (File No. 333-131764) filed on May 19, 2006).</w:t>
              </w:r>
            </w:hyperlink>
          </w:p>
        </w:tc>
        <w:tc>
          <w:tcPr>
            <w:tcW w:w="400" w:type="dxa"/>
            <w:vAlign w:val="bottom"/>
            <w:gridSpan w:val="13"/>
          </w:tcPr>
          <w:p>
            <w:pPr>
              <w:spacing w:after="0"/>
              <w:rPr>
                <w:sz w:val="13"/>
                <w:szCs w:val="13"/>
                <w:color w:val="auto"/>
              </w:rPr>
            </w:pPr>
          </w:p>
        </w:tc>
      </w:tr>
      <w:tr>
        <w:trPr>
          <w:trHeight w:val="372"/>
        </w:trPr>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140" w:type="dxa"/>
            <w:vAlign w:val="bottom"/>
            <w:tcBorders>
              <w:top w:val="single" w:sz="8" w:color="0000FF"/>
            </w:tcBorders>
            <w:gridSpan w:val="12"/>
          </w:tcPr>
          <w:p>
            <w:pPr>
              <w:ind w:left="4320"/>
              <w:spacing w:after="0"/>
              <w:rPr>
                <w:sz w:val="20"/>
                <w:szCs w:val="20"/>
                <w:color w:val="auto"/>
              </w:rPr>
            </w:pPr>
            <w:r>
              <w:rPr>
                <w:rFonts w:ascii="Arial" w:cs="Arial" w:eastAsia="Arial" w:hAnsi="Arial"/>
                <w:sz w:val="14"/>
                <w:szCs w:val="14"/>
                <w:color w:val="auto"/>
              </w:rPr>
              <w:t>79</w:t>
            </w:r>
          </w:p>
        </w:tc>
        <w:tc>
          <w:tcPr>
            <w:tcW w:w="14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40"/>
          </w:cols>
          <w:pgMar w:left="300" w:top="125" w:right="35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1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47"/>
        </w:trPr>
        <w:tc>
          <w:tcPr>
            <w:tcW w:w="1060" w:type="dxa"/>
            <w:vAlign w:val="bottom"/>
            <w:tcBorders>
              <w:top w:val="single" w:sz="8" w:color="0000EE"/>
            </w:tcBorders>
          </w:tcPr>
          <w:p>
            <w:pPr>
              <w:ind w:left="20"/>
              <w:spacing w:after="0"/>
              <w:rPr>
                <w:sz w:val="20"/>
                <w:szCs w:val="20"/>
                <w:color w:val="auto"/>
              </w:rPr>
            </w:pPr>
            <w:r>
              <w:rPr>
                <w:rFonts w:ascii="Arial" w:cs="Arial" w:eastAsia="Arial" w:hAnsi="Arial"/>
                <w:sz w:val="14"/>
                <w:szCs w:val="14"/>
                <w:color w:val="auto"/>
              </w:rPr>
              <w:t>10.3**</w:t>
            </w:r>
          </w:p>
        </w:tc>
        <w:tc>
          <w:tcPr>
            <w:tcW w:w="200" w:type="dxa"/>
            <w:vAlign w:val="bottom"/>
          </w:tcPr>
          <w:p>
            <w:pPr>
              <w:spacing w:after="0"/>
              <w:rPr>
                <w:sz w:val="24"/>
                <w:szCs w:val="24"/>
                <w:color w:val="auto"/>
              </w:rPr>
            </w:pPr>
          </w:p>
        </w:tc>
        <w:tc>
          <w:tcPr>
            <w:tcW w:w="9760" w:type="dxa"/>
            <w:vAlign w:val="bottom"/>
            <w:tcBorders>
              <w:bottom w:val="single" w:sz="8" w:color="0000FF"/>
            </w:tcBorders>
            <w:gridSpan w:val="21"/>
          </w:tcPr>
          <w:p>
            <w:pPr>
              <w:spacing w:after="0"/>
              <w:rPr>
                <w:rFonts w:ascii="Arial" w:cs="Arial" w:eastAsia="Arial" w:hAnsi="Arial"/>
                <w:sz w:val="14"/>
                <w:szCs w:val="14"/>
                <w:color w:val="0000FF"/>
                <w:w w:val="91"/>
              </w:rPr>
            </w:pPr>
            <w:hyperlink r:id="rId74">
              <w:r>
                <w:rPr>
                  <w:rFonts w:ascii="Arial" w:cs="Arial" w:eastAsia="Arial" w:hAnsi="Arial"/>
                  <w:sz w:val="14"/>
                  <w:szCs w:val="14"/>
                  <w:color w:val="0000FF"/>
                  <w:w w:val="91"/>
                </w:rPr>
                <w:t>License Agreement No. DN-951, dated December 20, 2000, by and between NASA and Luna Technologies, Inc. (incorporated by reference to Exhibit 10.23 to Amendment</w:t>
              </w:r>
            </w:hyperlink>
          </w:p>
        </w:tc>
        <w:tc>
          <w:tcPr>
            <w:tcW w:w="240" w:type="dxa"/>
            <w:vAlign w:val="bottom"/>
            <w:gridSpan w:val="8"/>
          </w:tcPr>
          <w:p>
            <w:pPr>
              <w:spacing w:after="0"/>
              <w:rPr>
                <w:sz w:val="24"/>
                <w:szCs w:val="24"/>
                <w:color w:val="auto"/>
              </w:rPr>
            </w:pPr>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0" w:type="dxa"/>
            <w:vAlign w:val="bottom"/>
            <w:gridSpan w:val="29"/>
          </w:tcPr>
          <w:p>
            <w:pPr>
              <w:spacing w:after="0" w:line="150" w:lineRule="exact"/>
              <w:rPr>
                <w:rFonts w:ascii="Arial" w:cs="Arial" w:eastAsia="Arial" w:hAnsi="Arial"/>
                <w:sz w:val="14"/>
                <w:szCs w:val="14"/>
                <w:color w:val="0000FF"/>
              </w:rPr>
            </w:pPr>
            <w:hyperlink r:id="rId74">
              <w:r>
                <w:rPr>
                  <w:rFonts w:ascii="Arial" w:cs="Arial" w:eastAsia="Arial" w:hAnsi="Arial"/>
                  <w:sz w:val="14"/>
                  <w:szCs w:val="14"/>
                  <w:color w:val="0000FF"/>
                </w:rPr>
                <w:t>No. 5 of the Registrant's Registration Statement on Form S-1 (File No. 333-131764) filed on May 19, 2006).</w:t>
              </w:r>
            </w:hyperlink>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10.4**</w:t>
            </w:r>
          </w:p>
        </w:tc>
        <w:tc>
          <w:tcPr>
            <w:tcW w:w="200" w:type="dxa"/>
            <w:vAlign w:val="bottom"/>
          </w:tcPr>
          <w:p>
            <w:pPr>
              <w:spacing w:after="0"/>
              <w:rPr>
                <w:sz w:val="16"/>
                <w:szCs w:val="16"/>
                <w:color w:val="auto"/>
              </w:rPr>
            </w:pPr>
          </w:p>
        </w:tc>
        <w:tc>
          <w:tcPr>
            <w:tcW w:w="10000" w:type="dxa"/>
            <w:vAlign w:val="bottom"/>
            <w:gridSpan w:val="29"/>
          </w:tcPr>
          <w:p>
            <w:pPr>
              <w:spacing w:after="0"/>
              <w:rPr>
                <w:rFonts w:ascii="Arial" w:cs="Arial" w:eastAsia="Arial" w:hAnsi="Arial"/>
                <w:sz w:val="14"/>
                <w:szCs w:val="14"/>
                <w:color w:val="0000FF"/>
                <w:w w:val="92"/>
              </w:rPr>
            </w:pPr>
            <w:hyperlink r:id="rId75">
              <w:r>
                <w:rPr>
                  <w:rFonts w:ascii="Arial" w:cs="Arial" w:eastAsia="Arial" w:hAnsi="Arial"/>
                  <w:sz w:val="14"/>
                  <w:szCs w:val="14"/>
                  <w:color w:val="0000FF"/>
                  <w:w w:val="92"/>
                </w:rPr>
                <w:t>Amended and Restated License Agreement, dated March 19, 2004, by and between Virginia Tech Intellectual Properties, Inc. and Luna Innovations Incorporated (incorporated</w:t>
              </w:r>
            </w:hyperlink>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720" w:type="dxa"/>
            <w:vAlign w:val="bottom"/>
            <w:tcBorders>
              <w:top w:val="single" w:sz="8" w:color="0000FF"/>
              <w:bottom w:val="single" w:sz="8" w:color="0000FF"/>
            </w:tcBorders>
            <w:gridSpan w:val="12"/>
          </w:tcPr>
          <w:p>
            <w:pPr>
              <w:spacing w:after="0" w:line="150" w:lineRule="exact"/>
              <w:rPr>
                <w:rFonts w:ascii="Arial" w:cs="Arial" w:eastAsia="Arial" w:hAnsi="Arial"/>
                <w:sz w:val="14"/>
                <w:szCs w:val="14"/>
                <w:color w:val="0000FF"/>
                <w:w w:val="92"/>
              </w:rPr>
            </w:pPr>
            <w:hyperlink r:id="rId75">
              <w:r>
                <w:rPr>
                  <w:rFonts w:ascii="Arial" w:cs="Arial" w:eastAsia="Arial" w:hAnsi="Arial"/>
                  <w:sz w:val="14"/>
                  <w:szCs w:val="14"/>
                  <w:color w:val="0000FF"/>
                  <w:w w:val="92"/>
                </w:rPr>
                <w:t>by reference to Exhibit 10.26 to Amendment No. 5 of the Registrant's Registration Statement on Form S-1 (File No. 333-131764) filed on May 19, 2006).</w:t>
              </w:r>
            </w:hyperlink>
          </w:p>
        </w:tc>
        <w:tc>
          <w:tcPr>
            <w:tcW w:w="1200" w:type="dxa"/>
            <w:vAlign w:val="bottom"/>
            <w:tcBorders>
              <w:top w:val="single" w:sz="8" w:color="0000FF"/>
            </w:tcBorders>
            <w:gridSpan w:val="1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10.5</w:t>
            </w:r>
          </w:p>
        </w:tc>
        <w:tc>
          <w:tcPr>
            <w:tcW w:w="200" w:type="dxa"/>
            <w:vAlign w:val="bottom"/>
          </w:tcPr>
          <w:p>
            <w:pPr>
              <w:spacing w:after="0"/>
              <w:rPr>
                <w:sz w:val="16"/>
                <w:szCs w:val="16"/>
                <w:color w:val="auto"/>
              </w:rPr>
            </w:pPr>
          </w:p>
        </w:tc>
        <w:tc>
          <w:tcPr>
            <w:tcW w:w="9860" w:type="dxa"/>
            <w:vAlign w:val="bottom"/>
            <w:tcBorders>
              <w:bottom w:val="single" w:sz="8" w:color="0000FF"/>
            </w:tcBorders>
            <w:gridSpan w:val="23"/>
          </w:tcPr>
          <w:p>
            <w:pPr>
              <w:spacing w:after="0"/>
              <w:rPr>
                <w:rFonts w:ascii="Arial" w:cs="Arial" w:eastAsia="Arial" w:hAnsi="Arial"/>
                <w:sz w:val="14"/>
                <w:szCs w:val="14"/>
                <w:color w:val="0000FF"/>
                <w:w w:val="91"/>
              </w:rPr>
            </w:pPr>
            <w:hyperlink r:id="rId76">
              <w:r>
                <w:rPr>
                  <w:rFonts w:ascii="Arial" w:cs="Arial" w:eastAsia="Arial" w:hAnsi="Arial"/>
                  <w:sz w:val="14"/>
                  <w:szCs w:val="14"/>
                  <w:color w:val="0000FF"/>
                  <w:w w:val="91"/>
                </w:rPr>
                <w:t>Asset Transfer and License Agreement by and between Luna Innovations Incorporated and Coherent, Inc. (incorporated by reference to Exhibit 10.21 to Amendment No. 1 to</w:t>
              </w:r>
            </w:hyperlink>
          </w:p>
        </w:tc>
        <w:tc>
          <w:tcPr>
            <w:tcW w:w="140" w:type="dxa"/>
            <w:vAlign w:val="bottom"/>
            <w:gridSpan w:val="6"/>
          </w:tcPr>
          <w:p>
            <w:pPr>
              <w:spacing w:after="0"/>
              <w:rPr>
                <w:sz w:val="16"/>
                <w:szCs w:val="16"/>
                <w:color w:val="auto"/>
              </w:rPr>
            </w:pPr>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980" w:type="dxa"/>
            <w:vAlign w:val="bottom"/>
            <w:tcBorders>
              <w:bottom w:val="single" w:sz="8" w:color="0000FF"/>
            </w:tcBorders>
            <w:gridSpan w:val="2"/>
          </w:tcPr>
          <w:p>
            <w:pPr>
              <w:spacing w:after="0" w:line="150" w:lineRule="exact"/>
              <w:rPr>
                <w:rFonts w:ascii="Arial" w:cs="Arial" w:eastAsia="Arial" w:hAnsi="Arial"/>
                <w:sz w:val="14"/>
                <w:szCs w:val="14"/>
                <w:color w:val="0000FF"/>
                <w:w w:val="93"/>
              </w:rPr>
            </w:pPr>
            <w:hyperlink r:id="rId76">
              <w:r>
                <w:rPr>
                  <w:rFonts w:ascii="Arial" w:cs="Arial" w:eastAsia="Arial" w:hAnsi="Arial"/>
                  <w:sz w:val="14"/>
                  <w:szCs w:val="14"/>
                  <w:color w:val="0000FF"/>
                  <w:w w:val="93"/>
                </w:rPr>
                <w:t>Registrant's Annual Report on Form 10-K (File No. 000-52008) filed on April 6, 2007).</w:t>
              </w:r>
            </w:hyperlink>
          </w:p>
        </w:tc>
        <w:tc>
          <w:tcPr>
            <w:tcW w:w="5020" w:type="dxa"/>
            <w:vAlign w:val="bottom"/>
            <w:gridSpan w:val="27"/>
          </w:tcPr>
          <w:p>
            <w:pPr>
              <w:spacing w:after="0"/>
              <w:rPr>
                <w:sz w:val="13"/>
                <w:szCs w:val="13"/>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10.6**</w:t>
            </w:r>
          </w:p>
        </w:tc>
        <w:tc>
          <w:tcPr>
            <w:tcW w:w="200" w:type="dxa"/>
            <w:vAlign w:val="bottom"/>
          </w:tcPr>
          <w:p>
            <w:pPr>
              <w:spacing w:after="0"/>
              <w:rPr>
                <w:sz w:val="16"/>
                <w:szCs w:val="16"/>
                <w:color w:val="auto"/>
              </w:rPr>
            </w:pPr>
          </w:p>
        </w:tc>
        <w:tc>
          <w:tcPr>
            <w:tcW w:w="9880" w:type="dxa"/>
            <w:vAlign w:val="bottom"/>
            <w:tcBorders>
              <w:bottom w:val="single" w:sz="8" w:color="0000FF"/>
            </w:tcBorders>
            <w:gridSpan w:val="24"/>
          </w:tcPr>
          <w:p>
            <w:pPr>
              <w:spacing w:after="0"/>
              <w:rPr>
                <w:rFonts w:ascii="Arial" w:cs="Arial" w:eastAsia="Arial" w:hAnsi="Arial"/>
                <w:sz w:val="14"/>
                <w:szCs w:val="14"/>
                <w:color w:val="0000FF"/>
                <w:w w:val="91"/>
              </w:rPr>
            </w:pPr>
            <w:hyperlink r:id="rId77">
              <w:r>
                <w:rPr>
                  <w:rFonts w:ascii="Arial" w:cs="Arial" w:eastAsia="Arial" w:hAnsi="Arial"/>
                  <w:sz w:val="14"/>
                  <w:szCs w:val="14"/>
                  <w:color w:val="0000FF"/>
                  <w:w w:val="91"/>
                </w:rPr>
                <w:t>Development and Supply Agreement, dated December 12, 2006, by and between Luna Innovations Incorporated and Intuitive Surgical, Inc. dated June 11, 2007 (incorporated</w:t>
              </w:r>
            </w:hyperlink>
          </w:p>
        </w:tc>
        <w:tc>
          <w:tcPr>
            <w:tcW w:w="120" w:type="dxa"/>
            <w:vAlign w:val="bottom"/>
            <w:gridSpan w:val="5"/>
          </w:tcPr>
          <w:p>
            <w:pPr>
              <w:spacing w:after="0"/>
              <w:rPr>
                <w:sz w:val="16"/>
                <w:szCs w:val="16"/>
                <w:color w:val="auto"/>
              </w:rPr>
            </w:pPr>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0" w:type="dxa"/>
            <w:vAlign w:val="bottom"/>
            <w:gridSpan w:val="29"/>
          </w:tcPr>
          <w:p>
            <w:pPr>
              <w:spacing w:after="0" w:line="150" w:lineRule="exact"/>
              <w:rPr>
                <w:rFonts w:ascii="Arial" w:cs="Arial" w:eastAsia="Arial" w:hAnsi="Arial"/>
                <w:sz w:val="14"/>
                <w:szCs w:val="14"/>
                <w:color w:val="0000FF"/>
              </w:rPr>
            </w:pPr>
            <w:hyperlink r:id="rId77">
              <w:r>
                <w:rPr>
                  <w:rFonts w:ascii="Arial" w:cs="Arial" w:eastAsia="Arial" w:hAnsi="Arial"/>
                  <w:sz w:val="14"/>
                  <w:szCs w:val="14"/>
                  <w:color w:val="0000FF"/>
                </w:rPr>
                <w:t>by reference to Exhibit 10.1 to the Registrant's Current Report on Form 8-K (File No. 000-52008) filed on June 14, 2007).</w:t>
              </w:r>
            </w:hyperlink>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10.7</w:t>
            </w:r>
          </w:p>
        </w:tc>
        <w:tc>
          <w:tcPr>
            <w:tcW w:w="200" w:type="dxa"/>
            <w:vAlign w:val="bottom"/>
          </w:tcPr>
          <w:p>
            <w:pPr>
              <w:spacing w:after="0"/>
              <w:rPr>
                <w:sz w:val="16"/>
                <w:szCs w:val="16"/>
                <w:color w:val="auto"/>
              </w:rPr>
            </w:pPr>
          </w:p>
        </w:tc>
        <w:tc>
          <w:tcPr>
            <w:tcW w:w="10000" w:type="dxa"/>
            <w:vAlign w:val="bottom"/>
            <w:gridSpan w:val="29"/>
          </w:tcPr>
          <w:p>
            <w:pPr>
              <w:spacing w:after="0"/>
              <w:rPr>
                <w:rFonts w:ascii="Arial" w:cs="Arial" w:eastAsia="Arial" w:hAnsi="Arial"/>
                <w:sz w:val="14"/>
                <w:szCs w:val="14"/>
                <w:color w:val="0000FF"/>
                <w:w w:val="93"/>
              </w:rPr>
            </w:pPr>
            <w:hyperlink r:id="rId78">
              <w:r>
                <w:rPr>
                  <w:rFonts w:ascii="Arial" w:cs="Arial" w:eastAsia="Arial" w:hAnsi="Arial"/>
                  <w:sz w:val="14"/>
                  <w:szCs w:val="14"/>
                  <w:color w:val="0000FF"/>
                  <w:w w:val="93"/>
                </w:rPr>
                <w:t>Amendment to Commercial Lease, by and between Luna Innovations Incorporated and Canvasback Real Estate &amp; Investments LLC dated March 18, 2008 (incorporated by</w:t>
              </w:r>
            </w:hyperlink>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920" w:type="dxa"/>
            <w:vAlign w:val="bottom"/>
            <w:tcBorders>
              <w:top w:val="single" w:sz="8" w:color="0000FF"/>
              <w:bottom w:val="single" w:sz="8" w:color="0000FF"/>
            </w:tcBorders>
            <w:gridSpan w:val="8"/>
          </w:tcPr>
          <w:p>
            <w:pPr>
              <w:spacing w:after="0" w:line="150" w:lineRule="exact"/>
              <w:rPr>
                <w:rFonts w:ascii="Arial" w:cs="Arial" w:eastAsia="Arial" w:hAnsi="Arial"/>
                <w:sz w:val="14"/>
                <w:szCs w:val="14"/>
                <w:color w:val="0000FF"/>
                <w:w w:val="93"/>
              </w:rPr>
            </w:pPr>
            <w:hyperlink r:id="rId78">
              <w:r>
                <w:rPr>
                  <w:rFonts w:ascii="Arial" w:cs="Arial" w:eastAsia="Arial" w:hAnsi="Arial"/>
                  <w:sz w:val="14"/>
                  <w:szCs w:val="14"/>
                  <w:color w:val="0000FF"/>
                  <w:w w:val="93"/>
                </w:rPr>
                <w:t>reference to Exhibit 10.5 to the Registrant's Quarterly Report on Form 10-Q (File No. 000-52008) filed on May 9, 2008).</w:t>
              </w:r>
            </w:hyperlink>
          </w:p>
        </w:tc>
        <w:tc>
          <w:tcPr>
            <w:tcW w:w="2820" w:type="dxa"/>
            <w:vAlign w:val="bottom"/>
            <w:tcBorders>
              <w:top w:val="single" w:sz="8" w:color="0000FF"/>
            </w:tcBorders>
            <w:gridSpan w:val="12"/>
          </w:tcPr>
          <w:p>
            <w:pPr>
              <w:spacing w:after="0"/>
              <w:rPr>
                <w:sz w:val="13"/>
                <w:szCs w:val="13"/>
                <w:color w:val="auto"/>
              </w:rPr>
            </w:pPr>
          </w:p>
        </w:tc>
        <w:tc>
          <w:tcPr>
            <w:tcW w:w="260" w:type="dxa"/>
            <w:vAlign w:val="bottom"/>
            <w:gridSpan w:val="9"/>
          </w:tcPr>
          <w:p>
            <w:pPr>
              <w:spacing w:after="0"/>
              <w:rPr>
                <w:sz w:val="13"/>
                <w:szCs w:val="13"/>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10.8</w:t>
            </w:r>
          </w:p>
        </w:tc>
        <w:tc>
          <w:tcPr>
            <w:tcW w:w="200" w:type="dxa"/>
            <w:vAlign w:val="bottom"/>
          </w:tcPr>
          <w:p>
            <w:pPr>
              <w:spacing w:after="0"/>
              <w:rPr>
                <w:sz w:val="16"/>
                <w:szCs w:val="16"/>
                <w:color w:val="auto"/>
              </w:rPr>
            </w:pPr>
          </w:p>
        </w:tc>
        <w:tc>
          <w:tcPr>
            <w:tcW w:w="10000" w:type="dxa"/>
            <w:vAlign w:val="bottom"/>
            <w:gridSpan w:val="29"/>
          </w:tcPr>
          <w:p>
            <w:pPr>
              <w:spacing w:after="0"/>
              <w:rPr>
                <w:rFonts w:ascii="Arial" w:cs="Arial" w:eastAsia="Arial" w:hAnsi="Arial"/>
                <w:sz w:val="14"/>
                <w:szCs w:val="14"/>
                <w:color w:val="0000FF"/>
                <w:w w:val="91"/>
              </w:rPr>
            </w:pPr>
            <w:hyperlink r:id="rId79">
              <w:r>
                <w:rPr>
                  <w:rFonts w:ascii="Arial" w:cs="Arial" w:eastAsia="Arial" w:hAnsi="Arial"/>
                  <w:sz w:val="14"/>
                  <w:szCs w:val="14"/>
                  <w:color w:val="0000FF"/>
                  <w:w w:val="91"/>
                </w:rPr>
                <w:t>Securities Purchase and Exchange Agreement, dated January 12, 2010, by and between Luna Innovations Incorporated and Carilion Clinic (incorporated by reference to Exhibit</w:t>
              </w:r>
            </w:hyperlink>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980" w:type="dxa"/>
            <w:vAlign w:val="bottom"/>
            <w:tcBorders>
              <w:top w:val="single" w:sz="8" w:color="0000FF"/>
            </w:tcBorders>
            <w:gridSpan w:val="28"/>
          </w:tcPr>
          <w:p>
            <w:pPr>
              <w:spacing w:after="0" w:line="150" w:lineRule="exact"/>
              <w:rPr>
                <w:rFonts w:ascii="Arial" w:cs="Arial" w:eastAsia="Arial" w:hAnsi="Arial"/>
                <w:sz w:val="14"/>
                <w:szCs w:val="14"/>
                <w:color w:val="0000FF"/>
              </w:rPr>
            </w:pPr>
            <w:hyperlink r:id="rId79">
              <w:r>
                <w:rPr>
                  <w:rFonts w:ascii="Arial" w:cs="Arial" w:eastAsia="Arial" w:hAnsi="Arial"/>
                  <w:sz w:val="14"/>
                  <w:szCs w:val="14"/>
                  <w:color w:val="0000FF"/>
                </w:rPr>
                <w:t>10.</w:t>
              </w:r>
              <w:r>
                <w:rPr>
                  <w:rFonts w:ascii="Arial" w:cs="Arial" w:eastAsia="Arial" w:hAnsi="Arial"/>
                  <w:sz w:val="14"/>
                  <w:szCs w:val="14"/>
                  <w:u w:val="single" w:color="auto"/>
                  <w:color w:val="0000FF"/>
                </w:rPr>
                <w:t>1</w:t>
              </w:r>
              <w:r>
                <w:rPr>
                  <w:rFonts w:ascii="Arial" w:cs="Arial" w:eastAsia="Arial" w:hAnsi="Arial"/>
                  <w:sz w:val="14"/>
                  <w:szCs w:val="14"/>
                  <w:color w:val="0000FF"/>
                </w:rPr>
                <w:t xml:space="preserve"> to the Registrant's Current Report on Form 8-K (File No. 000-52008) filed on January 15, 2010).</w:t>
              </w:r>
            </w:hyperlink>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10.9</w:t>
            </w:r>
          </w:p>
        </w:tc>
        <w:tc>
          <w:tcPr>
            <w:tcW w:w="200" w:type="dxa"/>
            <w:vAlign w:val="bottom"/>
          </w:tcPr>
          <w:p>
            <w:pPr>
              <w:spacing w:after="0"/>
              <w:rPr>
                <w:sz w:val="16"/>
                <w:szCs w:val="16"/>
                <w:color w:val="auto"/>
              </w:rPr>
            </w:pPr>
          </w:p>
        </w:tc>
        <w:tc>
          <w:tcPr>
            <w:tcW w:w="10000" w:type="dxa"/>
            <w:vAlign w:val="bottom"/>
            <w:gridSpan w:val="29"/>
          </w:tcPr>
          <w:p>
            <w:pPr>
              <w:spacing w:after="0"/>
              <w:rPr>
                <w:rFonts w:ascii="Arial" w:cs="Arial" w:eastAsia="Arial" w:hAnsi="Arial"/>
                <w:sz w:val="14"/>
                <w:szCs w:val="14"/>
                <w:color w:val="0000FF"/>
                <w:w w:val="93"/>
              </w:rPr>
            </w:pPr>
            <w:hyperlink r:id="rId80">
              <w:r>
                <w:rPr>
                  <w:rFonts w:ascii="Arial" w:cs="Arial" w:eastAsia="Arial" w:hAnsi="Arial"/>
                  <w:sz w:val="14"/>
                  <w:szCs w:val="14"/>
                  <w:color w:val="0000FF"/>
                  <w:w w:val="93"/>
                </w:rPr>
                <w:t>Amended and Restated Investor Rights Agreement, dated January 13, 2010, by and among Luna Innovations Incorporated, Carilion Clinic, and certain stockholders of Luna</w:t>
              </w:r>
            </w:hyperlink>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360" w:type="dxa"/>
            <w:vAlign w:val="bottom"/>
            <w:tcBorders>
              <w:top w:val="single" w:sz="8" w:color="0000FF"/>
              <w:bottom w:val="single" w:sz="8" w:color="0000FF"/>
            </w:tcBorders>
            <w:gridSpan w:val="14"/>
          </w:tcPr>
          <w:p>
            <w:pPr>
              <w:spacing w:after="0" w:line="150" w:lineRule="exact"/>
              <w:rPr>
                <w:rFonts w:ascii="Arial" w:cs="Arial" w:eastAsia="Arial" w:hAnsi="Arial"/>
                <w:sz w:val="14"/>
                <w:szCs w:val="14"/>
                <w:color w:val="0000FF"/>
                <w:w w:val="92"/>
              </w:rPr>
            </w:pPr>
            <w:hyperlink r:id="rId80">
              <w:r>
                <w:rPr>
                  <w:rFonts w:ascii="Arial" w:cs="Arial" w:eastAsia="Arial" w:hAnsi="Arial"/>
                  <w:sz w:val="14"/>
                  <w:szCs w:val="14"/>
                  <w:color w:val="0000FF"/>
                  <w:w w:val="92"/>
                </w:rPr>
                <w:t>Innovations Incorporated (incorporated by reference to Exhibit 10.4 to the Registrant's Current Report on Form 8-K (File No. 000-52008) filed on January 15, 2010).</w:t>
              </w:r>
            </w:hyperlink>
          </w:p>
        </w:tc>
        <w:tc>
          <w:tcPr>
            <w:tcW w:w="400" w:type="dxa"/>
            <w:vAlign w:val="bottom"/>
            <w:tcBorders>
              <w:top w:val="single" w:sz="8" w:color="0000FF"/>
            </w:tcBorders>
            <w:gridSpan w:val="7"/>
          </w:tcPr>
          <w:p>
            <w:pPr>
              <w:spacing w:after="0"/>
              <w:rPr>
                <w:sz w:val="13"/>
                <w:szCs w:val="13"/>
                <w:color w:val="auto"/>
              </w:rPr>
            </w:pPr>
          </w:p>
        </w:tc>
        <w:tc>
          <w:tcPr>
            <w:tcW w:w="240" w:type="dxa"/>
            <w:vAlign w:val="bottom"/>
            <w:gridSpan w:val="8"/>
          </w:tcPr>
          <w:p>
            <w:pPr>
              <w:spacing w:after="0"/>
              <w:rPr>
                <w:sz w:val="13"/>
                <w:szCs w:val="13"/>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10.10</w:t>
            </w:r>
          </w:p>
        </w:tc>
        <w:tc>
          <w:tcPr>
            <w:tcW w:w="200" w:type="dxa"/>
            <w:vAlign w:val="bottom"/>
          </w:tcPr>
          <w:p>
            <w:pPr>
              <w:spacing w:after="0"/>
              <w:rPr>
                <w:sz w:val="16"/>
                <w:szCs w:val="16"/>
                <w:color w:val="auto"/>
              </w:rPr>
            </w:pPr>
          </w:p>
        </w:tc>
        <w:tc>
          <w:tcPr>
            <w:tcW w:w="9960" w:type="dxa"/>
            <w:vAlign w:val="bottom"/>
            <w:tcBorders>
              <w:bottom w:val="single" w:sz="8" w:color="0000FF"/>
            </w:tcBorders>
            <w:gridSpan w:val="27"/>
          </w:tcPr>
          <w:p>
            <w:pPr>
              <w:spacing w:after="0"/>
              <w:rPr>
                <w:rFonts w:ascii="Arial" w:cs="Arial" w:eastAsia="Arial" w:hAnsi="Arial"/>
                <w:sz w:val="14"/>
                <w:szCs w:val="14"/>
                <w:color w:val="0000FF"/>
                <w:w w:val="92"/>
              </w:rPr>
            </w:pPr>
            <w:hyperlink r:id="rId81">
              <w:r>
                <w:rPr>
                  <w:rFonts w:ascii="Arial" w:cs="Arial" w:eastAsia="Arial" w:hAnsi="Arial"/>
                  <w:sz w:val="14"/>
                  <w:szCs w:val="14"/>
                  <w:color w:val="0000FF"/>
                  <w:w w:val="92"/>
                </w:rPr>
                <w:t>Non-Employee Directors’ Deferred Compensation Plan (incorporated by reference to Exhibit 10.13 to the Registrant's Annual Report on Form 10-K (File No. 000-52008) filed</w:t>
              </w:r>
            </w:hyperlink>
          </w:p>
        </w:tc>
        <w:tc>
          <w:tcPr>
            <w:tcW w:w="40" w:type="dxa"/>
            <w:vAlign w:val="bottom"/>
            <w:gridSpan w:val="2"/>
          </w:tcPr>
          <w:p>
            <w:pPr>
              <w:spacing w:after="0"/>
              <w:rPr>
                <w:sz w:val="16"/>
                <w:szCs w:val="16"/>
                <w:color w:val="auto"/>
              </w:rPr>
            </w:pPr>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0" w:type="dxa"/>
            <w:vAlign w:val="bottom"/>
            <w:gridSpan w:val="29"/>
          </w:tcPr>
          <w:p>
            <w:pPr>
              <w:spacing w:after="0" w:line="150" w:lineRule="exact"/>
              <w:rPr>
                <w:rFonts w:ascii="Arial" w:cs="Arial" w:eastAsia="Arial" w:hAnsi="Arial"/>
                <w:sz w:val="14"/>
                <w:szCs w:val="14"/>
                <w:color w:val="0000FF"/>
              </w:rPr>
            </w:pPr>
            <w:hyperlink r:id="rId81">
              <w:r>
                <w:rPr>
                  <w:rFonts w:ascii="Arial" w:cs="Arial" w:eastAsia="Arial" w:hAnsi="Arial"/>
                  <w:sz w:val="14"/>
                  <w:szCs w:val="14"/>
                  <w:color w:val="0000FF"/>
                </w:rPr>
                <w:t>on March 21, 2018).</w:t>
              </w:r>
            </w:hyperlink>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10.11**</w:t>
            </w:r>
          </w:p>
        </w:tc>
        <w:tc>
          <w:tcPr>
            <w:tcW w:w="200" w:type="dxa"/>
            <w:vAlign w:val="bottom"/>
          </w:tcPr>
          <w:p>
            <w:pPr>
              <w:spacing w:after="0"/>
              <w:rPr>
                <w:sz w:val="16"/>
                <w:szCs w:val="16"/>
                <w:color w:val="auto"/>
              </w:rPr>
            </w:pPr>
          </w:p>
        </w:tc>
        <w:tc>
          <w:tcPr>
            <w:tcW w:w="9940" w:type="dxa"/>
            <w:vAlign w:val="bottom"/>
            <w:tcBorders>
              <w:bottom w:val="single" w:sz="8" w:color="0000FF"/>
            </w:tcBorders>
            <w:gridSpan w:val="26"/>
          </w:tcPr>
          <w:p>
            <w:pPr>
              <w:spacing w:after="0"/>
              <w:rPr>
                <w:rFonts w:ascii="Arial" w:cs="Arial" w:eastAsia="Arial" w:hAnsi="Arial"/>
                <w:sz w:val="14"/>
                <w:szCs w:val="14"/>
                <w:color w:val="0000FF"/>
                <w:w w:val="91"/>
              </w:rPr>
            </w:pPr>
            <w:hyperlink r:id="rId82">
              <w:r>
                <w:rPr>
                  <w:rFonts w:ascii="Arial" w:cs="Arial" w:eastAsia="Arial" w:hAnsi="Arial"/>
                  <w:sz w:val="14"/>
                  <w:szCs w:val="14"/>
                  <w:color w:val="0000FF"/>
                  <w:w w:val="91"/>
                </w:rPr>
                <w:t>License Agreement, effective January 12, 2010, by and among Luna Innovations Incorporated, Luna Technologies, Inc. and Hansen Medical, Inc. (incorporated by reference to</w:t>
              </w:r>
            </w:hyperlink>
          </w:p>
        </w:tc>
        <w:tc>
          <w:tcPr>
            <w:tcW w:w="60" w:type="dxa"/>
            <w:vAlign w:val="bottom"/>
            <w:gridSpan w:val="3"/>
          </w:tcPr>
          <w:p>
            <w:pPr>
              <w:spacing w:after="0"/>
              <w:rPr>
                <w:sz w:val="16"/>
                <w:szCs w:val="16"/>
                <w:color w:val="auto"/>
              </w:rPr>
            </w:pPr>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0" w:type="dxa"/>
            <w:vAlign w:val="bottom"/>
            <w:gridSpan w:val="29"/>
          </w:tcPr>
          <w:p>
            <w:pPr>
              <w:spacing w:after="0" w:line="150" w:lineRule="exact"/>
              <w:rPr>
                <w:rFonts w:ascii="Arial" w:cs="Arial" w:eastAsia="Arial" w:hAnsi="Arial"/>
                <w:sz w:val="14"/>
                <w:szCs w:val="14"/>
                <w:color w:val="0000FF"/>
              </w:rPr>
            </w:pPr>
            <w:hyperlink r:id="rId82">
              <w:r>
                <w:rPr>
                  <w:rFonts w:ascii="Arial" w:cs="Arial" w:eastAsia="Arial" w:hAnsi="Arial"/>
                  <w:sz w:val="14"/>
                  <w:szCs w:val="14"/>
                  <w:color w:val="0000FF"/>
                </w:rPr>
                <w:t>Exhibit 10.6 of the Registrant's Quarterly Report on Form 10-Q (File No. 000-52008) filed on May 17, 2010).</w:t>
              </w:r>
            </w:hyperlink>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2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10.12**</w:t>
            </w:r>
          </w:p>
        </w:tc>
        <w:tc>
          <w:tcPr>
            <w:tcW w:w="200" w:type="dxa"/>
            <w:vAlign w:val="bottom"/>
          </w:tcPr>
          <w:p>
            <w:pPr>
              <w:spacing w:after="0"/>
              <w:rPr>
                <w:sz w:val="16"/>
                <w:szCs w:val="16"/>
                <w:color w:val="auto"/>
              </w:rPr>
            </w:pPr>
          </w:p>
        </w:tc>
        <w:tc>
          <w:tcPr>
            <w:tcW w:w="10000" w:type="dxa"/>
            <w:vAlign w:val="bottom"/>
            <w:tcBorders>
              <w:bottom w:val="single" w:sz="8" w:color="0000FF"/>
            </w:tcBorders>
            <w:gridSpan w:val="29"/>
          </w:tcPr>
          <w:p>
            <w:pPr>
              <w:spacing w:after="0"/>
              <w:rPr>
                <w:rFonts w:ascii="Arial" w:cs="Arial" w:eastAsia="Arial" w:hAnsi="Arial"/>
                <w:sz w:val="14"/>
                <w:szCs w:val="14"/>
                <w:color w:val="0000FF"/>
                <w:w w:val="91"/>
              </w:rPr>
            </w:pPr>
            <w:hyperlink r:id="rId83">
              <w:r>
                <w:rPr>
                  <w:rFonts w:ascii="Arial" w:cs="Arial" w:eastAsia="Arial" w:hAnsi="Arial"/>
                  <w:sz w:val="14"/>
                  <w:szCs w:val="14"/>
                  <w:color w:val="0000FF"/>
                  <w:w w:val="91"/>
                </w:rPr>
                <w:t>License Agreement, effective January 12, 2010, by and among Luna Innovations Incorporated, Luna Technologies, Inc. and Intuitive Surgical, Inc. (incorporated by reference to</w:t>
              </w:r>
            </w:hyperlink>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940" w:type="dxa"/>
            <w:vAlign w:val="bottom"/>
            <w:tcBorders>
              <w:bottom w:val="single" w:sz="8" w:color="0000FF"/>
            </w:tcBorders>
            <w:gridSpan w:val="5"/>
          </w:tcPr>
          <w:p>
            <w:pPr>
              <w:spacing w:after="0" w:line="150" w:lineRule="exact"/>
              <w:rPr>
                <w:rFonts w:ascii="Arial" w:cs="Arial" w:eastAsia="Arial" w:hAnsi="Arial"/>
                <w:sz w:val="14"/>
                <w:szCs w:val="14"/>
                <w:color w:val="0000FF"/>
                <w:w w:val="93"/>
              </w:rPr>
            </w:pPr>
            <w:hyperlink r:id="rId83">
              <w:r>
                <w:rPr>
                  <w:rFonts w:ascii="Arial" w:cs="Arial" w:eastAsia="Arial" w:hAnsi="Arial"/>
                  <w:sz w:val="14"/>
                  <w:szCs w:val="14"/>
                  <w:color w:val="0000FF"/>
                  <w:w w:val="93"/>
                </w:rPr>
                <w:t>Exhibit 10.8 to Registrant's Quarterly Report on Form 10-Q (File No. 000-52008) file on May 17, 2010).</w:t>
              </w:r>
            </w:hyperlink>
          </w:p>
        </w:tc>
        <w:tc>
          <w:tcPr>
            <w:tcW w:w="4060" w:type="dxa"/>
            <w:vAlign w:val="bottom"/>
            <w:gridSpan w:val="24"/>
          </w:tcPr>
          <w:p>
            <w:pPr>
              <w:spacing w:after="0"/>
              <w:rPr>
                <w:sz w:val="13"/>
                <w:szCs w:val="13"/>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10.13</w:t>
            </w:r>
          </w:p>
        </w:tc>
        <w:tc>
          <w:tcPr>
            <w:tcW w:w="200" w:type="dxa"/>
            <w:vAlign w:val="bottom"/>
          </w:tcPr>
          <w:p>
            <w:pPr>
              <w:spacing w:after="0"/>
              <w:rPr>
                <w:sz w:val="16"/>
                <w:szCs w:val="16"/>
                <w:color w:val="auto"/>
              </w:rPr>
            </w:pPr>
          </w:p>
        </w:tc>
        <w:tc>
          <w:tcPr>
            <w:tcW w:w="10000" w:type="dxa"/>
            <w:vAlign w:val="bottom"/>
            <w:gridSpan w:val="29"/>
          </w:tcPr>
          <w:p>
            <w:pPr>
              <w:spacing w:after="0"/>
              <w:rPr>
                <w:rFonts w:ascii="Arial" w:cs="Arial" w:eastAsia="Arial" w:hAnsi="Arial"/>
                <w:sz w:val="14"/>
                <w:szCs w:val="14"/>
                <w:color w:val="0000FF"/>
                <w:w w:val="94"/>
              </w:rPr>
            </w:pPr>
            <w:hyperlink r:id="rId84">
              <w:r>
                <w:rPr>
                  <w:rFonts w:ascii="Arial" w:cs="Arial" w:eastAsia="Arial" w:hAnsi="Arial"/>
                  <w:sz w:val="14"/>
                  <w:szCs w:val="14"/>
                  <w:color w:val="0000FF"/>
                  <w:w w:val="94"/>
                </w:rPr>
                <w:t>Industrial Lease Agreement, dated as of March 21, 2006, by and between Luna Innovations Incorporated and the Economic Development Authority of Montgomery County,</w:t>
              </w:r>
            </w:hyperlink>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20" w:type="dxa"/>
            <w:vAlign w:val="bottom"/>
            <w:gridSpan w:val="3"/>
            <w:shd w:val="clear" w:color="auto" w:fill="0000FF"/>
          </w:tcPr>
          <w:p>
            <w:pPr>
              <w:spacing w:after="0" w:line="20" w:lineRule="exact"/>
              <w:rPr>
                <w:sz w:val="1"/>
                <w:szCs w:val="1"/>
                <w:color w:val="auto"/>
              </w:rPr>
            </w:pPr>
          </w:p>
        </w:tc>
        <w:tc>
          <w:tcPr>
            <w:tcW w:w="1920" w:type="dxa"/>
            <w:vAlign w:val="bottom"/>
            <w:gridSpan w:val="6"/>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0" w:type="dxa"/>
            <w:vAlign w:val="bottom"/>
            <w:gridSpan w:val="29"/>
          </w:tcPr>
          <w:p>
            <w:pPr>
              <w:spacing w:after="0" w:line="150" w:lineRule="exact"/>
              <w:rPr>
                <w:rFonts w:ascii="Arial" w:cs="Arial" w:eastAsia="Arial" w:hAnsi="Arial"/>
                <w:sz w:val="14"/>
                <w:szCs w:val="14"/>
                <w:color w:val="0000FF"/>
                <w:w w:val="91"/>
              </w:rPr>
            </w:pPr>
            <w:hyperlink r:id="rId84">
              <w:r>
                <w:rPr>
                  <w:rFonts w:ascii="Arial" w:cs="Arial" w:eastAsia="Arial" w:hAnsi="Arial"/>
                  <w:sz w:val="14"/>
                  <w:szCs w:val="14"/>
                  <w:color w:val="0000FF"/>
                  <w:w w:val="91"/>
                </w:rPr>
                <w:t>Virginia, as amended by a First Amendment effective as of May 11, 2006, a Second Amendment effective as of July 15, 2009 and a Third Amendment effective as of March 23,</w:t>
              </w:r>
            </w:hyperlink>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80" w:type="dxa"/>
            <w:vAlign w:val="bottom"/>
            <w:tcBorders>
              <w:top w:val="single" w:sz="8" w:color="0000FF"/>
              <w:bottom w:val="single" w:sz="8" w:color="0000FF"/>
            </w:tcBorders>
            <w:gridSpan w:val="11"/>
          </w:tcPr>
          <w:p>
            <w:pPr>
              <w:spacing w:after="0" w:line="150" w:lineRule="exact"/>
              <w:rPr>
                <w:rFonts w:ascii="Arial" w:cs="Arial" w:eastAsia="Arial" w:hAnsi="Arial"/>
                <w:sz w:val="14"/>
                <w:szCs w:val="14"/>
                <w:color w:val="0000FF"/>
                <w:w w:val="92"/>
              </w:rPr>
            </w:pPr>
            <w:hyperlink r:id="rId84">
              <w:r>
                <w:rPr>
                  <w:rFonts w:ascii="Arial" w:cs="Arial" w:eastAsia="Arial" w:hAnsi="Arial"/>
                  <w:sz w:val="14"/>
                  <w:szCs w:val="14"/>
                  <w:color w:val="0000FF"/>
                  <w:w w:val="92"/>
                </w:rPr>
                <w:t>2010 (incorporated by reference to Exhibit 10.14 to Registrant's Quarterly Report on Form 10-Q (File No. 000-52008) filed on May 17, 2010).</w:t>
              </w:r>
            </w:hyperlink>
          </w:p>
        </w:tc>
        <w:tc>
          <w:tcPr>
            <w:tcW w:w="19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10.14</w:t>
            </w:r>
          </w:p>
        </w:tc>
        <w:tc>
          <w:tcPr>
            <w:tcW w:w="200" w:type="dxa"/>
            <w:vAlign w:val="bottom"/>
          </w:tcPr>
          <w:p>
            <w:pPr>
              <w:spacing w:after="0"/>
              <w:rPr>
                <w:sz w:val="16"/>
                <w:szCs w:val="16"/>
                <w:color w:val="auto"/>
              </w:rPr>
            </w:pPr>
          </w:p>
        </w:tc>
        <w:tc>
          <w:tcPr>
            <w:tcW w:w="9880" w:type="dxa"/>
            <w:vAlign w:val="bottom"/>
            <w:tcBorders>
              <w:bottom w:val="single" w:sz="8" w:color="0000FF"/>
            </w:tcBorders>
            <w:gridSpan w:val="24"/>
          </w:tcPr>
          <w:p>
            <w:pPr>
              <w:spacing w:after="0"/>
              <w:rPr>
                <w:rFonts w:ascii="Arial" w:cs="Arial" w:eastAsia="Arial" w:hAnsi="Arial"/>
                <w:sz w:val="14"/>
                <w:szCs w:val="14"/>
                <w:color w:val="0000FF"/>
                <w:w w:val="91"/>
              </w:rPr>
            </w:pPr>
            <w:hyperlink r:id="rId85">
              <w:r>
                <w:rPr>
                  <w:rFonts w:ascii="Arial" w:cs="Arial" w:eastAsia="Arial" w:hAnsi="Arial"/>
                  <w:sz w:val="14"/>
                  <w:szCs w:val="14"/>
                  <w:color w:val="0000FF"/>
                  <w:w w:val="91"/>
                </w:rPr>
                <w:t>Third Amendment to Commercial Lease dated June 21, 2010, by and between Canvasback Real Estate &amp; Investments, LLC and Luna Innovations, Incorporated (incorporated</w:t>
              </w:r>
            </w:hyperlink>
          </w:p>
        </w:tc>
        <w:tc>
          <w:tcPr>
            <w:tcW w:w="120" w:type="dxa"/>
            <w:vAlign w:val="bottom"/>
            <w:gridSpan w:val="5"/>
          </w:tcPr>
          <w:p>
            <w:pPr>
              <w:spacing w:after="0"/>
              <w:rPr>
                <w:sz w:val="16"/>
                <w:szCs w:val="16"/>
                <w:color w:val="auto"/>
              </w:rPr>
            </w:pPr>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0" w:type="dxa"/>
            <w:vAlign w:val="bottom"/>
            <w:gridSpan w:val="29"/>
          </w:tcPr>
          <w:p>
            <w:pPr>
              <w:spacing w:after="0" w:line="150" w:lineRule="exact"/>
              <w:rPr>
                <w:rFonts w:ascii="Arial" w:cs="Arial" w:eastAsia="Arial" w:hAnsi="Arial"/>
                <w:sz w:val="14"/>
                <w:szCs w:val="14"/>
                <w:color w:val="0000FF"/>
              </w:rPr>
            </w:pPr>
            <w:hyperlink r:id="rId85">
              <w:r>
                <w:rPr>
                  <w:rFonts w:ascii="Arial" w:cs="Arial" w:eastAsia="Arial" w:hAnsi="Arial"/>
                  <w:sz w:val="14"/>
                  <w:szCs w:val="14"/>
                  <w:color w:val="0000FF"/>
                </w:rPr>
                <w:t>by reference to Exhibit 10.5 to Registrant's Quarterly Report on Form 10-Q (File No. 000-52008) filed on August 16, 2010).</w:t>
              </w:r>
            </w:hyperlink>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20" w:type="dxa"/>
            <w:vAlign w:val="bottom"/>
            <w:gridSpan w:val="3"/>
            <w:shd w:val="clear" w:color="auto" w:fill="0000FF"/>
          </w:tcPr>
          <w:p>
            <w:pPr>
              <w:spacing w:after="0" w:line="20" w:lineRule="exact"/>
              <w:rPr>
                <w:sz w:val="1"/>
                <w:szCs w:val="1"/>
                <w:color w:val="auto"/>
              </w:rPr>
            </w:pPr>
          </w:p>
        </w:tc>
        <w:tc>
          <w:tcPr>
            <w:tcW w:w="1920" w:type="dxa"/>
            <w:vAlign w:val="bottom"/>
            <w:gridSpan w:val="6"/>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10.15</w:t>
            </w:r>
          </w:p>
        </w:tc>
        <w:tc>
          <w:tcPr>
            <w:tcW w:w="200" w:type="dxa"/>
            <w:vAlign w:val="bottom"/>
          </w:tcPr>
          <w:p>
            <w:pPr>
              <w:spacing w:after="0"/>
              <w:rPr>
                <w:sz w:val="16"/>
                <w:szCs w:val="16"/>
                <w:color w:val="auto"/>
              </w:rPr>
            </w:pPr>
          </w:p>
        </w:tc>
        <w:tc>
          <w:tcPr>
            <w:tcW w:w="10000" w:type="dxa"/>
            <w:vAlign w:val="bottom"/>
            <w:gridSpan w:val="29"/>
          </w:tcPr>
          <w:p>
            <w:pPr>
              <w:spacing w:after="0"/>
              <w:rPr>
                <w:rFonts w:ascii="Arial" w:cs="Arial" w:eastAsia="Arial" w:hAnsi="Arial"/>
                <w:sz w:val="14"/>
                <w:szCs w:val="14"/>
                <w:color w:val="0000FF"/>
                <w:w w:val="96"/>
              </w:rPr>
            </w:pPr>
            <w:hyperlink r:id="rId86">
              <w:r>
                <w:rPr>
                  <w:rFonts w:ascii="Arial" w:cs="Arial" w:eastAsia="Arial" w:hAnsi="Arial"/>
                  <w:sz w:val="14"/>
                  <w:szCs w:val="14"/>
                  <w:color w:val="0000FF"/>
                  <w:w w:val="96"/>
                </w:rPr>
                <w:t>Fourth Amendment to Industrial Lease Agreement, dated as of March 1, 2011, by and between The Economic Development Authority of Montgomery County and Luna</w:t>
              </w:r>
            </w:hyperlink>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60" w:type="dxa"/>
            <w:vAlign w:val="bottom"/>
            <w:tcBorders>
              <w:top w:val="single" w:sz="8" w:color="0000FF"/>
            </w:tcBorders>
            <w:gridSpan w:val="18"/>
          </w:tcPr>
          <w:p>
            <w:pPr>
              <w:spacing w:after="0" w:line="150" w:lineRule="exact"/>
              <w:rPr>
                <w:rFonts w:ascii="Arial" w:cs="Arial" w:eastAsia="Arial" w:hAnsi="Arial"/>
                <w:sz w:val="14"/>
                <w:szCs w:val="14"/>
                <w:color w:val="0000FF"/>
                <w:w w:val="96"/>
              </w:rPr>
            </w:pPr>
            <w:hyperlink r:id="rId86">
              <w:r>
                <w:rPr>
                  <w:rFonts w:ascii="Arial" w:cs="Arial" w:eastAsia="Arial" w:hAnsi="Arial"/>
                  <w:sz w:val="14"/>
                  <w:szCs w:val="14"/>
                  <w:color w:val="0000FF"/>
                  <w:w w:val="96"/>
                </w:rPr>
                <w:t>Innovations Incorporated (incorporated by reference to Exhibit 10.3 to Registrant's Quarterly Report on Form 10-Q (File No. 000-52008) filed on May 16, 2011).</w:t>
              </w:r>
            </w:hyperlink>
          </w:p>
        </w:tc>
        <w:tc>
          <w:tcPr>
            <w:tcW w:w="440" w:type="dxa"/>
            <w:vAlign w:val="bottom"/>
            <w:gridSpan w:val="11"/>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20" w:type="dxa"/>
            <w:vAlign w:val="bottom"/>
            <w:gridSpan w:val="3"/>
            <w:shd w:val="clear" w:color="auto" w:fill="0000FF"/>
          </w:tcPr>
          <w:p>
            <w:pPr>
              <w:spacing w:after="0" w:line="20" w:lineRule="exact"/>
              <w:rPr>
                <w:sz w:val="1"/>
                <w:szCs w:val="1"/>
                <w:color w:val="auto"/>
              </w:rPr>
            </w:pPr>
          </w:p>
        </w:tc>
        <w:tc>
          <w:tcPr>
            <w:tcW w:w="2860" w:type="dxa"/>
            <w:vAlign w:val="bottom"/>
            <w:gridSpan w:val="7"/>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10.16</w:t>
            </w:r>
          </w:p>
        </w:tc>
        <w:tc>
          <w:tcPr>
            <w:tcW w:w="200" w:type="dxa"/>
            <w:vAlign w:val="bottom"/>
          </w:tcPr>
          <w:p>
            <w:pPr>
              <w:spacing w:after="0"/>
              <w:rPr>
                <w:sz w:val="16"/>
                <w:szCs w:val="16"/>
                <w:color w:val="auto"/>
              </w:rPr>
            </w:pPr>
          </w:p>
        </w:tc>
        <w:tc>
          <w:tcPr>
            <w:tcW w:w="10000" w:type="dxa"/>
            <w:vAlign w:val="bottom"/>
            <w:gridSpan w:val="29"/>
          </w:tcPr>
          <w:p>
            <w:pPr>
              <w:spacing w:after="0"/>
              <w:rPr>
                <w:rFonts w:ascii="Arial" w:cs="Arial" w:eastAsia="Arial" w:hAnsi="Arial"/>
                <w:sz w:val="14"/>
                <w:szCs w:val="14"/>
                <w:color w:val="0000FF"/>
                <w:w w:val="95"/>
              </w:rPr>
            </w:pPr>
            <w:hyperlink r:id="rId87">
              <w:r>
                <w:rPr>
                  <w:rFonts w:ascii="Arial" w:cs="Arial" w:eastAsia="Arial" w:hAnsi="Arial"/>
                  <w:sz w:val="14"/>
                  <w:szCs w:val="14"/>
                  <w:color w:val="0000FF"/>
                  <w:w w:val="95"/>
                </w:rPr>
                <w:t>Fifth Amendment to Industrial Lease Agreement, dated as of November 1, 2011, by and between The Economic Development Authority of Montgomery County and Luna</w:t>
              </w:r>
            </w:hyperlink>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15"/>
          </w:tcPr>
          <w:p>
            <w:pPr>
              <w:spacing w:after="0" w:line="150" w:lineRule="exact"/>
              <w:rPr>
                <w:rFonts w:ascii="Arial" w:cs="Arial" w:eastAsia="Arial" w:hAnsi="Arial"/>
                <w:sz w:val="14"/>
                <w:szCs w:val="14"/>
                <w:color w:val="0000FF"/>
                <w:w w:val="92"/>
              </w:rPr>
            </w:pPr>
            <w:hyperlink r:id="rId87">
              <w:r>
                <w:rPr>
                  <w:rFonts w:ascii="Arial" w:cs="Arial" w:eastAsia="Arial" w:hAnsi="Arial"/>
                  <w:sz w:val="14"/>
                  <w:szCs w:val="14"/>
                  <w:color w:val="0000FF"/>
                  <w:w w:val="92"/>
                </w:rPr>
                <w:t>Innovations Incorporated (incorporated by reference to Exhibit 10.39 to the Registrant's Annual Report on Form 10-K (File No. 000-52008) filed on March 29, 2012).</w:t>
              </w:r>
            </w:hyperlink>
          </w:p>
        </w:tc>
        <w:tc>
          <w:tcPr>
            <w:tcW w:w="260" w:type="dxa"/>
            <w:vAlign w:val="bottom"/>
            <w:tcBorders>
              <w:top w:val="single" w:sz="8" w:color="0000FF"/>
            </w:tcBorders>
            <w:gridSpan w:val="4"/>
          </w:tcPr>
          <w:p>
            <w:pPr>
              <w:spacing w:after="0"/>
              <w:rPr>
                <w:sz w:val="13"/>
                <w:szCs w:val="13"/>
                <w:color w:val="auto"/>
              </w:rPr>
            </w:pPr>
          </w:p>
        </w:tc>
        <w:tc>
          <w:tcPr>
            <w:tcW w:w="320" w:type="dxa"/>
            <w:vAlign w:val="bottom"/>
            <w:gridSpan w:val="10"/>
          </w:tcPr>
          <w:p>
            <w:pPr>
              <w:spacing w:after="0"/>
              <w:rPr>
                <w:sz w:val="13"/>
                <w:szCs w:val="13"/>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10.17</w:t>
            </w:r>
          </w:p>
        </w:tc>
        <w:tc>
          <w:tcPr>
            <w:tcW w:w="200" w:type="dxa"/>
            <w:vAlign w:val="bottom"/>
          </w:tcPr>
          <w:p>
            <w:pPr>
              <w:spacing w:after="0"/>
              <w:rPr>
                <w:sz w:val="16"/>
                <w:szCs w:val="16"/>
                <w:color w:val="auto"/>
              </w:rPr>
            </w:pPr>
          </w:p>
        </w:tc>
        <w:tc>
          <w:tcPr>
            <w:tcW w:w="10000" w:type="dxa"/>
            <w:vAlign w:val="bottom"/>
            <w:gridSpan w:val="29"/>
          </w:tcPr>
          <w:p>
            <w:pPr>
              <w:spacing w:after="0"/>
              <w:rPr>
                <w:rFonts w:ascii="Arial" w:cs="Arial" w:eastAsia="Arial" w:hAnsi="Arial"/>
                <w:sz w:val="14"/>
                <w:szCs w:val="14"/>
                <w:color w:val="0000FF"/>
                <w:w w:val="96"/>
              </w:rPr>
            </w:pPr>
            <w:hyperlink r:id="rId88">
              <w:r>
                <w:rPr>
                  <w:rFonts w:ascii="Arial" w:cs="Arial" w:eastAsia="Arial" w:hAnsi="Arial"/>
                  <w:sz w:val="14"/>
                  <w:szCs w:val="14"/>
                  <w:color w:val="0000FF"/>
                  <w:w w:val="96"/>
                </w:rPr>
                <w:t>Employment Agreement dated December 5, 2017, by and between Scott A. Graeff and Luna Innovations Incorporated (incorporated by reference to Exhibit 10.25 to the</w:t>
              </w:r>
            </w:hyperlink>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3"/>
          </w:tcPr>
          <w:p>
            <w:pPr>
              <w:spacing w:after="0" w:line="150" w:lineRule="exact"/>
              <w:rPr>
                <w:rFonts w:ascii="Arial" w:cs="Arial" w:eastAsia="Arial" w:hAnsi="Arial"/>
                <w:sz w:val="14"/>
                <w:szCs w:val="14"/>
                <w:color w:val="0000FF"/>
                <w:w w:val="93"/>
              </w:rPr>
            </w:pPr>
            <w:hyperlink r:id="rId88">
              <w:r>
                <w:rPr>
                  <w:rFonts w:ascii="Arial" w:cs="Arial" w:eastAsia="Arial" w:hAnsi="Arial"/>
                  <w:sz w:val="14"/>
                  <w:szCs w:val="14"/>
                  <w:color w:val="0000FF"/>
                  <w:w w:val="93"/>
                </w:rPr>
                <w:t>Registrant's Annual Report on Form 10-K (File No. 000-52008) filed on March 21, 2018).</w:t>
              </w:r>
            </w:hyperlink>
          </w:p>
        </w:tc>
        <w:tc>
          <w:tcPr>
            <w:tcW w:w="4420" w:type="dxa"/>
            <w:vAlign w:val="bottom"/>
            <w:tcBorders>
              <w:top w:val="single" w:sz="8" w:color="0000FF"/>
            </w:tcBorders>
            <w:gridSpan w:val="14"/>
          </w:tcPr>
          <w:p>
            <w:pPr>
              <w:spacing w:after="0"/>
              <w:rPr>
                <w:sz w:val="13"/>
                <w:szCs w:val="13"/>
                <w:color w:val="auto"/>
              </w:rPr>
            </w:pPr>
          </w:p>
        </w:tc>
        <w:tc>
          <w:tcPr>
            <w:tcW w:w="460" w:type="dxa"/>
            <w:vAlign w:val="bottom"/>
            <w:gridSpan w:val="12"/>
          </w:tcPr>
          <w:p>
            <w:pPr>
              <w:spacing w:after="0"/>
              <w:rPr>
                <w:sz w:val="13"/>
                <w:szCs w:val="13"/>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10.18</w:t>
            </w:r>
          </w:p>
        </w:tc>
        <w:tc>
          <w:tcPr>
            <w:tcW w:w="200" w:type="dxa"/>
            <w:vAlign w:val="bottom"/>
          </w:tcPr>
          <w:p>
            <w:pPr>
              <w:spacing w:after="0"/>
              <w:rPr>
                <w:sz w:val="16"/>
                <w:szCs w:val="16"/>
                <w:color w:val="auto"/>
              </w:rPr>
            </w:pPr>
          </w:p>
        </w:tc>
        <w:tc>
          <w:tcPr>
            <w:tcW w:w="9500" w:type="dxa"/>
            <w:vAlign w:val="bottom"/>
            <w:tcBorders>
              <w:bottom w:val="single" w:sz="8" w:color="0000FF"/>
            </w:tcBorders>
            <w:gridSpan w:val="16"/>
          </w:tcPr>
          <w:p>
            <w:pPr>
              <w:spacing w:after="0"/>
              <w:rPr>
                <w:rFonts w:ascii="Arial" w:cs="Arial" w:eastAsia="Arial" w:hAnsi="Arial"/>
                <w:sz w:val="14"/>
                <w:szCs w:val="14"/>
                <w:color w:val="0000FF"/>
                <w:w w:val="91"/>
              </w:rPr>
            </w:pPr>
            <w:hyperlink r:id="rId89">
              <w:r>
                <w:rPr>
                  <w:rFonts w:ascii="Arial" w:cs="Arial" w:eastAsia="Arial" w:hAnsi="Arial"/>
                  <w:sz w:val="14"/>
                  <w:szCs w:val="14"/>
                  <w:color w:val="0000FF"/>
                  <w:w w:val="91"/>
                </w:rPr>
                <w:t>Fourth Amendment to Commercial Lease, dated as of April 15, 2012, by and between Canvasback Real Estate &amp; Investments, LLC and Luna Innovations Incorporated</w:t>
              </w:r>
            </w:hyperlink>
          </w:p>
        </w:tc>
        <w:tc>
          <w:tcPr>
            <w:tcW w:w="500" w:type="dxa"/>
            <w:vAlign w:val="bottom"/>
            <w:gridSpan w:val="13"/>
          </w:tcPr>
          <w:p>
            <w:pPr>
              <w:spacing w:after="0"/>
              <w:rPr>
                <w:sz w:val="16"/>
                <w:szCs w:val="16"/>
                <w:color w:val="auto"/>
              </w:rPr>
            </w:pPr>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980" w:type="dxa"/>
            <w:vAlign w:val="bottom"/>
            <w:tcBorders>
              <w:bottom w:val="single" w:sz="8" w:color="0000FF"/>
            </w:tcBorders>
            <w:gridSpan w:val="10"/>
          </w:tcPr>
          <w:p>
            <w:pPr>
              <w:spacing w:after="0" w:line="150" w:lineRule="exact"/>
              <w:rPr>
                <w:rFonts w:ascii="Arial" w:cs="Arial" w:eastAsia="Arial" w:hAnsi="Arial"/>
                <w:sz w:val="14"/>
                <w:szCs w:val="14"/>
                <w:color w:val="0000FF"/>
                <w:w w:val="92"/>
              </w:rPr>
            </w:pPr>
            <w:hyperlink r:id="rId89">
              <w:r>
                <w:rPr>
                  <w:rFonts w:ascii="Arial" w:cs="Arial" w:eastAsia="Arial" w:hAnsi="Arial"/>
                  <w:sz w:val="14"/>
                  <w:szCs w:val="14"/>
                  <w:color w:val="0000FF"/>
                  <w:w w:val="92"/>
                </w:rPr>
                <w:t>(incorporated by reference to Exhibit 10.3 to the Registrant's Quarterly Report on Form 10-Q (File No. 000-52008) filed on August 9, 2012).</w:t>
              </w:r>
            </w:hyperlink>
          </w:p>
        </w:tc>
        <w:tc>
          <w:tcPr>
            <w:tcW w:w="2020" w:type="dxa"/>
            <w:vAlign w:val="bottom"/>
            <w:gridSpan w:val="19"/>
          </w:tcPr>
          <w:p>
            <w:pPr>
              <w:spacing w:after="0"/>
              <w:rPr>
                <w:sz w:val="13"/>
                <w:szCs w:val="13"/>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10.19**</w:t>
            </w:r>
          </w:p>
        </w:tc>
        <w:tc>
          <w:tcPr>
            <w:tcW w:w="200" w:type="dxa"/>
            <w:vAlign w:val="bottom"/>
          </w:tcPr>
          <w:p>
            <w:pPr>
              <w:spacing w:after="0"/>
              <w:rPr>
                <w:sz w:val="16"/>
                <w:szCs w:val="16"/>
                <w:color w:val="auto"/>
              </w:rPr>
            </w:pPr>
          </w:p>
        </w:tc>
        <w:tc>
          <w:tcPr>
            <w:tcW w:w="10000" w:type="dxa"/>
            <w:vAlign w:val="bottom"/>
            <w:tcBorders>
              <w:bottom w:val="single" w:sz="8" w:color="0000FF"/>
            </w:tcBorders>
            <w:gridSpan w:val="29"/>
          </w:tcPr>
          <w:p>
            <w:pPr>
              <w:spacing w:after="0"/>
              <w:rPr>
                <w:rFonts w:ascii="Arial" w:cs="Arial" w:eastAsia="Arial" w:hAnsi="Arial"/>
                <w:sz w:val="14"/>
                <w:szCs w:val="14"/>
                <w:color w:val="0000FF"/>
                <w:w w:val="92"/>
              </w:rPr>
            </w:pPr>
            <w:hyperlink r:id="rId90">
              <w:r>
                <w:rPr>
                  <w:rFonts w:ascii="Arial" w:cs="Arial" w:eastAsia="Arial" w:hAnsi="Arial"/>
                  <w:sz w:val="14"/>
                  <w:szCs w:val="14"/>
                  <w:color w:val="0000FF"/>
                  <w:w w:val="92"/>
                </w:rPr>
                <w:t>Cross-License Agreement by and among Luna Innovations Incorporated and Luna Technologies, Inc. and Intuitive Surgical Operations, Inc. and Intuitive Surgical International,</w:t>
              </w:r>
            </w:hyperlink>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0" w:type="dxa"/>
            <w:vAlign w:val="bottom"/>
            <w:gridSpan w:val="29"/>
          </w:tcPr>
          <w:p>
            <w:pPr>
              <w:spacing w:after="0" w:line="150" w:lineRule="exact"/>
              <w:rPr>
                <w:rFonts w:ascii="Arial" w:cs="Arial" w:eastAsia="Arial" w:hAnsi="Arial"/>
                <w:sz w:val="14"/>
                <w:szCs w:val="14"/>
                <w:color w:val="0000FF"/>
                <w:w w:val="93"/>
              </w:rPr>
            </w:pPr>
            <w:hyperlink r:id="rId90">
              <w:r>
                <w:rPr>
                  <w:rFonts w:ascii="Arial" w:cs="Arial" w:eastAsia="Arial" w:hAnsi="Arial"/>
                  <w:sz w:val="14"/>
                  <w:szCs w:val="14"/>
                  <w:color w:val="0000FF"/>
                  <w:w w:val="93"/>
                </w:rPr>
                <w:t>Ltd., dated as of January 17, 2014 (incorporated by reference to Exhibit 10.2 to the Registrant's Quarterly Report on Form 10-Q (File No. 000-52008) filed on May 13, 2014).</w:t>
              </w:r>
            </w:hyperlink>
          </w:p>
        </w:tc>
      </w:tr>
      <w:tr>
        <w:trPr>
          <w:trHeight w:val="372"/>
        </w:trPr>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80" w:type="dxa"/>
            <w:vAlign w:val="bottom"/>
            <w:tcBorders>
              <w:top w:val="single" w:sz="8" w:color="0000FF"/>
            </w:tcBorders>
            <w:gridSpan w:val="2"/>
          </w:tcPr>
          <w:p>
            <w:pPr>
              <w:ind w:left="4320"/>
              <w:spacing w:after="0"/>
              <w:rPr>
                <w:sz w:val="20"/>
                <w:szCs w:val="20"/>
                <w:color w:val="auto"/>
              </w:rPr>
            </w:pPr>
            <w:r>
              <w:rPr>
                <w:rFonts w:ascii="Arial" w:cs="Arial" w:eastAsia="Arial" w:hAnsi="Arial"/>
                <w:sz w:val="14"/>
                <w:szCs w:val="14"/>
                <w:color w:val="auto"/>
              </w:rPr>
              <w:t>80</w:t>
            </w:r>
          </w:p>
        </w:tc>
        <w:tc>
          <w:tcPr>
            <w:tcW w:w="14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60"/>
          </w:cols>
          <w:pgMar w:left="300" w:top="116" w:right="3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47"/>
        </w:trPr>
        <w:tc>
          <w:tcPr>
            <w:tcW w:w="1060" w:type="dxa"/>
            <w:vAlign w:val="bottom"/>
            <w:tcBorders>
              <w:top w:val="single" w:sz="8" w:color="0000EE"/>
            </w:tcBorders>
          </w:tcPr>
          <w:p>
            <w:pPr>
              <w:ind w:left="20"/>
              <w:spacing w:after="0"/>
              <w:rPr>
                <w:sz w:val="20"/>
                <w:szCs w:val="20"/>
                <w:color w:val="auto"/>
              </w:rPr>
            </w:pPr>
            <w:r>
              <w:rPr>
                <w:rFonts w:ascii="Arial" w:cs="Arial" w:eastAsia="Arial" w:hAnsi="Arial"/>
                <w:sz w:val="14"/>
                <w:szCs w:val="14"/>
                <w:color w:val="auto"/>
              </w:rPr>
              <w:t>10.20</w:t>
            </w:r>
          </w:p>
        </w:tc>
        <w:tc>
          <w:tcPr>
            <w:tcW w:w="200" w:type="dxa"/>
            <w:vAlign w:val="bottom"/>
          </w:tcPr>
          <w:p>
            <w:pPr>
              <w:spacing w:after="0"/>
              <w:rPr>
                <w:sz w:val="24"/>
                <w:szCs w:val="24"/>
                <w:color w:val="auto"/>
              </w:rPr>
            </w:pPr>
          </w:p>
        </w:tc>
        <w:tc>
          <w:tcPr>
            <w:tcW w:w="9980" w:type="dxa"/>
            <w:vAlign w:val="bottom"/>
            <w:gridSpan w:val="25"/>
          </w:tcPr>
          <w:p>
            <w:pPr>
              <w:spacing w:after="0"/>
              <w:rPr>
                <w:rFonts w:ascii="Arial" w:cs="Arial" w:eastAsia="Arial" w:hAnsi="Arial"/>
                <w:sz w:val="14"/>
                <w:szCs w:val="14"/>
                <w:color w:val="0000FF"/>
                <w:w w:val="94"/>
              </w:rPr>
            </w:pPr>
            <w:hyperlink r:id="rId91">
              <w:r>
                <w:rPr>
                  <w:rFonts w:ascii="Arial" w:cs="Arial" w:eastAsia="Arial" w:hAnsi="Arial"/>
                  <w:sz w:val="14"/>
                  <w:szCs w:val="14"/>
                  <w:color w:val="0000FF"/>
                  <w:w w:val="94"/>
                </w:rPr>
                <w:t>Sixth Amendment to Industrial Lease Agreement by and between the Economic Development Authority of Montgomery County, Virginia and Luna Innovations Incorporated</w:t>
              </w:r>
            </w:hyperlink>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40" w:type="dxa"/>
            <w:vAlign w:val="bottom"/>
            <w:tcBorders>
              <w:top w:val="single" w:sz="8" w:color="0000FF"/>
            </w:tcBorders>
            <w:gridSpan w:val="22"/>
          </w:tcPr>
          <w:p>
            <w:pPr>
              <w:spacing w:after="0" w:line="150" w:lineRule="exact"/>
              <w:rPr>
                <w:rFonts w:ascii="Arial" w:cs="Arial" w:eastAsia="Arial" w:hAnsi="Arial"/>
                <w:sz w:val="14"/>
                <w:szCs w:val="14"/>
                <w:color w:val="0000FF"/>
                <w:w w:val="98"/>
              </w:rPr>
            </w:pPr>
            <w:hyperlink r:id="rId91">
              <w:r>
                <w:rPr>
                  <w:rFonts w:ascii="Arial" w:cs="Arial" w:eastAsia="Arial" w:hAnsi="Arial"/>
                  <w:sz w:val="14"/>
                  <w:szCs w:val="14"/>
                  <w:color w:val="0000FF"/>
                  <w:w w:val="98"/>
                </w:rPr>
                <w:t>dated October 1, 2014 (incorporated by reference to Exhibit 10.47 to the Registrant's Annual Report on Form 10-K (File No. 000-52008) filed on March 16, 2015).</w:t>
              </w:r>
            </w:hyperlink>
          </w:p>
        </w:tc>
        <w:tc>
          <w:tcPr>
            <w:tcW w:w="140" w:type="dxa"/>
            <w:vAlign w:val="bottom"/>
            <w:gridSpan w:val="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10.21</w:t>
            </w:r>
          </w:p>
        </w:tc>
        <w:tc>
          <w:tcPr>
            <w:tcW w:w="200" w:type="dxa"/>
            <w:vAlign w:val="bottom"/>
          </w:tcPr>
          <w:p>
            <w:pPr>
              <w:spacing w:after="0"/>
              <w:rPr>
                <w:sz w:val="16"/>
                <w:szCs w:val="16"/>
                <w:color w:val="auto"/>
              </w:rPr>
            </w:pPr>
          </w:p>
        </w:tc>
        <w:tc>
          <w:tcPr>
            <w:tcW w:w="9980" w:type="dxa"/>
            <w:vAlign w:val="bottom"/>
            <w:gridSpan w:val="25"/>
          </w:tcPr>
          <w:p>
            <w:pPr>
              <w:spacing w:after="0"/>
              <w:rPr>
                <w:rFonts w:ascii="Arial" w:cs="Arial" w:eastAsia="Arial" w:hAnsi="Arial"/>
                <w:sz w:val="14"/>
                <w:szCs w:val="14"/>
                <w:color w:val="0000FF"/>
                <w:w w:val="92"/>
              </w:rPr>
            </w:pPr>
            <w:hyperlink r:id="rId92">
              <w:r>
                <w:rPr>
                  <w:rFonts w:ascii="Arial" w:cs="Arial" w:eastAsia="Arial" w:hAnsi="Arial"/>
                  <w:sz w:val="14"/>
                  <w:szCs w:val="14"/>
                  <w:color w:val="0000FF"/>
                  <w:w w:val="92"/>
                </w:rPr>
                <w:t>Industrial Lease Agreement by and between The Economic Development Authority of Montgomery County, Virginia and Luna Innovations Incorporated dated October 1, 2014</w:t>
              </w:r>
            </w:hyperlink>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960" w:type="dxa"/>
            <w:vAlign w:val="bottom"/>
            <w:tcBorders>
              <w:top w:val="single" w:sz="8" w:color="0000FF"/>
              <w:bottom w:val="single" w:sz="8" w:color="0000FF"/>
            </w:tcBorders>
            <w:gridSpan w:val="12"/>
          </w:tcPr>
          <w:p>
            <w:pPr>
              <w:spacing w:after="0" w:line="150" w:lineRule="exact"/>
              <w:rPr>
                <w:rFonts w:ascii="Arial" w:cs="Arial" w:eastAsia="Arial" w:hAnsi="Arial"/>
                <w:sz w:val="14"/>
                <w:szCs w:val="14"/>
                <w:color w:val="0000FF"/>
                <w:w w:val="92"/>
              </w:rPr>
            </w:pPr>
            <w:hyperlink r:id="rId92">
              <w:r>
                <w:rPr>
                  <w:rFonts w:ascii="Arial" w:cs="Arial" w:eastAsia="Arial" w:hAnsi="Arial"/>
                  <w:sz w:val="14"/>
                  <w:szCs w:val="14"/>
                  <w:color w:val="0000FF"/>
                  <w:w w:val="92"/>
                </w:rPr>
                <w:t>(incorporated by reference to Exhibit 10.48 to the Registrant's Annual Report on Form 10-K (File No. 000-52008) filed on March 16, 2015).</w:t>
              </w:r>
            </w:hyperlink>
          </w:p>
        </w:tc>
        <w:tc>
          <w:tcPr>
            <w:tcW w:w="200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10.22</w:t>
            </w:r>
          </w:p>
        </w:tc>
        <w:tc>
          <w:tcPr>
            <w:tcW w:w="200" w:type="dxa"/>
            <w:vAlign w:val="bottom"/>
          </w:tcPr>
          <w:p>
            <w:pPr>
              <w:spacing w:after="0"/>
              <w:rPr>
                <w:sz w:val="16"/>
                <w:szCs w:val="16"/>
                <w:color w:val="auto"/>
              </w:rPr>
            </w:pPr>
          </w:p>
        </w:tc>
        <w:tc>
          <w:tcPr>
            <w:tcW w:w="9980" w:type="dxa"/>
            <w:vAlign w:val="bottom"/>
            <w:gridSpan w:val="25"/>
          </w:tcPr>
          <w:p>
            <w:pPr>
              <w:spacing w:after="0"/>
              <w:rPr>
                <w:rFonts w:ascii="Arial" w:cs="Arial" w:eastAsia="Arial" w:hAnsi="Arial"/>
                <w:sz w:val="14"/>
                <w:szCs w:val="14"/>
                <w:color w:val="0000FF"/>
                <w:w w:val="92"/>
              </w:rPr>
            </w:pPr>
            <w:hyperlink r:id="rId93">
              <w:r>
                <w:rPr>
                  <w:rFonts w:ascii="Arial" w:cs="Arial" w:eastAsia="Arial" w:hAnsi="Arial"/>
                  <w:sz w:val="14"/>
                  <w:szCs w:val="14"/>
                  <w:color w:val="0000FF"/>
                  <w:w w:val="92"/>
                </w:rPr>
                <w:t>Lease Agreement by and between SBA Tenant, LLC and Luna Innovations Incorporated dated November 2014 (incorporated by reference to Exhibit 10.49 to the Registrant's</w:t>
              </w:r>
            </w:hyperlink>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40" w:type="dxa"/>
            <w:vAlign w:val="bottom"/>
            <w:tcBorders>
              <w:top w:val="single" w:sz="8" w:color="0000FF"/>
            </w:tcBorders>
            <w:gridSpan w:val="22"/>
          </w:tcPr>
          <w:p>
            <w:pPr>
              <w:spacing w:after="0" w:line="150" w:lineRule="exact"/>
              <w:rPr>
                <w:rFonts w:ascii="Arial" w:cs="Arial" w:eastAsia="Arial" w:hAnsi="Arial"/>
                <w:sz w:val="14"/>
                <w:szCs w:val="14"/>
                <w:color w:val="0000FF"/>
              </w:rPr>
            </w:pPr>
            <w:hyperlink r:id="rId93">
              <w:r>
                <w:rPr>
                  <w:rFonts w:ascii="Arial" w:cs="Arial" w:eastAsia="Arial" w:hAnsi="Arial"/>
                  <w:sz w:val="14"/>
                  <w:szCs w:val="14"/>
                  <w:color w:val="0000FF"/>
                </w:rPr>
                <w:t>Annual Report on Form 10-K (File No. 000-52008) filed March 16, 2015).</w:t>
              </w:r>
            </w:hyperlink>
          </w:p>
        </w:tc>
        <w:tc>
          <w:tcPr>
            <w:tcW w:w="140" w:type="dxa"/>
            <w:vAlign w:val="bottom"/>
            <w:gridSpan w:val="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10.23</w:t>
            </w:r>
          </w:p>
        </w:tc>
        <w:tc>
          <w:tcPr>
            <w:tcW w:w="200" w:type="dxa"/>
            <w:vAlign w:val="bottom"/>
          </w:tcPr>
          <w:p>
            <w:pPr>
              <w:spacing w:after="0"/>
              <w:rPr>
                <w:sz w:val="16"/>
                <w:szCs w:val="16"/>
                <w:color w:val="auto"/>
              </w:rPr>
            </w:pPr>
          </w:p>
        </w:tc>
        <w:tc>
          <w:tcPr>
            <w:tcW w:w="9980" w:type="dxa"/>
            <w:vAlign w:val="bottom"/>
            <w:gridSpan w:val="25"/>
          </w:tcPr>
          <w:p>
            <w:pPr>
              <w:spacing w:after="0"/>
              <w:rPr>
                <w:rFonts w:ascii="Arial" w:cs="Arial" w:eastAsia="Arial" w:hAnsi="Arial"/>
                <w:sz w:val="14"/>
                <w:szCs w:val="14"/>
                <w:color w:val="0000FF"/>
                <w:w w:val="94"/>
              </w:rPr>
            </w:pPr>
            <w:hyperlink r:id="rId94">
              <w:r>
                <w:rPr>
                  <w:rFonts w:ascii="Arial" w:cs="Arial" w:eastAsia="Arial" w:hAnsi="Arial"/>
                  <w:sz w:val="14"/>
                  <w:szCs w:val="14"/>
                  <w:color w:val="0000FF"/>
                  <w:w w:val="94"/>
                </w:rPr>
                <w:t>First Amendment to Industrial Lease Agreement by and between the Economic Development Authority of Montgomery County, Virginia and Luna Innovation Incorporated,</w:t>
              </w:r>
            </w:hyperlink>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780" w:type="dxa"/>
            <w:vAlign w:val="bottom"/>
            <w:tcBorders>
              <w:top w:val="single" w:sz="8" w:color="0000FF"/>
            </w:tcBorders>
            <w:gridSpan w:val="20"/>
          </w:tcPr>
          <w:p>
            <w:pPr>
              <w:spacing w:after="0" w:line="150" w:lineRule="exact"/>
              <w:rPr>
                <w:rFonts w:ascii="Arial" w:cs="Arial" w:eastAsia="Arial" w:hAnsi="Arial"/>
                <w:sz w:val="14"/>
                <w:szCs w:val="14"/>
                <w:color w:val="0000FF"/>
                <w:w w:val="97"/>
              </w:rPr>
            </w:pPr>
            <w:hyperlink r:id="rId94">
              <w:r>
                <w:rPr>
                  <w:rFonts w:ascii="Arial" w:cs="Arial" w:eastAsia="Arial" w:hAnsi="Arial"/>
                  <w:sz w:val="14"/>
                  <w:szCs w:val="14"/>
                  <w:color w:val="0000FF"/>
                  <w:w w:val="97"/>
                </w:rPr>
                <w:t>dated January 20, 2015 (incorporated by reference to Exhibit 10.3 to the Registrant's Quarterly Report on Form 10-Q (File No. 000-52008) filed on May 14, 2015).</w:t>
              </w:r>
            </w:hyperlink>
          </w:p>
        </w:tc>
        <w:tc>
          <w:tcPr>
            <w:tcW w:w="200" w:type="dxa"/>
            <w:vAlign w:val="bottom"/>
            <w:gridSpan w:val="5"/>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10.24</w:t>
            </w:r>
          </w:p>
        </w:tc>
        <w:tc>
          <w:tcPr>
            <w:tcW w:w="200" w:type="dxa"/>
            <w:vAlign w:val="bottom"/>
          </w:tcPr>
          <w:p>
            <w:pPr>
              <w:spacing w:after="0"/>
              <w:rPr>
                <w:sz w:val="16"/>
                <w:szCs w:val="16"/>
                <w:color w:val="auto"/>
              </w:rPr>
            </w:pPr>
          </w:p>
        </w:tc>
        <w:tc>
          <w:tcPr>
            <w:tcW w:w="9980" w:type="dxa"/>
            <w:vAlign w:val="bottom"/>
            <w:gridSpan w:val="25"/>
          </w:tcPr>
          <w:p>
            <w:pPr>
              <w:spacing w:after="0"/>
              <w:rPr>
                <w:rFonts w:ascii="Arial" w:cs="Arial" w:eastAsia="Arial" w:hAnsi="Arial"/>
                <w:sz w:val="14"/>
                <w:szCs w:val="14"/>
                <w:color w:val="0000FF"/>
                <w:w w:val="95"/>
              </w:rPr>
            </w:pPr>
            <w:hyperlink r:id="rId95">
              <w:r>
                <w:rPr>
                  <w:rFonts w:ascii="Arial" w:cs="Arial" w:eastAsia="Arial" w:hAnsi="Arial"/>
                  <w:sz w:val="14"/>
                  <w:szCs w:val="14"/>
                  <w:color w:val="0000FF"/>
                  <w:w w:val="95"/>
                </w:rPr>
                <w:t>Amended and Restated Non-Employee Director Compensation Policy, as amended as of February 26, 2019 (incorporated by reference to Exhibit 10.1 to the Registrant's</w:t>
              </w:r>
            </w:hyperlink>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6"/>
          </w:tcPr>
          <w:p>
            <w:pPr>
              <w:spacing w:after="0" w:line="150" w:lineRule="exact"/>
              <w:rPr>
                <w:rFonts w:ascii="Arial" w:cs="Arial" w:eastAsia="Arial" w:hAnsi="Arial"/>
                <w:sz w:val="14"/>
                <w:szCs w:val="14"/>
                <w:color w:val="0000FF"/>
                <w:w w:val="93"/>
              </w:rPr>
            </w:pPr>
            <w:hyperlink r:id="rId95">
              <w:r>
                <w:rPr>
                  <w:rFonts w:ascii="Arial" w:cs="Arial" w:eastAsia="Arial" w:hAnsi="Arial"/>
                  <w:sz w:val="14"/>
                  <w:szCs w:val="14"/>
                  <w:color w:val="0000FF"/>
                  <w:w w:val="93"/>
                </w:rPr>
                <w:t>Quarterly Report on Form 10-Q (File No. 000-52008) filed on May 13, 2019).</w:t>
              </w:r>
            </w:hyperlink>
          </w:p>
        </w:tc>
        <w:tc>
          <w:tcPr>
            <w:tcW w:w="5100" w:type="dxa"/>
            <w:vAlign w:val="bottom"/>
            <w:tcBorders>
              <w:top w:val="single" w:sz="8" w:color="0000FF"/>
            </w:tcBorders>
            <w:gridSpan w:val="13"/>
          </w:tcPr>
          <w:p>
            <w:pPr>
              <w:spacing w:after="0"/>
              <w:rPr>
                <w:sz w:val="13"/>
                <w:szCs w:val="13"/>
                <w:color w:val="auto"/>
              </w:rPr>
            </w:pPr>
          </w:p>
        </w:tc>
        <w:tc>
          <w:tcPr>
            <w:tcW w:w="440" w:type="dxa"/>
            <w:vAlign w:val="bottom"/>
            <w:gridSpan w:val="6"/>
          </w:tcPr>
          <w:p>
            <w:pPr>
              <w:spacing w:after="0"/>
              <w:rPr>
                <w:sz w:val="13"/>
                <w:szCs w:val="13"/>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10.25</w:t>
            </w:r>
          </w:p>
        </w:tc>
        <w:tc>
          <w:tcPr>
            <w:tcW w:w="200" w:type="dxa"/>
            <w:vAlign w:val="bottom"/>
          </w:tcPr>
          <w:p>
            <w:pPr>
              <w:spacing w:after="0"/>
              <w:rPr>
                <w:sz w:val="16"/>
                <w:szCs w:val="16"/>
                <w:color w:val="auto"/>
              </w:rPr>
            </w:pPr>
          </w:p>
        </w:tc>
        <w:tc>
          <w:tcPr>
            <w:tcW w:w="9500" w:type="dxa"/>
            <w:vAlign w:val="bottom"/>
            <w:tcBorders>
              <w:bottom w:val="single" w:sz="8" w:color="0000FF"/>
            </w:tcBorders>
            <w:gridSpan w:val="18"/>
          </w:tcPr>
          <w:p>
            <w:pPr>
              <w:spacing w:after="0"/>
              <w:rPr>
                <w:rFonts w:ascii="Arial" w:cs="Arial" w:eastAsia="Arial" w:hAnsi="Arial"/>
                <w:sz w:val="14"/>
                <w:szCs w:val="14"/>
                <w:color w:val="0000FF"/>
                <w:w w:val="91"/>
              </w:rPr>
            </w:pPr>
            <w:hyperlink r:id="rId96">
              <w:r>
                <w:rPr>
                  <w:rFonts w:ascii="Arial" w:cs="Arial" w:eastAsia="Arial" w:hAnsi="Arial"/>
                  <w:sz w:val="14"/>
                  <w:szCs w:val="14"/>
                  <w:color w:val="0000FF"/>
                  <w:w w:val="91"/>
                </w:rPr>
                <w:t>Fifth Amendment to Commercial Lease by and between Canvasback Real Estate and Investments, LLC and the Registrant, dated as of August 5, 2015 (incorporated by</w:t>
              </w:r>
            </w:hyperlink>
          </w:p>
        </w:tc>
        <w:tc>
          <w:tcPr>
            <w:tcW w:w="480" w:type="dxa"/>
            <w:vAlign w:val="bottom"/>
            <w:gridSpan w:val="7"/>
          </w:tcPr>
          <w:p>
            <w:pPr>
              <w:spacing w:after="0"/>
              <w:rPr>
                <w:sz w:val="16"/>
                <w:szCs w:val="16"/>
                <w:color w:val="auto"/>
              </w:rPr>
            </w:pPr>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980" w:type="dxa"/>
            <w:vAlign w:val="bottom"/>
            <w:gridSpan w:val="25"/>
          </w:tcPr>
          <w:p>
            <w:pPr>
              <w:spacing w:after="0" w:line="150" w:lineRule="exact"/>
              <w:rPr>
                <w:rFonts w:ascii="Arial" w:cs="Arial" w:eastAsia="Arial" w:hAnsi="Arial"/>
                <w:sz w:val="14"/>
                <w:szCs w:val="14"/>
                <w:color w:val="0000FF"/>
              </w:rPr>
            </w:pPr>
            <w:hyperlink r:id="rId96">
              <w:r>
                <w:rPr>
                  <w:rFonts w:ascii="Arial" w:cs="Arial" w:eastAsia="Arial" w:hAnsi="Arial"/>
                  <w:sz w:val="14"/>
                  <w:szCs w:val="14"/>
                  <w:color w:val="0000FF"/>
                </w:rPr>
                <w:t>reference to Exhibit 10.2 to the Registrant's Quarterly Report on Form 10-Q (File No. 000-52008) filed on November 13, 2015).</w:t>
              </w:r>
            </w:hyperlink>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10.26</w:t>
            </w:r>
          </w:p>
        </w:tc>
        <w:tc>
          <w:tcPr>
            <w:tcW w:w="200" w:type="dxa"/>
            <w:vAlign w:val="bottom"/>
          </w:tcPr>
          <w:p>
            <w:pPr>
              <w:spacing w:after="0"/>
              <w:rPr>
                <w:sz w:val="16"/>
                <w:szCs w:val="16"/>
                <w:color w:val="auto"/>
              </w:rPr>
            </w:pPr>
          </w:p>
        </w:tc>
        <w:tc>
          <w:tcPr>
            <w:tcW w:w="9980" w:type="dxa"/>
            <w:vAlign w:val="bottom"/>
            <w:gridSpan w:val="25"/>
          </w:tcPr>
          <w:p>
            <w:pPr>
              <w:spacing w:after="0"/>
              <w:rPr>
                <w:rFonts w:ascii="Arial" w:cs="Arial" w:eastAsia="Arial" w:hAnsi="Arial"/>
                <w:sz w:val="14"/>
                <w:szCs w:val="14"/>
                <w:color w:val="0000FF"/>
                <w:w w:val="91"/>
              </w:rPr>
            </w:pPr>
            <w:hyperlink r:id="rId97">
              <w:r>
                <w:rPr>
                  <w:rFonts w:ascii="Arial" w:cs="Arial" w:eastAsia="Arial" w:hAnsi="Arial"/>
                  <w:sz w:val="14"/>
                  <w:szCs w:val="14"/>
                  <w:color w:val="0000FF"/>
                  <w:w w:val="91"/>
                </w:rPr>
                <w:t>Employment Agreement, dated May 1, 2018 by and between the Registrant and Dale E. Messick (incorporated by reference to Exhibit 10.1 to the Registrant's Quarterly Report</w:t>
              </w:r>
            </w:hyperlink>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4"/>
          </w:tcPr>
          <w:p>
            <w:pPr>
              <w:spacing w:after="0" w:line="150" w:lineRule="exact"/>
              <w:rPr>
                <w:rFonts w:ascii="Arial" w:cs="Arial" w:eastAsia="Arial" w:hAnsi="Arial"/>
                <w:sz w:val="14"/>
                <w:szCs w:val="14"/>
                <w:color w:val="0000FF"/>
                <w:w w:val="93"/>
              </w:rPr>
            </w:pPr>
            <w:hyperlink r:id="rId97">
              <w:r>
                <w:rPr>
                  <w:rFonts w:ascii="Arial" w:cs="Arial" w:eastAsia="Arial" w:hAnsi="Arial"/>
                  <w:sz w:val="14"/>
                  <w:szCs w:val="14"/>
                  <w:color w:val="0000FF"/>
                  <w:w w:val="93"/>
                </w:rPr>
                <w:t>on Form 10-Q (File No. 000-52008) filed on August 1, 2018).</w:t>
              </w:r>
            </w:hyperlink>
          </w:p>
        </w:tc>
        <w:tc>
          <w:tcPr>
            <w:tcW w:w="642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10.27*</w:t>
            </w:r>
          </w:p>
        </w:tc>
        <w:tc>
          <w:tcPr>
            <w:tcW w:w="200" w:type="dxa"/>
            <w:vAlign w:val="bottom"/>
          </w:tcPr>
          <w:p>
            <w:pPr>
              <w:spacing w:after="0"/>
              <w:rPr>
                <w:sz w:val="16"/>
                <w:szCs w:val="16"/>
                <w:color w:val="auto"/>
              </w:rPr>
            </w:pPr>
          </w:p>
        </w:tc>
        <w:tc>
          <w:tcPr>
            <w:tcW w:w="9980" w:type="dxa"/>
            <w:vAlign w:val="bottom"/>
            <w:gridSpan w:val="25"/>
          </w:tcPr>
          <w:p>
            <w:pPr>
              <w:spacing w:after="0"/>
              <w:rPr>
                <w:rFonts w:ascii="Arial" w:cs="Arial" w:eastAsia="Arial" w:hAnsi="Arial"/>
                <w:sz w:val="14"/>
                <w:szCs w:val="14"/>
                <w:color w:val="0000FF"/>
                <w:w w:val="96"/>
              </w:rPr>
            </w:pPr>
            <w:hyperlink w:anchor="page92">
              <w:r>
                <w:rPr>
                  <w:rFonts w:ascii="Arial" w:cs="Arial" w:eastAsia="Arial" w:hAnsi="Arial"/>
                  <w:sz w:val="14"/>
                  <w:szCs w:val="14"/>
                  <w:color w:val="0000FF"/>
                  <w:w w:val="96"/>
                </w:rPr>
                <w:t>Amended and Restated Loan and Security Agreement, dated October 10, 2019, by and between Luna Innovations Incorporated, Luna Technologies, Inc., Former Luna</w:t>
              </w:r>
            </w:hyperlink>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40" w:type="dxa"/>
            <w:vAlign w:val="bottom"/>
            <w:tcBorders>
              <w:top w:val="single" w:sz="8" w:color="0000FF"/>
            </w:tcBorders>
            <w:gridSpan w:val="17"/>
          </w:tcPr>
          <w:p>
            <w:pPr>
              <w:spacing w:after="0" w:line="150" w:lineRule="exact"/>
              <w:rPr>
                <w:rFonts w:ascii="Arial" w:cs="Arial" w:eastAsia="Arial" w:hAnsi="Arial"/>
                <w:sz w:val="14"/>
                <w:szCs w:val="14"/>
                <w:color w:val="0000FF"/>
              </w:rPr>
            </w:pPr>
            <w:hyperlink w:anchor="page92">
              <w:r>
                <w:rPr>
                  <w:rFonts w:ascii="Arial" w:cs="Arial" w:eastAsia="Arial" w:hAnsi="Arial"/>
                  <w:sz w:val="14"/>
                  <w:szCs w:val="14"/>
                  <w:color w:val="0000FF"/>
                </w:rPr>
                <w:t>Subsidiary, Inc., Terametrix, LLC, and General Photonics Corp. and Silicon Valley Bank.</w:t>
              </w:r>
            </w:hyperlink>
          </w:p>
        </w:tc>
        <w:tc>
          <w:tcPr>
            <w:tcW w:w="540" w:type="dxa"/>
            <w:vAlign w:val="bottom"/>
            <w:gridSpan w:val="8"/>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76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10.28*</w:t>
            </w:r>
          </w:p>
        </w:tc>
        <w:tc>
          <w:tcPr>
            <w:tcW w:w="200" w:type="dxa"/>
            <w:vAlign w:val="bottom"/>
          </w:tcPr>
          <w:p>
            <w:pPr>
              <w:spacing w:after="0"/>
              <w:rPr>
                <w:sz w:val="16"/>
                <w:szCs w:val="16"/>
                <w:color w:val="auto"/>
              </w:rPr>
            </w:pPr>
          </w:p>
        </w:tc>
        <w:tc>
          <w:tcPr>
            <w:tcW w:w="5840" w:type="dxa"/>
            <w:vAlign w:val="bottom"/>
            <w:tcBorders>
              <w:bottom w:val="single" w:sz="8" w:color="0000FF"/>
            </w:tcBorders>
            <w:gridSpan w:val="9"/>
          </w:tcPr>
          <w:p>
            <w:pPr>
              <w:spacing w:after="0"/>
              <w:rPr>
                <w:rFonts w:ascii="Arial" w:cs="Arial" w:eastAsia="Arial" w:hAnsi="Arial"/>
                <w:sz w:val="14"/>
                <w:szCs w:val="14"/>
                <w:color w:val="0000FF"/>
                <w:w w:val="90"/>
              </w:rPr>
            </w:pPr>
            <w:hyperlink w:anchor="page131">
              <w:r>
                <w:rPr>
                  <w:rFonts w:ascii="Arial" w:cs="Arial" w:eastAsia="Arial" w:hAnsi="Arial"/>
                  <w:sz w:val="14"/>
                  <w:szCs w:val="14"/>
                  <w:color w:val="0000FF"/>
                  <w:w w:val="90"/>
                </w:rPr>
                <w:t>Separation Agreement, dated November 25, 2019, by and between the Registrant and Dale E. Messick.</w:t>
              </w:r>
            </w:hyperlink>
          </w:p>
        </w:tc>
        <w:tc>
          <w:tcPr>
            <w:tcW w:w="4140" w:type="dxa"/>
            <w:vAlign w:val="bottom"/>
            <w:gridSpan w:val="16"/>
          </w:tcPr>
          <w:p>
            <w:pPr>
              <w:spacing w:after="0"/>
              <w:rPr>
                <w:sz w:val="16"/>
                <w:szCs w:val="16"/>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10.29*</w:t>
            </w:r>
          </w:p>
        </w:tc>
        <w:tc>
          <w:tcPr>
            <w:tcW w:w="200" w:type="dxa"/>
            <w:vAlign w:val="bottom"/>
          </w:tcPr>
          <w:p>
            <w:pPr>
              <w:spacing w:after="0"/>
              <w:rPr>
                <w:sz w:val="16"/>
                <w:szCs w:val="16"/>
                <w:color w:val="auto"/>
              </w:rPr>
            </w:pPr>
          </w:p>
        </w:tc>
        <w:tc>
          <w:tcPr>
            <w:tcW w:w="9980" w:type="dxa"/>
            <w:vAlign w:val="bottom"/>
            <w:gridSpan w:val="25"/>
          </w:tcPr>
          <w:p>
            <w:pPr>
              <w:spacing w:after="0"/>
              <w:rPr>
                <w:rFonts w:ascii="Arial" w:cs="Arial" w:eastAsia="Arial" w:hAnsi="Arial"/>
                <w:sz w:val="14"/>
                <w:szCs w:val="14"/>
                <w:color w:val="0000FF"/>
              </w:rPr>
            </w:pPr>
            <w:hyperlink w:anchor="page142">
              <w:r>
                <w:rPr>
                  <w:rFonts w:ascii="Arial" w:cs="Arial" w:eastAsia="Arial" w:hAnsi="Arial"/>
                  <w:sz w:val="14"/>
                  <w:szCs w:val="14"/>
                  <w:color w:val="0000FF"/>
                </w:rPr>
                <w:t>Employment Agreement, dated December 2, 2019, by and between the Registrant and Eugene J. Nestro.</w:t>
              </w:r>
            </w:hyperlink>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760" w:type="dxa"/>
            <w:vAlign w:val="bottom"/>
            <w:gridSpan w:val="4"/>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10.30*</w:t>
            </w:r>
          </w:p>
        </w:tc>
        <w:tc>
          <w:tcPr>
            <w:tcW w:w="200" w:type="dxa"/>
            <w:vAlign w:val="bottom"/>
          </w:tcPr>
          <w:p>
            <w:pPr>
              <w:spacing w:after="0"/>
              <w:rPr>
                <w:sz w:val="16"/>
                <w:szCs w:val="16"/>
                <w:color w:val="auto"/>
              </w:rPr>
            </w:pPr>
          </w:p>
        </w:tc>
        <w:tc>
          <w:tcPr>
            <w:tcW w:w="8100" w:type="dxa"/>
            <w:vAlign w:val="bottom"/>
            <w:tcBorders>
              <w:bottom w:val="single" w:sz="8" w:color="0000FF"/>
            </w:tcBorders>
            <w:gridSpan w:val="13"/>
          </w:tcPr>
          <w:p>
            <w:pPr>
              <w:spacing w:after="0"/>
              <w:rPr>
                <w:rFonts w:ascii="Arial" w:cs="Arial" w:eastAsia="Arial" w:hAnsi="Arial"/>
                <w:sz w:val="14"/>
                <w:szCs w:val="14"/>
                <w:color w:val="0000FF"/>
                <w:w w:val="91"/>
              </w:rPr>
            </w:pPr>
            <w:hyperlink w:anchor="page156">
              <w:r>
                <w:rPr>
                  <w:rFonts w:ascii="Arial" w:cs="Arial" w:eastAsia="Arial" w:hAnsi="Arial"/>
                  <w:sz w:val="14"/>
                  <w:szCs w:val="14"/>
                  <w:color w:val="0000FF"/>
                  <w:w w:val="91"/>
                </w:rPr>
                <w:t>First Amendment to Commercial Lease, dated as of February 21, 2020, by and between SBA Tenant, LLC and Luna Innovations Incorporated.</w:t>
              </w:r>
            </w:hyperlink>
          </w:p>
        </w:tc>
        <w:tc>
          <w:tcPr>
            <w:tcW w:w="1880" w:type="dxa"/>
            <w:vAlign w:val="bottom"/>
            <w:gridSpan w:val="12"/>
          </w:tcPr>
          <w:p>
            <w:pPr>
              <w:spacing w:after="0"/>
              <w:rPr>
                <w:sz w:val="16"/>
                <w:szCs w:val="16"/>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21.1</w:t>
            </w:r>
          </w:p>
        </w:tc>
        <w:tc>
          <w:tcPr>
            <w:tcW w:w="200" w:type="dxa"/>
            <w:vAlign w:val="bottom"/>
          </w:tcPr>
          <w:p>
            <w:pPr>
              <w:spacing w:after="0"/>
              <w:rPr>
                <w:sz w:val="16"/>
                <w:szCs w:val="16"/>
                <w:color w:val="auto"/>
              </w:rPr>
            </w:pPr>
          </w:p>
        </w:tc>
        <w:tc>
          <w:tcPr>
            <w:tcW w:w="9980" w:type="dxa"/>
            <w:vAlign w:val="bottom"/>
            <w:gridSpan w:val="25"/>
          </w:tcPr>
          <w:p>
            <w:pPr>
              <w:spacing w:after="0"/>
              <w:rPr>
                <w:rFonts w:ascii="Arial" w:cs="Arial" w:eastAsia="Arial" w:hAnsi="Arial"/>
                <w:sz w:val="14"/>
                <w:szCs w:val="14"/>
                <w:color w:val="0000FF"/>
              </w:rPr>
            </w:pPr>
            <w:hyperlink w:anchor="page160">
              <w:r>
                <w:rPr>
                  <w:rFonts w:ascii="Arial" w:cs="Arial" w:eastAsia="Arial" w:hAnsi="Arial"/>
                  <w:sz w:val="14"/>
                  <w:szCs w:val="14"/>
                  <w:color w:val="0000FF"/>
                </w:rPr>
                <w:t>List of Subsidiaries</w:t>
              </w:r>
            </w:hyperlink>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39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23.1</w:t>
            </w:r>
          </w:p>
        </w:tc>
        <w:tc>
          <w:tcPr>
            <w:tcW w:w="200" w:type="dxa"/>
            <w:vAlign w:val="bottom"/>
          </w:tcPr>
          <w:p>
            <w:pPr>
              <w:spacing w:after="0"/>
              <w:rPr>
                <w:sz w:val="16"/>
                <w:szCs w:val="16"/>
                <w:color w:val="auto"/>
              </w:rPr>
            </w:pPr>
          </w:p>
        </w:tc>
        <w:tc>
          <w:tcPr>
            <w:tcW w:w="9980" w:type="dxa"/>
            <w:vAlign w:val="bottom"/>
            <w:gridSpan w:val="25"/>
          </w:tcPr>
          <w:p>
            <w:pPr>
              <w:spacing w:after="0"/>
              <w:rPr>
                <w:rFonts w:ascii="Arial" w:cs="Arial" w:eastAsia="Arial" w:hAnsi="Arial"/>
                <w:sz w:val="14"/>
                <w:szCs w:val="14"/>
                <w:color w:val="0000FF"/>
              </w:rPr>
            </w:pPr>
            <w:hyperlink w:anchor="page161">
              <w:r>
                <w:rPr>
                  <w:rFonts w:ascii="Arial" w:cs="Arial" w:eastAsia="Arial" w:hAnsi="Arial"/>
                  <w:sz w:val="14"/>
                  <w:szCs w:val="14"/>
                  <w:color w:val="0000FF"/>
                </w:rPr>
                <w:t>Consent of Grant Thornton LLP, Independent Registered Public Accounting Firm</w:t>
              </w:r>
            </w:hyperlink>
          </w:p>
        </w:tc>
      </w:tr>
      <w:tr>
        <w:trPr>
          <w:trHeight w:val="224"/>
        </w:trPr>
        <w:tc>
          <w:tcPr>
            <w:tcW w:w="1060" w:type="dxa"/>
            <w:vAlign w:val="bottom"/>
          </w:tcPr>
          <w:p>
            <w:pPr>
              <w:ind w:left="20"/>
              <w:spacing w:after="0"/>
              <w:rPr>
                <w:sz w:val="20"/>
                <w:szCs w:val="20"/>
                <w:color w:val="auto"/>
              </w:rPr>
            </w:pPr>
            <w:r>
              <w:rPr>
                <w:rFonts w:ascii="Arial" w:cs="Arial" w:eastAsia="Arial" w:hAnsi="Arial"/>
                <w:sz w:val="14"/>
                <w:szCs w:val="14"/>
                <w:color w:val="auto"/>
              </w:rPr>
              <w:t>24.1</w:t>
            </w:r>
          </w:p>
        </w:tc>
        <w:tc>
          <w:tcPr>
            <w:tcW w:w="200" w:type="dxa"/>
            <w:vAlign w:val="bottom"/>
          </w:tcPr>
          <w:p>
            <w:pPr>
              <w:spacing w:after="0"/>
              <w:rPr>
                <w:sz w:val="19"/>
                <w:szCs w:val="19"/>
                <w:color w:val="auto"/>
              </w:rPr>
            </w:pPr>
          </w:p>
        </w:tc>
        <w:tc>
          <w:tcPr>
            <w:tcW w:w="4620" w:type="dxa"/>
            <w:vAlign w:val="bottom"/>
            <w:tcBorders>
              <w:top w:val="single" w:sz="8" w:color="0000FF"/>
            </w:tcBorders>
            <w:gridSpan w:val="7"/>
          </w:tcPr>
          <w:p>
            <w:pPr>
              <w:spacing w:after="0"/>
              <w:rPr>
                <w:sz w:val="20"/>
                <w:szCs w:val="20"/>
                <w:color w:val="auto"/>
              </w:rPr>
            </w:pPr>
            <w:r>
              <w:rPr>
                <w:rFonts w:ascii="Arial" w:cs="Arial" w:eastAsia="Arial" w:hAnsi="Arial"/>
                <w:sz w:val="14"/>
                <w:szCs w:val="14"/>
                <w:color w:val="auto"/>
              </w:rPr>
              <w:t>Power of Attorney (see signature page)</w:t>
            </w:r>
          </w:p>
        </w:tc>
        <w:tc>
          <w:tcPr>
            <w:tcW w:w="5360" w:type="dxa"/>
            <w:vAlign w:val="bottom"/>
            <w:gridSpan w:val="18"/>
          </w:tcPr>
          <w:p>
            <w:pPr>
              <w:spacing w:after="0"/>
              <w:rPr>
                <w:sz w:val="19"/>
                <w:szCs w:val="19"/>
                <w:color w:val="auto"/>
              </w:rPr>
            </w:pPr>
          </w:p>
        </w:tc>
      </w:tr>
      <w:tr>
        <w:trPr>
          <w:trHeight w:val="181"/>
        </w:trPr>
        <w:tc>
          <w:tcPr>
            <w:tcW w:w="1060" w:type="dxa"/>
            <w:vAlign w:val="bottom"/>
          </w:tcPr>
          <w:p>
            <w:pPr>
              <w:ind w:left="20"/>
              <w:spacing w:after="0"/>
              <w:rPr>
                <w:sz w:val="20"/>
                <w:szCs w:val="20"/>
                <w:color w:val="auto"/>
              </w:rPr>
            </w:pPr>
            <w:r>
              <w:rPr>
                <w:rFonts w:ascii="Arial" w:cs="Arial" w:eastAsia="Arial" w:hAnsi="Arial"/>
                <w:sz w:val="14"/>
                <w:szCs w:val="14"/>
                <w:color w:val="auto"/>
              </w:rPr>
              <w:t>31.1*</w:t>
            </w:r>
          </w:p>
        </w:tc>
        <w:tc>
          <w:tcPr>
            <w:tcW w:w="200" w:type="dxa"/>
            <w:vAlign w:val="bottom"/>
          </w:tcPr>
          <w:p>
            <w:pPr>
              <w:spacing w:after="0"/>
              <w:rPr>
                <w:sz w:val="15"/>
                <w:szCs w:val="15"/>
                <w:color w:val="auto"/>
              </w:rPr>
            </w:pPr>
          </w:p>
        </w:tc>
        <w:tc>
          <w:tcPr>
            <w:tcW w:w="9820" w:type="dxa"/>
            <w:vAlign w:val="bottom"/>
            <w:tcBorders>
              <w:bottom w:val="single" w:sz="8" w:color="0000FF"/>
            </w:tcBorders>
            <w:gridSpan w:val="21"/>
          </w:tcPr>
          <w:p>
            <w:pPr>
              <w:spacing w:after="0"/>
              <w:rPr>
                <w:rFonts w:ascii="Arial" w:cs="Arial" w:eastAsia="Arial" w:hAnsi="Arial"/>
                <w:sz w:val="14"/>
                <w:szCs w:val="14"/>
                <w:color w:val="0000FF"/>
                <w:w w:val="91"/>
              </w:rPr>
            </w:pPr>
            <w:hyperlink w:anchor="page162">
              <w:r>
                <w:rPr>
                  <w:rFonts w:ascii="Arial" w:cs="Arial" w:eastAsia="Arial" w:hAnsi="Arial"/>
                  <w:sz w:val="14"/>
                  <w:szCs w:val="14"/>
                  <w:color w:val="0000FF"/>
                  <w:w w:val="91"/>
                </w:rPr>
                <w:t>Certification of the Principal Executive Officer pursuant to Rule 13a-14(a) and Rule 15d-14(a) of the Securities Exchange Act of 1934, as adopted pursuant to Section 302 of</w:t>
              </w:r>
            </w:hyperlink>
          </w:p>
        </w:tc>
        <w:tc>
          <w:tcPr>
            <w:tcW w:w="160" w:type="dxa"/>
            <w:vAlign w:val="bottom"/>
            <w:gridSpan w:val="4"/>
          </w:tcPr>
          <w:p>
            <w:pPr>
              <w:spacing w:after="0"/>
              <w:rPr>
                <w:sz w:val="15"/>
                <w:szCs w:val="15"/>
                <w:color w:val="auto"/>
              </w:rPr>
            </w:pPr>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980" w:type="dxa"/>
            <w:vAlign w:val="bottom"/>
            <w:gridSpan w:val="25"/>
          </w:tcPr>
          <w:p>
            <w:pPr>
              <w:spacing w:after="0" w:line="150" w:lineRule="exact"/>
              <w:rPr>
                <w:rFonts w:ascii="Arial" w:cs="Arial" w:eastAsia="Arial" w:hAnsi="Arial"/>
                <w:sz w:val="14"/>
                <w:szCs w:val="14"/>
                <w:color w:val="0000FF"/>
              </w:rPr>
            </w:pPr>
            <w:hyperlink w:anchor="page162">
              <w:r>
                <w:rPr>
                  <w:rFonts w:ascii="Arial" w:cs="Arial" w:eastAsia="Arial" w:hAnsi="Arial"/>
                  <w:sz w:val="14"/>
                  <w:szCs w:val="14"/>
                  <w:color w:val="0000FF"/>
                </w:rPr>
                <w:t>the Sarbanes-Oxley Act of 2002.</w:t>
              </w:r>
            </w:hyperlink>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70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10"/>
          </w:tcPr>
          <w:p>
            <w:pPr>
              <w:spacing w:after="0" w:line="20" w:lineRule="exact"/>
              <w:rPr>
                <w:sz w:val="1"/>
                <w:szCs w:val="1"/>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31.2*</w:t>
            </w:r>
          </w:p>
        </w:tc>
        <w:tc>
          <w:tcPr>
            <w:tcW w:w="200" w:type="dxa"/>
            <w:vAlign w:val="bottom"/>
          </w:tcPr>
          <w:p>
            <w:pPr>
              <w:spacing w:after="0"/>
              <w:rPr>
                <w:sz w:val="16"/>
                <w:szCs w:val="16"/>
                <w:color w:val="auto"/>
              </w:rPr>
            </w:pPr>
          </w:p>
        </w:tc>
        <w:tc>
          <w:tcPr>
            <w:tcW w:w="9980" w:type="dxa"/>
            <w:vAlign w:val="bottom"/>
            <w:tcBorders>
              <w:bottom w:val="single" w:sz="8" w:color="0000FF"/>
            </w:tcBorders>
            <w:gridSpan w:val="25"/>
          </w:tcPr>
          <w:p>
            <w:pPr>
              <w:spacing w:after="0"/>
              <w:rPr>
                <w:rFonts w:ascii="Arial" w:cs="Arial" w:eastAsia="Arial" w:hAnsi="Arial"/>
                <w:sz w:val="14"/>
                <w:szCs w:val="14"/>
                <w:color w:val="0000FF"/>
                <w:w w:val="91"/>
              </w:rPr>
            </w:pPr>
            <w:hyperlink w:anchor="page163">
              <w:r>
                <w:rPr>
                  <w:rFonts w:ascii="Arial" w:cs="Arial" w:eastAsia="Arial" w:hAnsi="Arial"/>
                  <w:sz w:val="14"/>
                  <w:szCs w:val="14"/>
                  <w:color w:val="0000FF"/>
                  <w:w w:val="91"/>
                </w:rPr>
                <w:t>Certification of the Principal Financial Officer pursuant to Rule 13a-14(a) and Rule 15d-14(a) of the Securities Exchange Act of 1934, as adopted pursuant to Section 302 of the</w:t>
              </w:r>
            </w:hyperlink>
          </w:p>
        </w:tc>
      </w:tr>
      <w:tr>
        <w:trPr>
          <w:trHeight w:val="150"/>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Borders>
              <w:bottom w:val="single" w:sz="8" w:color="0000FF"/>
            </w:tcBorders>
            <w:gridSpan w:val="2"/>
          </w:tcPr>
          <w:p>
            <w:pPr>
              <w:spacing w:after="0" w:line="150" w:lineRule="exact"/>
              <w:rPr>
                <w:rFonts w:ascii="Arial" w:cs="Arial" w:eastAsia="Arial" w:hAnsi="Arial"/>
                <w:sz w:val="14"/>
                <w:szCs w:val="14"/>
                <w:color w:val="0000FF"/>
                <w:w w:val="91"/>
              </w:rPr>
            </w:pPr>
            <w:hyperlink w:anchor="page163">
              <w:r>
                <w:rPr>
                  <w:rFonts w:ascii="Arial" w:cs="Arial" w:eastAsia="Arial" w:hAnsi="Arial"/>
                  <w:sz w:val="14"/>
                  <w:szCs w:val="14"/>
                  <w:color w:val="0000FF"/>
                  <w:w w:val="91"/>
                </w:rPr>
                <w:t>Sarbanes-Oxley Act of 2002.</w:t>
              </w:r>
            </w:hyperlink>
          </w:p>
        </w:tc>
        <w:tc>
          <w:tcPr>
            <w:tcW w:w="8320" w:type="dxa"/>
            <w:vAlign w:val="bottom"/>
            <w:gridSpan w:val="23"/>
          </w:tcPr>
          <w:p>
            <w:pPr>
              <w:spacing w:after="0"/>
              <w:rPr>
                <w:sz w:val="13"/>
                <w:szCs w:val="13"/>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32.1***</w:t>
            </w:r>
          </w:p>
        </w:tc>
        <w:tc>
          <w:tcPr>
            <w:tcW w:w="200" w:type="dxa"/>
            <w:vAlign w:val="bottom"/>
          </w:tcPr>
          <w:p>
            <w:pPr>
              <w:spacing w:after="0"/>
              <w:rPr>
                <w:sz w:val="16"/>
                <w:szCs w:val="16"/>
                <w:color w:val="auto"/>
              </w:rPr>
            </w:pPr>
          </w:p>
        </w:tc>
        <w:tc>
          <w:tcPr>
            <w:tcW w:w="8600" w:type="dxa"/>
            <w:vAlign w:val="bottom"/>
            <w:tcBorders>
              <w:bottom w:val="single" w:sz="8" w:color="0000FF"/>
            </w:tcBorders>
            <w:gridSpan w:val="15"/>
          </w:tcPr>
          <w:p>
            <w:pPr>
              <w:spacing w:after="0"/>
              <w:rPr>
                <w:rFonts w:ascii="Arial" w:cs="Arial" w:eastAsia="Arial" w:hAnsi="Arial"/>
                <w:sz w:val="14"/>
                <w:szCs w:val="14"/>
                <w:color w:val="0000FF"/>
                <w:w w:val="92"/>
              </w:rPr>
            </w:pPr>
            <w:hyperlink w:anchor="page164">
              <w:r>
                <w:rPr>
                  <w:rFonts w:ascii="Arial" w:cs="Arial" w:eastAsia="Arial" w:hAnsi="Arial"/>
                  <w:sz w:val="14"/>
                  <w:szCs w:val="14"/>
                  <w:color w:val="0000FF"/>
                  <w:w w:val="92"/>
                </w:rPr>
                <w:t>Certification of Principal Executive Officer pursuant to 18 U.S.C. Section 1350, as adopted pursuant to Section 906 of the Sarbanes-Oxley Act of 2002.</w:t>
              </w:r>
            </w:hyperlink>
          </w:p>
        </w:tc>
        <w:tc>
          <w:tcPr>
            <w:tcW w:w="1380" w:type="dxa"/>
            <w:vAlign w:val="bottom"/>
            <w:gridSpan w:val="10"/>
          </w:tcPr>
          <w:p>
            <w:pPr>
              <w:spacing w:after="0"/>
              <w:rPr>
                <w:sz w:val="16"/>
                <w:szCs w:val="16"/>
                <w:color w:val="auto"/>
              </w:rPr>
            </w:pP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32.2***</w:t>
            </w:r>
          </w:p>
        </w:tc>
        <w:tc>
          <w:tcPr>
            <w:tcW w:w="200" w:type="dxa"/>
            <w:vAlign w:val="bottom"/>
          </w:tcPr>
          <w:p>
            <w:pPr>
              <w:spacing w:after="0"/>
              <w:rPr>
                <w:sz w:val="16"/>
                <w:szCs w:val="16"/>
                <w:color w:val="auto"/>
              </w:rPr>
            </w:pPr>
          </w:p>
        </w:tc>
        <w:tc>
          <w:tcPr>
            <w:tcW w:w="8560" w:type="dxa"/>
            <w:vAlign w:val="bottom"/>
            <w:tcBorders>
              <w:bottom w:val="single" w:sz="8" w:color="0000FF"/>
            </w:tcBorders>
            <w:gridSpan w:val="14"/>
          </w:tcPr>
          <w:p>
            <w:pPr>
              <w:spacing w:after="0"/>
              <w:rPr>
                <w:rFonts w:ascii="Arial" w:cs="Arial" w:eastAsia="Arial" w:hAnsi="Arial"/>
                <w:sz w:val="14"/>
                <w:szCs w:val="14"/>
                <w:color w:val="0000FF"/>
                <w:w w:val="92"/>
              </w:rPr>
            </w:pPr>
            <w:hyperlink w:anchor="page165">
              <w:r>
                <w:rPr>
                  <w:rFonts w:ascii="Arial" w:cs="Arial" w:eastAsia="Arial" w:hAnsi="Arial"/>
                  <w:sz w:val="14"/>
                  <w:szCs w:val="14"/>
                  <w:color w:val="0000FF"/>
                  <w:w w:val="92"/>
                </w:rPr>
                <w:t>Certification of Principal Financial Officer pursuant to 18 U.S.C. Section 1350, as adopted pursuant to Section 906 of the Sarbanes-Oxley Act of 2002.</w:t>
              </w:r>
            </w:hyperlink>
          </w:p>
        </w:tc>
        <w:tc>
          <w:tcPr>
            <w:tcW w:w="1420" w:type="dxa"/>
            <w:vAlign w:val="bottom"/>
            <w:gridSpan w:val="11"/>
          </w:tcPr>
          <w:p>
            <w:pPr>
              <w:spacing w:after="0"/>
              <w:rPr>
                <w:sz w:val="16"/>
                <w:szCs w:val="16"/>
                <w:color w:val="auto"/>
              </w:rPr>
            </w:pPr>
          </w:p>
        </w:tc>
      </w:tr>
    </w:tbl>
    <w:p>
      <w:pPr>
        <w:spacing w:after="0" w:line="53" w:lineRule="exact"/>
        <w:rPr>
          <w:sz w:val="20"/>
          <w:szCs w:val="20"/>
          <w:color w:val="auto"/>
        </w:rPr>
      </w:pPr>
    </w:p>
    <w:p>
      <w:pPr>
        <w:ind w:left="1260" w:right="180" w:hanging="1234"/>
        <w:spacing w:after="0" w:line="262" w:lineRule="auto"/>
        <w:tabs>
          <w:tab w:leader="none" w:pos="1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following materials from the Registrant’s Annual Report on Form 10-K for the year ended December 31, 2019, are formatted in XBRL (eXtensible Business Reporting Language): (i) Consolidated Balance Sheets at December 31, 2019 and 2018, (ii) Consolidated Statements of Operations for the years ended December 31, 2019 and 2018, (iii) Consolidated Statements of Changes in Stockholder’s Equity for the years ended December 31, 2019 and 2018 (iv) Consolidated Statements of Cash Flows for the years ended December 31, 2019 and 2018, and (v) Notes to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240"/>
          </w:cols>
          <w:pgMar w:left="300" w:top="116" w:right="35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2" w:lineRule="exact"/>
        <w:rPr>
          <w:sz w:val="20"/>
          <w:szCs w:val="20"/>
          <w:color w:val="auto"/>
        </w:rPr>
      </w:pPr>
    </w:p>
    <w:p>
      <w:pPr>
        <w:ind w:left="260" w:hanging="213"/>
        <w:spacing w:after="0"/>
        <w:tabs>
          <w:tab w:leader="none" w:pos="260" w:val="left"/>
        </w:tabs>
        <w:numPr>
          <w:ilvl w:val="1"/>
          <w:numId w:val="25"/>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9" w:lineRule="exact"/>
        <w:rPr>
          <w:rFonts w:ascii="Arial" w:cs="Arial" w:eastAsia="Arial" w:hAnsi="Arial"/>
          <w:sz w:val="14"/>
          <w:szCs w:val="14"/>
          <w:color w:val="auto"/>
        </w:rPr>
      </w:pPr>
    </w:p>
    <w:p>
      <w:pPr>
        <w:ind w:left="520" w:hanging="515"/>
        <w:spacing w:after="0"/>
        <w:tabs>
          <w:tab w:leader="none" w:pos="5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Pursuant to Item 601(b)(2) of Regulation S-K, the schedules and exhibits to this agreement are omitted, but will be furnished to the Securities and Exchange Commission upon request.</w:t>
      </w:r>
    </w:p>
    <w:p>
      <w:pPr>
        <w:spacing w:after="0" w:line="3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w:t>
      </w:r>
      <w:r>
        <w:rPr>
          <w:rFonts w:ascii="Arial" w:cs="Arial" w:eastAsia="Arial" w:hAnsi="Arial"/>
          <w:sz w:val="12"/>
          <w:szCs w:val="12"/>
          <w:color w:val="auto"/>
        </w:rPr>
        <w:t>Confidential treatment has been granted with respect to portions of this exhibit, indicated by asterisks, which has been filed separately with the Securities and Exchange Commission.</w:t>
      </w:r>
    </w:p>
    <w:p>
      <w:pPr>
        <w:spacing w:after="0" w:line="8" w:lineRule="exact"/>
        <w:rPr>
          <w:rFonts w:ascii="Arial" w:cs="Arial" w:eastAsia="Arial" w:hAnsi="Arial"/>
          <w:sz w:val="12"/>
          <w:szCs w:val="12"/>
          <w:color w:val="auto"/>
        </w:rPr>
      </w:pPr>
    </w:p>
    <w:p>
      <w:pPr>
        <w:ind w:left="520" w:right="20" w:hanging="509"/>
        <w:spacing w:after="0" w:line="259" w:lineRule="auto"/>
        <w:rPr>
          <w:rFonts w:ascii="Arial" w:cs="Arial" w:eastAsia="Arial" w:hAnsi="Arial"/>
          <w:sz w:val="12"/>
          <w:szCs w:val="12"/>
          <w:color w:val="auto"/>
        </w:rPr>
      </w:pPr>
      <w:r>
        <w:rPr>
          <w:rFonts w:ascii="Arial" w:cs="Arial" w:eastAsia="Arial" w:hAnsi="Arial"/>
          <w:sz w:val="14"/>
          <w:szCs w:val="14"/>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317"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0900"/>
          </w:cols>
          <w:pgMar w:left="300" w:top="125" w:right="69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79"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4"/>
          <w:szCs w:val="14"/>
          <w:b w:val="1"/>
          <w:bCs w:val="1"/>
          <w:color w:val="auto"/>
        </w:rPr>
        <w:t>ITEM 16.</w:t>
      </w:r>
      <w:r>
        <w:rPr>
          <w:sz w:val="20"/>
          <w:szCs w:val="20"/>
          <w:color w:val="auto"/>
        </w:rPr>
        <w:tab/>
      </w:r>
      <w:r>
        <w:rPr>
          <w:rFonts w:ascii="Arial" w:cs="Arial" w:eastAsia="Arial" w:hAnsi="Arial"/>
          <w:sz w:val="14"/>
          <w:szCs w:val="14"/>
          <w:b w:val="1"/>
          <w:bCs w:val="1"/>
          <w:color w:val="auto"/>
        </w:rPr>
        <w:t>FORM 10-K SUMMARY</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Not applicable.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ind w:right="260" w:firstLine="340"/>
        <w:spacing w:after="0" w:line="281"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17" w:lineRule="exact"/>
        <w:rPr>
          <w:sz w:val="20"/>
          <w:szCs w:val="20"/>
          <w:color w:val="auto"/>
        </w:rPr>
      </w:pPr>
    </w:p>
    <w:p>
      <w:pPr>
        <w:ind w:left="5440"/>
        <w:spacing w:after="0"/>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UNA</w:t>
      </w:r>
      <w:r>
        <w:rPr>
          <w:rFonts w:ascii="Arial" w:cs="Arial" w:eastAsia="Arial" w:hAnsi="Arial"/>
          <w:sz w:val="14"/>
          <w:szCs w:val="14"/>
          <w:color w:val="auto"/>
        </w:rPr>
        <w:t xml:space="preserve"> I</w:t>
      </w:r>
      <w:r>
        <w:rPr>
          <w:rFonts w:ascii="Arial" w:cs="Arial" w:eastAsia="Arial" w:hAnsi="Arial"/>
          <w:sz w:val="11"/>
          <w:szCs w:val="11"/>
          <w:color w:val="auto"/>
        </w:rPr>
        <w:t>NNOVATIONS</w:t>
      </w:r>
      <w:r>
        <w:rPr>
          <w:rFonts w:ascii="Arial" w:cs="Arial" w:eastAsia="Arial" w:hAnsi="Arial"/>
          <w:sz w:val="14"/>
          <w:szCs w:val="14"/>
          <w:color w:val="auto"/>
        </w:rPr>
        <w:t xml:space="preserve"> I</w:t>
      </w:r>
      <w:r>
        <w:rPr>
          <w:rFonts w:ascii="Arial" w:cs="Arial" w:eastAsia="Arial" w:hAnsi="Arial"/>
          <w:sz w:val="11"/>
          <w:szCs w:val="11"/>
          <w:color w:val="auto"/>
        </w:rPr>
        <w:t>NCORPORATED</w:t>
      </w:r>
    </w:p>
    <w:p>
      <w:pPr>
        <w:spacing w:after="0" w:line="290" w:lineRule="exact"/>
        <w:rPr>
          <w:sz w:val="20"/>
          <w:szCs w:val="20"/>
          <w:color w:val="auto"/>
        </w:rPr>
      </w:pPr>
    </w:p>
    <w:p>
      <w:pPr>
        <w:ind w:left="5440"/>
        <w:spacing w:after="0"/>
        <w:tabs>
          <w:tab w:leader="none" w:pos="82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1"/>
          <w:szCs w:val="11"/>
          <w:color w:val="auto"/>
        </w:rPr>
        <w:t>/s/ Eugene J. Nestro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36195</wp:posOffset>
            </wp:positionV>
            <wp:extent cx="328803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8">
                      <a:extLst>
                        <a:ext uri="{28A0092B-C50C-407E-A947-70E740481C1C}"/>
                      </a:extLst>
                    </a:blip>
                    <a:srcRect/>
                    <a:stretch>
                      <a:fillRect/>
                    </a:stretch>
                  </pic:blipFill>
                  <pic:spPr bwMode="auto">
                    <a:xfrm>
                      <a:off x="0" y="0"/>
                      <a:ext cx="3288030" cy="6985"/>
                    </a:xfrm>
                    <a:prstGeom prst="rect">
                      <a:avLst/>
                    </a:prstGeom>
                    <a:noFill/>
                  </pic:spPr>
                </pic:pic>
              </a:graphicData>
            </a:graphic>
          </wp:anchor>
        </w:drawing>
      </w:r>
    </w:p>
    <w:p>
      <w:pPr>
        <w:spacing w:after="0" w:line="51" w:lineRule="exact"/>
        <w:rPr>
          <w:sz w:val="20"/>
          <w:szCs w:val="20"/>
          <w:color w:val="auto"/>
        </w:rPr>
      </w:pPr>
    </w:p>
    <w:p>
      <w:pPr>
        <w:jc w:val="center"/>
        <w:ind w:left="6320"/>
        <w:spacing w:after="0"/>
        <w:rPr>
          <w:sz w:val="20"/>
          <w:szCs w:val="20"/>
          <w:color w:val="auto"/>
        </w:rPr>
      </w:pPr>
      <w:r>
        <w:rPr>
          <w:rFonts w:ascii="Arial" w:cs="Arial" w:eastAsia="Arial" w:hAnsi="Arial"/>
          <w:sz w:val="11"/>
          <w:szCs w:val="11"/>
          <w:b w:val="1"/>
          <w:bCs w:val="1"/>
          <w:color w:val="auto"/>
        </w:rPr>
        <w:t>Eugene J. Nestro</w:t>
      </w:r>
    </w:p>
    <w:p>
      <w:pPr>
        <w:spacing w:after="0" w:line="2" w:lineRule="exact"/>
        <w:rPr>
          <w:sz w:val="20"/>
          <w:szCs w:val="20"/>
          <w:color w:val="auto"/>
        </w:rPr>
      </w:pPr>
    </w:p>
    <w:p>
      <w:pPr>
        <w:jc w:val="center"/>
        <w:ind w:left="6320"/>
        <w:spacing w:after="0"/>
        <w:rPr>
          <w:sz w:val="20"/>
          <w:szCs w:val="20"/>
          <w:color w:val="auto"/>
        </w:rPr>
      </w:pPr>
      <w:r>
        <w:rPr>
          <w:rFonts w:ascii="Arial" w:cs="Arial" w:eastAsia="Arial" w:hAnsi="Arial"/>
          <w:sz w:val="11"/>
          <w:szCs w:val="11"/>
          <w:b w:val="1"/>
          <w:bCs w:val="1"/>
          <w:color w:val="auto"/>
        </w:rPr>
        <w:t>Chief Financial Officer</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March 13, 2020</w:t>
      </w:r>
    </w:p>
    <w:p>
      <w:pPr>
        <w:spacing w:after="0" w:line="136" w:lineRule="exact"/>
        <w:rPr>
          <w:sz w:val="20"/>
          <w:szCs w:val="20"/>
          <w:color w:val="auto"/>
        </w:rPr>
      </w:pPr>
    </w:p>
    <w:p>
      <w:pPr>
        <w:ind w:right="20" w:firstLine="340"/>
        <w:spacing w:after="0" w:line="258" w:lineRule="auto"/>
        <w:rPr>
          <w:sz w:val="20"/>
          <w:szCs w:val="20"/>
          <w:color w:val="auto"/>
        </w:rPr>
      </w:pPr>
      <w:r>
        <w:rPr>
          <w:rFonts w:ascii="Arial" w:cs="Arial" w:eastAsia="Arial" w:hAnsi="Arial"/>
          <w:sz w:val="14"/>
          <w:szCs w:val="14"/>
          <w:color w:val="auto"/>
        </w:rPr>
        <w:t>KNOW ALL PERSONS BY THESE PRESENTS, that each person whose signature appears below hereby constitutes and appoints Scott A. Graeff and Eugene J. Nestro, and each of them acting individually, as his true and lawful attorneys-in-fact and agents, with full power of each to act alone, with full powers of substitution and resubstitution, for him and in his name, place and stead, in any and all capacities, to sign any and all amendments to this Annual Report on Form 10-K with all exhibits thereto and all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might or could do in person, hereby ratifying and confirming all that said attorneys-in-fact and agents, or his or their substitutes, may lawfully do or cause to be done by virtue hereof.</w:t>
      </w:r>
    </w:p>
    <w:p>
      <w:pPr>
        <w:spacing w:after="0" w:line="107" w:lineRule="exact"/>
        <w:rPr>
          <w:sz w:val="20"/>
          <w:szCs w:val="20"/>
          <w:color w:val="auto"/>
        </w:rPr>
      </w:pPr>
    </w:p>
    <w:p>
      <w:pPr>
        <w:ind w:firstLine="340"/>
        <w:spacing w:after="0" w:line="281"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80" w:type="dxa"/>
            <w:vAlign w:val="bottom"/>
          </w:tcPr>
          <w:p>
            <w:pPr>
              <w:spacing w:after="0"/>
              <w:rPr>
                <w:sz w:val="10"/>
                <w:szCs w:val="10"/>
                <w:color w:val="auto"/>
              </w:rPr>
            </w:pPr>
          </w:p>
        </w:tc>
        <w:tc>
          <w:tcPr>
            <w:tcW w:w="2040" w:type="dxa"/>
            <w:vAlign w:val="bottom"/>
            <w:gridSpan w:val="2"/>
          </w:tcPr>
          <w:p>
            <w:pPr>
              <w:jc w:val="center"/>
              <w:ind w:right="1580"/>
              <w:spacing w:after="0"/>
              <w:rPr>
                <w:sz w:val="20"/>
                <w:szCs w:val="20"/>
                <w:color w:val="auto"/>
              </w:rPr>
            </w:pPr>
            <w:r>
              <w:rPr>
                <w:rFonts w:ascii="Arial" w:cs="Arial" w:eastAsia="Arial" w:hAnsi="Arial"/>
                <w:sz w:val="11"/>
                <w:szCs w:val="11"/>
                <w:b w:val="1"/>
                <w:bCs w:val="1"/>
                <w:color w:val="auto"/>
                <w:w w:val="90"/>
              </w:rPr>
              <w:t>Signature</w:t>
            </w:r>
          </w:p>
        </w:tc>
        <w:tc>
          <w:tcPr>
            <w:tcW w:w="2720" w:type="dxa"/>
            <w:vAlign w:val="bottom"/>
          </w:tcPr>
          <w:p>
            <w:pPr>
              <w:spacing w:after="0"/>
              <w:rPr>
                <w:sz w:val="10"/>
                <w:szCs w:val="10"/>
                <w:color w:val="auto"/>
              </w:rPr>
            </w:pPr>
          </w:p>
        </w:tc>
        <w:tc>
          <w:tcPr>
            <w:tcW w:w="290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1480" w:type="dxa"/>
            <w:vAlign w:val="bottom"/>
            <w:gridSpan w:val="3"/>
          </w:tcPr>
          <w:p>
            <w:pPr>
              <w:jc w:val="center"/>
              <w:ind w:left="511"/>
              <w:spacing w:after="0"/>
              <w:rPr>
                <w:sz w:val="20"/>
                <w:szCs w:val="20"/>
                <w:color w:val="auto"/>
              </w:rPr>
            </w:pPr>
            <w:r>
              <w:rPr>
                <w:rFonts w:ascii="Arial" w:cs="Arial" w:eastAsia="Arial" w:hAnsi="Arial"/>
                <w:sz w:val="11"/>
                <w:szCs w:val="11"/>
                <w:b w:val="1"/>
                <w:bCs w:val="1"/>
                <w:color w:val="auto"/>
                <w:w w:val="92"/>
              </w:rPr>
              <w:t>Date</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color w:val="auto"/>
                <w:w w:val="94"/>
              </w:rPr>
              <w:t>/s/ Scott A. Graeff</w:t>
            </w:r>
          </w:p>
        </w:tc>
        <w:tc>
          <w:tcPr>
            <w:tcW w:w="5620" w:type="dxa"/>
            <w:vAlign w:val="bottom"/>
            <w:gridSpan w:val="3"/>
            <w:vMerge w:val="restart"/>
          </w:tcPr>
          <w:p>
            <w:pPr>
              <w:ind w:left="140"/>
              <w:spacing w:after="0"/>
              <w:rPr>
                <w:sz w:val="20"/>
                <w:szCs w:val="20"/>
                <w:color w:val="auto"/>
              </w:rPr>
            </w:pPr>
            <w:r>
              <w:rPr>
                <w:rFonts w:ascii="Arial" w:cs="Arial" w:eastAsia="Arial" w:hAnsi="Arial"/>
                <w:sz w:val="14"/>
                <w:szCs w:val="14"/>
                <w:color w:val="auto"/>
              </w:rPr>
              <w:t>President, Chief Executive Officer and Director (Principal Executive Officer)</w:t>
            </w:r>
          </w:p>
        </w:tc>
        <w:tc>
          <w:tcPr>
            <w:tcW w:w="1480" w:type="dxa"/>
            <w:vAlign w:val="bottom"/>
            <w:gridSpan w:val="3"/>
            <w:vMerge w:val="restart"/>
          </w:tcPr>
          <w:p>
            <w:pPr>
              <w:jc w:val="center"/>
              <w:ind w:left="511"/>
              <w:spacing w:after="0"/>
              <w:rPr>
                <w:sz w:val="20"/>
                <w:szCs w:val="20"/>
                <w:color w:val="auto"/>
              </w:rPr>
            </w:pPr>
            <w:r>
              <w:rPr>
                <w:rFonts w:ascii="Arial" w:cs="Arial" w:eastAsia="Arial" w:hAnsi="Arial"/>
                <w:sz w:val="14"/>
                <w:szCs w:val="14"/>
                <w:color w:val="auto"/>
                <w:w w:val="92"/>
              </w:rPr>
              <w:t>March 13, 2020</w:t>
            </w:r>
          </w:p>
        </w:tc>
        <w:tc>
          <w:tcPr>
            <w:tcW w:w="0" w:type="dxa"/>
            <w:vAlign w:val="bottom"/>
          </w:tcPr>
          <w:p>
            <w:pPr>
              <w:spacing w:after="0"/>
              <w:rPr>
                <w:sz w:val="1"/>
                <w:szCs w:val="1"/>
                <w:color w:val="auto"/>
              </w:rPr>
            </w:pPr>
          </w:p>
        </w:tc>
      </w:tr>
      <w:tr>
        <w:trPr>
          <w:trHeight w:val="69"/>
        </w:trPr>
        <w:tc>
          <w:tcPr>
            <w:tcW w:w="3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Scott A. Graeff</w:t>
            </w:r>
          </w:p>
        </w:tc>
        <w:tc>
          <w:tcPr>
            <w:tcW w:w="5620" w:type="dxa"/>
            <w:vAlign w:val="bottom"/>
            <w:gridSpan w:val="3"/>
            <w:vMerge w:val="continue"/>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3620" w:type="dxa"/>
            <w:vAlign w:val="bottom"/>
            <w:gridSpan w:val="3"/>
            <w:vMerge w:val="continue"/>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color w:val="auto"/>
                <w:w w:val="90"/>
              </w:rPr>
              <w:t>/s/ Eugene J. Nestro</w:t>
            </w:r>
          </w:p>
        </w:tc>
        <w:tc>
          <w:tcPr>
            <w:tcW w:w="5620" w:type="dxa"/>
            <w:vAlign w:val="bottom"/>
            <w:gridSpan w:val="3"/>
            <w:vMerge w:val="restart"/>
          </w:tcPr>
          <w:p>
            <w:pPr>
              <w:ind w:left="140"/>
              <w:spacing w:after="0"/>
              <w:rPr>
                <w:sz w:val="20"/>
                <w:szCs w:val="20"/>
                <w:color w:val="auto"/>
              </w:rPr>
            </w:pPr>
            <w:r>
              <w:rPr>
                <w:rFonts w:ascii="Arial" w:cs="Arial" w:eastAsia="Arial" w:hAnsi="Arial"/>
                <w:sz w:val="14"/>
                <w:szCs w:val="14"/>
                <w:color w:val="auto"/>
              </w:rPr>
              <w:t>Chief Financial Officer (Principal Financial Officer and Principal Accounting Officer)</w:t>
            </w:r>
          </w:p>
        </w:tc>
        <w:tc>
          <w:tcPr>
            <w:tcW w:w="1480" w:type="dxa"/>
            <w:vAlign w:val="bottom"/>
            <w:gridSpan w:val="3"/>
            <w:vMerge w:val="restart"/>
          </w:tcPr>
          <w:p>
            <w:pPr>
              <w:jc w:val="center"/>
              <w:ind w:left="511"/>
              <w:spacing w:after="0"/>
              <w:rPr>
                <w:sz w:val="20"/>
                <w:szCs w:val="20"/>
                <w:color w:val="auto"/>
              </w:rPr>
            </w:pPr>
            <w:r>
              <w:rPr>
                <w:rFonts w:ascii="Arial" w:cs="Arial" w:eastAsia="Arial" w:hAnsi="Arial"/>
                <w:sz w:val="14"/>
                <w:szCs w:val="14"/>
                <w:color w:val="auto"/>
                <w:w w:val="92"/>
              </w:rPr>
              <w:t>March 13, 2020</w:t>
            </w:r>
          </w:p>
        </w:tc>
        <w:tc>
          <w:tcPr>
            <w:tcW w:w="0" w:type="dxa"/>
            <w:vAlign w:val="bottom"/>
          </w:tcPr>
          <w:p>
            <w:pPr>
              <w:spacing w:after="0"/>
              <w:rPr>
                <w:sz w:val="1"/>
                <w:szCs w:val="1"/>
                <w:color w:val="auto"/>
              </w:rPr>
            </w:pPr>
          </w:p>
        </w:tc>
      </w:tr>
      <w:tr>
        <w:trPr>
          <w:trHeight w:val="69"/>
        </w:trPr>
        <w:tc>
          <w:tcPr>
            <w:tcW w:w="3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Eugene J. Nestro</w:t>
            </w:r>
          </w:p>
        </w:tc>
        <w:tc>
          <w:tcPr>
            <w:tcW w:w="5620" w:type="dxa"/>
            <w:vAlign w:val="bottom"/>
            <w:gridSpan w:val="3"/>
            <w:vMerge w:val="continue"/>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3620" w:type="dxa"/>
            <w:vAlign w:val="bottom"/>
            <w:gridSpan w:val="3"/>
            <w:vMerge w:val="continue"/>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color w:val="auto"/>
                <w:w w:val="95"/>
              </w:rPr>
              <w:t>/s/ Michael W. Wise</w:t>
            </w:r>
          </w:p>
        </w:tc>
        <w:tc>
          <w:tcPr>
            <w:tcW w:w="5620" w:type="dxa"/>
            <w:vAlign w:val="bottom"/>
            <w:gridSpan w:val="3"/>
            <w:vMerge w:val="restart"/>
          </w:tcPr>
          <w:p>
            <w:pPr>
              <w:ind w:left="140"/>
              <w:spacing w:after="0"/>
              <w:rPr>
                <w:sz w:val="20"/>
                <w:szCs w:val="20"/>
                <w:color w:val="auto"/>
              </w:rPr>
            </w:pPr>
            <w:r>
              <w:rPr>
                <w:rFonts w:ascii="Arial" w:cs="Arial" w:eastAsia="Arial" w:hAnsi="Arial"/>
                <w:sz w:val="14"/>
                <w:szCs w:val="14"/>
                <w:color w:val="auto"/>
              </w:rPr>
              <w:t>Director</w:t>
            </w:r>
          </w:p>
        </w:tc>
        <w:tc>
          <w:tcPr>
            <w:tcW w:w="1480" w:type="dxa"/>
            <w:vAlign w:val="bottom"/>
            <w:gridSpan w:val="3"/>
            <w:vMerge w:val="restart"/>
          </w:tcPr>
          <w:p>
            <w:pPr>
              <w:jc w:val="center"/>
              <w:ind w:left="511"/>
              <w:spacing w:after="0"/>
              <w:rPr>
                <w:sz w:val="20"/>
                <w:szCs w:val="20"/>
                <w:color w:val="auto"/>
              </w:rPr>
            </w:pPr>
            <w:r>
              <w:rPr>
                <w:rFonts w:ascii="Arial" w:cs="Arial" w:eastAsia="Arial" w:hAnsi="Arial"/>
                <w:sz w:val="14"/>
                <w:szCs w:val="14"/>
                <w:color w:val="auto"/>
                <w:w w:val="92"/>
              </w:rPr>
              <w:t>March 13, 2020</w:t>
            </w:r>
          </w:p>
        </w:tc>
        <w:tc>
          <w:tcPr>
            <w:tcW w:w="0" w:type="dxa"/>
            <w:vAlign w:val="bottom"/>
          </w:tcPr>
          <w:p>
            <w:pPr>
              <w:spacing w:after="0"/>
              <w:rPr>
                <w:sz w:val="1"/>
                <w:szCs w:val="1"/>
                <w:color w:val="auto"/>
              </w:rPr>
            </w:pPr>
          </w:p>
        </w:tc>
      </w:tr>
      <w:tr>
        <w:trPr>
          <w:trHeight w:val="69"/>
        </w:trPr>
        <w:tc>
          <w:tcPr>
            <w:tcW w:w="3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Michael W. Wise</w:t>
            </w:r>
          </w:p>
        </w:tc>
        <w:tc>
          <w:tcPr>
            <w:tcW w:w="5620" w:type="dxa"/>
            <w:vAlign w:val="bottom"/>
            <w:gridSpan w:val="3"/>
            <w:vMerge w:val="continue"/>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3620" w:type="dxa"/>
            <w:vAlign w:val="bottom"/>
            <w:gridSpan w:val="3"/>
            <w:vMerge w:val="continue"/>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color w:val="auto"/>
                <w:w w:val="92"/>
              </w:rPr>
              <w:t>/s/ Donald Pastor</w:t>
            </w:r>
          </w:p>
        </w:tc>
        <w:tc>
          <w:tcPr>
            <w:tcW w:w="5620" w:type="dxa"/>
            <w:vAlign w:val="bottom"/>
            <w:gridSpan w:val="3"/>
            <w:vMerge w:val="restart"/>
          </w:tcPr>
          <w:p>
            <w:pPr>
              <w:ind w:left="140"/>
              <w:spacing w:after="0"/>
              <w:rPr>
                <w:sz w:val="20"/>
                <w:szCs w:val="20"/>
                <w:color w:val="auto"/>
              </w:rPr>
            </w:pPr>
            <w:r>
              <w:rPr>
                <w:rFonts w:ascii="Arial" w:cs="Arial" w:eastAsia="Arial" w:hAnsi="Arial"/>
                <w:sz w:val="14"/>
                <w:szCs w:val="14"/>
                <w:color w:val="auto"/>
              </w:rPr>
              <w:t>Director</w:t>
            </w:r>
          </w:p>
        </w:tc>
        <w:tc>
          <w:tcPr>
            <w:tcW w:w="1480" w:type="dxa"/>
            <w:vAlign w:val="bottom"/>
            <w:gridSpan w:val="3"/>
            <w:vMerge w:val="restart"/>
          </w:tcPr>
          <w:p>
            <w:pPr>
              <w:jc w:val="center"/>
              <w:ind w:left="511"/>
              <w:spacing w:after="0"/>
              <w:rPr>
                <w:sz w:val="20"/>
                <w:szCs w:val="20"/>
                <w:color w:val="auto"/>
              </w:rPr>
            </w:pPr>
            <w:r>
              <w:rPr>
                <w:rFonts w:ascii="Arial" w:cs="Arial" w:eastAsia="Arial" w:hAnsi="Arial"/>
                <w:sz w:val="14"/>
                <w:szCs w:val="14"/>
                <w:color w:val="auto"/>
                <w:w w:val="92"/>
              </w:rPr>
              <w:t>March 13, 2020</w:t>
            </w:r>
          </w:p>
        </w:tc>
        <w:tc>
          <w:tcPr>
            <w:tcW w:w="0" w:type="dxa"/>
            <w:vAlign w:val="bottom"/>
          </w:tcPr>
          <w:p>
            <w:pPr>
              <w:spacing w:after="0"/>
              <w:rPr>
                <w:sz w:val="1"/>
                <w:szCs w:val="1"/>
                <w:color w:val="auto"/>
              </w:rPr>
            </w:pPr>
          </w:p>
        </w:tc>
      </w:tr>
      <w:tr>
        <w:trPr>
          <w:trHeight w:val="69"/>
        </w:trPr>
        <w:tc>
          <w:tcPr>
            <w:tcW w:w="3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Donald Pastor</w:t>
            </w:r>
          </w:p>
        </w:tc>
        <w:tc>
          <w:tcPr>
            <w:tcW w:w="5620" w:type="dxa"/>
            <w:vAlign w:val="bottom"/>
            <w:gridSpan w:val="3"/>
            <w:vMerge w:val="continue"/>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3620" w:type="dxa"/>
            <w:vAlign w:val="bottom"/>
            <w:gridSpan w:val="3"/>
            <w:vMerge w:val="continue"/>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color w:val="auto"/>
                <w:w w:val="97"/>
              </w:rPr>
              <w:t>/s/ John B. Williamson III</w:t>
            </w:r>
          </w:p>
        </w:tc>
        <w:tc>
          <w:tcPr>
            <w:tcW w:w="5620" w:type="dxa"/>
            <w:vAlign w:val="bottom"/>
            <w:gridSpan w:val="3"/>
            <w:vMerge w:val="restart"/>
          </w:tcPr>
          <w:p>
            <w:pPr>
              <w:ind w:left="140"/>
              <w:spacing w:after="0"/>
              <w:rPr>
                <w:sz w:val="20"/>
                <w:szCs w:val="20"/>
                <w:color w:val="auto"/>
              </w:rPr>
            </w:pPr>
            <w:r>
              <w:rPr>
                <w:rFonts w:ascii="Arial" w:cs="Arial" w:eastAsia="Arial" w:hAnsi="Arial"/>
                <w:sz w:val="14"/>
                <w:szCs w:val="14"/>
                <w:color w:val="auto"/>
              </w:rPr>
              <w:t>Director</w:t>
            </w:r>
          </w:p>
        </w:tc>
        <w:tc>
          <w:tcPr>
            <w:tcW w:w="1480" w:type="dxa"/>
            <w:vAlign w:val="bottom"/>
            <w:gridSpan w:val="3"/>
            <w:vMerge w:val="restart"/>
          </w:tcPr>
          <w:p>
            <w:pPr>
              <w:jc w:val="center"/>
              <w:ind w:left="511"/>
              <w:spacing w:after="0"/>
              <w:rPr>
                <w:sz w:val="20"/>
                <w:szCs w:val="20"/>
                <w:color w:val="auto"/>
              </w:rPr>
            </w:pPr>
            <w:r>
              <w:rPr>
                <w:rFonts w:ascii="Arial" w:cs="Arial" w:eastAsia="Arial" w:hAnsi="Arial"/>
                <w:sz w:val="14"/>
                <w:szCs w:val="14"/>
                <w:color w:val="auto"/>
                <w:w w:val="92"/>
              </w:rPr>
              <w:t>March 13, 2020</w:t>
            </w:r>
          </w:p>
        </w:tc>
        <w:tc>
          <w:tcPr>
            <w:tcW w:w="0" w:type="dxa"/>
            <w:vAlign w:val="bottom"/>
          </w:tcPr>
          <w:p>
            <w:pPr>
              <w:spacing w:after="0"/>
              <w:rPr>
                <w:sz w:val="1"/>
                <w:szCs w:val="1"/>
                <w:color w:val="auto"/>
              </w:rPr>
            </w:pPr>
          </w:p>
        </w:tc>
      </w:tr>
      <w:tr>
        <w:trPr>
          <w:trHeight w:val="69"/>
        </w:trPr>
        <w:tc>
          <w:tcPr>
            <w:tcW w:w="3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John B. Williamson III</w:t>
            </w:r>
          </w:p>
        </w:tc>
        <w:tc>
          <w:tcPr>
            <w:tcW w:w="5620" w:type="dxa"/>
            <w:vAlign w:val="bottom"/>
            <w:gridSpan w:val="3"/>
            <w:vMerge w:val="continue"/>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3620" w:type="dxa"/>
            <w:vAlign w:val="bottom"/>
            <w:gridSpan w:val="3"/>
            <w:vMerge w:val="continue"/>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color w:val="auto"/>
                <w:w w:val="94"/>
              </w:rPr>
              <w:t>/s/ N. Leigh Anderson</w:t>
            </w:r>
          </w:p>
        </w:tc>
        <w:tc>
          <w:tcPr>
            <w:tcW w:w="5620" w:type="dxa"/>
            <w:vAlign w:val="bottom"/>
            <w:gridSpan w:val="3"/>
            <w:vMerge w:val="restart"/>
          </w:tcPr>
          <w:p>
            <w:pPr>
              <w:ind w:left="140"/>
              <w:spacing w:after="0"/>
              <w:rPr>
                <w:sz w:val="20"/>
                <w:szCs w:val="20"/>
                <w:color w:val="auto"/>
              </w:rPr>
            </w:pPr>
            <w:r>
              <w:rPr>
                <w:rFonts w:ascii="Arial" w:cs="Arial" w:eastAsia="Arial" w:hAnsi="Arial"/>
                <w:sz w:val="14"/>
                <w:szCs w:val="14"/>
                <w:color w:val="auto"/>
              </w:rPr>
              <w:t>Director</w:t>
            </w:r>
          </w:p>
        </w:tc>
        <w:tc>
          <w:tcPr>
            <w:tcW w:w="1480" w:type="dxa"/>
            <w:vAlign w:val="bottom"/>
            <w:gridSpan w:val="3"/>
            <w:vMerge w:val="restart"/>
          </w:tcPr>
          <w:p>
            <w:pPr>
              <w:jc w:val="center"/>
              <w:ind w:left="511"/>
              <w:spacing w:after="0"/>
              <w:rPr>
                <w:sz w:val="20"/>
                <w:szCs w:val="20"/>
                <w:color w:val="auto"/>
              </w:rPr>
            </w:pPr>
            <w:r>
              <w:rPr>
                <w:rFonts w:ascii="Arial" w:cs="Arial" w:eastAsia="Arial" w:hAnsi="Arial"/>
                <w:sz w:val="14"/>
                <w:szCs w:val="14"/>
                <w:color w:val="auto"/>
                <w:w w:val="92"/>
              </w:rPr>
              <w:t>March 13, 2020</w:t>
            </w:r>
          </w:p>
        </w:tc>
        <w:tc>
          <w:tcPr>
            <w:tcW w:w="0" w:type="dxa"/>
            <w:vAlign w:val="bottom"/>
          </w:tcPr>
          <w:p>
            <w:pPr>
              <w:spacing w:after="0"/>
              <w:rPr>
                <w:sz w:val="1"/>
                <w:szCs w:val="1"/>
                <w:color w:val="auto"/>
              </w:rPr>
            </w:pPr>
          </w:p>
        </w:tc>
      </w:tr>
      <w:tr>
        <w:trPr>
          <w:trHeight w:val="69"/>
        </w:trPr>
        <w:tc>
          <w:tcPr>
            <w:tcW w:w="3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N. Leigh Anderson</w:t>
            </w:r>
          </w:p>
        </w:tc>
        <w:tc>
          <w:tcPr>
            <w:tcW w:w="5620" w:type="dxa"/>
            <w:vAlign w:val="bottom"/>
            <w:gridSpan w:val="3"/>
            <w:vMerge w:val="continue"/>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3620" w:type="dxa"/>
            <w:vAlign w:val="bottom"/>
            <w:gridSpan w:val="3"/>
            <w:vMerge w:val="continue"/>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color w:val="auto"/>
                <w:w w:val="94"/>
              </w:rPr>
              <w:t>/s/ Warren B. Phelps, III</w:t>
            </w:r>
          </w:p>
        </w:tc>
        <w:tc>
          <w:tcPr>
            <w:tcW w:w="5620" w:type="dxa"/>
            <w:vAlign w:val="bottom"/>
            <w:gridSpan w:val="3"/>
            <w:vMerge w:val="restart"/>
          </w:tcPr>
          <w:p>
            <w:pPr>
              <w:ind w:left="140"/>
              <w:spacing w:after="0"/>
              <w:rPr>
                <w:sz w:val="20"/>
                <w:szCs w:val="20"/>
                <w:color w:val="auto"/>
              </w:rPr>
            </w:pPr>
            <w:r>
              <w:rPr>
                <w:rFonts w:ascii="Arial" w:cs="Arial" w:eastAsia="Arial" w:hAnsi="Arial"/>
                <w:sz w:val="14"/>
                <w:szCs w:val="14"/>
                <w:color w:val="auto"/>
              </w:rPr>
              <w:t>Director</w:t>
            </w:r>
          </w:p>
        </w:tc>
        <w:tc>
          <w:tcPr>
            <w:tcW w:w="1480" w:type="dxa"/>
            <w:vAlign w:val="bottom"/>
            <w:gridSpan w:val="3"/>
            <w:vMerge w:val="restart"/>
          </w:tcPr>
          <w:p>
            <w:pPr>
              <w:jc w:val="center"/>
              <w:ind w:left="511"/>
              <w:spacing w:after="0"/>
              <w:rPr>
                <w:sz w:val="20"/>
                <w:szCs w:val="20"/>
                <w:color w:val="auto"/>
              </w:rPr>
            </w:pPr>
            <w:r>
              <w:rPr>
                <w:rFonts w:ascii="Arial" w:cs="Arial" w:eastAsia="Arial" w:hAnsi="Arial"/>
                <w:sz w:val="14"/>
                <w:szCs w:val="14"/>
                <w:color w:val="auto"/>
                <w:w w:val="92"/>
              </w:rPr>
              <w:t>March 13, 2020</w:t>
            </w:r>
          </w:p>
        </w:tc>
        <w:tc>
          <w:tcPr>
            <w:tcW w:w="0" w:type="dxa"/>
            <w:vAlign w:val="bottom"/>
          </w:tcPr>
          <w:p>
            <w:pPr>
              <w:spacing w:after="0"/>
              <w:rPr>
                <w:sz w:val="1"/>
                <w:szCs w:val="1"/>
                <w:color w:val="auto"/>
              </w:rPr>
            </w:pPr>
          </w:p>
        </w:tc>
      </w:tr>
      <w:tr>
        <w:trPr>
          <w:trHeight w:val="69"/>
        </w:trPr>
        <w:tc>
          <w:tcPr>
            <w:tcW w:w="3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Warren B. Phelps, III</w:t>
            </w:r>
          </w:p>
        </w:tc>
        <w:tc>
          <w:tcPr>
            <w:tcW w:w="5620" w:type="dxa"/>
            <w:vAlign w:val="bottom"/>
            <w:gridSpan w:val="3"/>
            <w:vMerge w:val="continue"/>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3620" w:type="dxa"/>
            <w:vAlign w:val="bottom"/>
            <w:gridSpan w:val="3"/>
            <w:vMerge w:val="continue"/>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color w:val="auto"/>
                <w:w w:val="94"/>
              </w:rPr>
              <w:t>/s/ Gary Spiegel</w:t>
            </w:r>
          </w:p>
        </w:tc>
        <w:tc>
          <w:tcPr>
            <w:tcW w:w="5620" w:type="dxa"/>
            <w:vAlign w:val="bottom"/>
            <w:gridSpan w:val="3"/>
            <w:vMerge w:val="restart"/>
          </w:tcPr>
          <w:p>
            <w:pPr>
              <w:ind w:left="140"/>
              <w:spacing w:after="0"/>
              <w:rPr>
                <w:sz w:val="20"/>
                <w:szCs w:val="20"/>
                <w:color w:val="auto"/>
              </w:rPr>
            </w:pPr>
            <w:r>
              <w:rPr>
                <w:rFonts w:ascii="Arial" w:cs="Arial" w:eastAsia="Arial" w:hAnsi="Arial"/>
                <w:sz w:val="14"/>
                <w:szCs w:val="14"/>
                <w:color w:val="auto"/>
              </w:rPr>
              <w:t>Director</w:t>
            </w:r>
          </w:p>
        </w:tc>
        <w:tc>
          <w:tcPr>
            <w:tcW w:w="1480" w:type="dxa"/>
            <w:vAlign w:val="bottom"/>
            <w:gridSpan w:val="3"/>
            <w:vMerge w:val="restart"/>
          </w:tcPr>
          <w:p>
            <w:pPr>
              <w:jc w:val="center"/>
              <w:ind w:left="511"/>
              <w:spacing w:after="0"/>
              <w:rPr>
                <w:sz w:val="20"/>
                <w:szCs w:val="20"/>
                <w:color w:val="auto"/>
              </w:rPr>
            </w:pPr>
            <w:r>
              <w:rPr>
                <w:rFonts w:ascii="Arial" w:cs="Arial" w:eastAsia="Arial" w:hAnsi="Arial"/>
                <w:sz w:val="14"/>
                <w:szCs w:val="14"/>
                <w:color w:val="auto"/>
                <w:w w:val="92"/>
              </w:rPr>
              <w:t>March 13, 2020</w:t>
            </w:r>
          </w:p>
        </w:tc>
        <w:tc>
          <w:tcPr>
            <w:tcW w:w="0" w:type="dxa"/>
            <w:vAlign w:val="bottom"/>
          </w:tcPr>
          <w:p>
            <w:pPr>
              <w:spacing w:after="0"/>
              <w:rPr>
                <w:sz w:val="1"/>
                <w:szCs w:val="1"/>
                <w:color w:val="auto"/>
              </w:rPr>
            </w:pPr>
          </w:p>
        </w:tc>
      </w:tr>
      <w:tr>
        <w:trPr>
          <w:trHeight w:val="69"/>
        </w:trPr>
        <w:tc>
          <w:tcPr>
            <w:tcW w:w="3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Gary Spiegel</w:t>
            </w:r>
          </w:p>
        </w:tc>
        <w:tc>
          <w:tcPr>
            <w:tcW w:w="5620" w:type="dxa"/>
            <w:vAlign w:val="bottom"/>
            <w:gridSpan w:val="3"/>
            <w:vMerge w:val="continue"/>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3620" w:type="dxa"/>
            <w:vAlign w:val="bottom"/>
            <w:gridSpan w:val="3"/>
            <w:vMerge w:val="continue"/>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color w:val="auto"/>
                <w:w w:val="96"/>
              </w:rPr>
              <w:t>/s/ Mary Beth Vitale</w:t>
            </w:r>
          </w:p>
        </w:tc>
        <w:tc>
          <w:tcPr>
            <w:tcW w:w="5620" w:type="dxa"/>
            <w:vAlign w:val="bottom"/>
            <w:gridSpan w:val="3"/>
            <w:vMerge w:val="restart"/>
          </w:tcPr>
          <w:p>
            <w:pPr>
              <w:ind w:left="140"/>
              <w:spacing w:after="0"/>
              <w:rPr>
                <w:sz w:val="20"/>
                <w:szCs w:val="20"/>
                <w:color w:val="auto"/>
              </w:rPr>
            </w:pPr>
            <w:r>
              <w:rPr>
                <w:rFonts w:ascii="Arial" w:cs="Arial" w:eastAsia="Arial" w:hAnsi="Arial"/>
                <w:sz w:val="14"/>
                <w:szCs w:val="14"/>
                <w:color w:val="auto"/>
              </w:rPr>
              <w:t>Director</w:t>
            </w:r>
          </w:p>
        </w:tc>
        <w:tc>
          <w:tcPr>
            <w:tcW w:w="1480" w:type="dxa"/>
            <w:vAlign w:val="bottom"/>
            <w:gridSpan w:val="3"/>
            <w:vMerge w:val="restart"/>
          </w:tcPr>
          <w:p>
            <w:pPr>
              <w:jc w:val="center"/>
              <w:ind w:left="511"/>
              <w:spacing w:after="0"/>
              <w:rPr>
                <w:sz w:val="20"/>
                <w:szCs w:val="20"/>
                <w:color w:val="auto"/>
              </w:rPr>
            </w:pPr>
            <w:r>
              <w:rPr>
                <w:rFonts w:ascii="Arial" w:cs="Arial" w:eastAsia="Arial" w:hAnsi="Arial"/>
                <w:sz w:val="14"/>
                <w:szCs w:val="14"/>
                <w:color w:val="auto"/>
                <w:w w:val="92"/>
              </w:rPr>
              <w:t>March 13, 2020</w:t>
            </w:r>
          </w:p>
        </w:tc>
        <w:tc>
          <w:tcPr>
            <w:tcW w:w="0" w:type="dxa"/>
            <w:vAlign w:val="bottom"/>
          </w:tcPr>
          <w:p>
            <w:pPr>
              <w:spacing w:after="0"/>
              <w:rPr>
                <w:sz w:val="1"/>
                <w:szCs w:val="1"/>
                <w:color w:val="auto"/>
              </w:rPr>
            </w:pPr>
          </w:p>
        </w:tc>
      </w:tr>
      <w:tr>
        <w:trPr>
          <w:trHeight w:val="69"/>
        </w:trPr>
        <w:tc>
          <w:tcPr>
            <w:tcW w:w="3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Mary Beth Vitale</w:t>
            </w:r>
          </w:p>
        </w:tc>
        <w:tc>
          <w:tcPr>
            <w:tcW w:w="5620" w:type="dxa"/>
            <w:vAlign w:val="bottom"/>
            <w:gridSpan w:val="3"/>
            <w:vMerge w:val="continue"/>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3620" w:type="dxa"/>
            <w:vAlign w:val="bottom"/>
            <w:gridSpan w:val="3"/>
            <w:vMerge w:val="continue"/>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color w:val="auto"/>
                <w:w w:val="93"/>
              </w:rPr>
              <w:t>/s/ Richard W. Roedel</w:t>
            </w:r>
          </w:p>
        </w:tc>
        <w:tc>
          <w:tcPr>
            <w:tcW w:w="5620" w:type="dxa"/>
            <w:vAlign w:val="bottom"/>
            <w:gridSpan w:val="3"/>
            <w:vMerge w:val="restart"/>
          </w:tcPr>
          <w:p>
            <w:pPr>
              <w:ind w:left="140"/>
              <w:spacing w:after="0"/>
              <w:rPr>
                <w:sz w:val="20"/>
                <w:szCs w:val="20"/>
                <w:color w:val="auto"/>
              </w:rPr>
            </w:pPr>
            <w:r>
              <w:rPr>
                <w:rFonts w:ascii="Arial" w:cs="Arial" w:eastAsia="Arial" w:hAnsi="Arial"/>
                <w:sz w:val="14"/>
                <w:szCs w:val="14"/>
                <w:color w:val="auto"/>
              </w:rPr>
              <w:t>Chairman of the Board of Directors</w:t>
            </w:r>
          </w:p>
        </w:tc>
        <w:tc>
          <w:tcPr>
            <w:tcW w:w="1480" w:type="dxa"/>
            <w:vAlign w:val="bottom"/>
            <w:gridSpan w:val="3"/>
            <w:vMerge w:val="restart"/>
          </w:tcPr>
          <w:p>
            <w:pPr>
              <w:jc w:val="center"/>
              <w:ind w:left="511"/>
              <w:spacing w:after="0"/>
              <w:rPr>
                <w:sz w:val="20"/>
                <w:szCs w:val="20"/>
                <w:color w:val="auto"/>
              </w:rPr>
            </w:pPr>
            <w:r>
              <w:rPr>
                <w:rFonts w:ascii="Arial" w:cs="Arial" w:eastAsia="Arial" w:hAnsi="Arial"/>
                <w:sz w:val="14"/>
                <w:szCs w:val="14"/>
                <w:color w:val="auto"/>
                <w:w w:val="92"/>
              </w:rPr>
              <w:t>March 13, 2020</w:t>
            </w:r>
          </w:p>
        </w:tc>
        <w:tc>
          <w:tcPr>
            <w:tcW w:w="0" w:type="dxa"/>
            <w:vAlign w:val="bottom"/>
          </w:tcPr>
          <w:p>
            <w:pPr>
              <w:spacing w:after="0"/>
              <w:rPr>
                <w:sz w:val="1"/>
                <w:szCs w:val="1"/>
                <w:color w:val="auto"/>
              </w:rPr>
            </w:pPr>
          </w:p>
        </w:tc>
      </w:tr>
      <w:tr>
        <w:trPr>
          <w:trHeight w:val="69"/>
        </w:trPr>
        <w:tc>
          <w:tcPr>
            <w:tcW w:w="3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Richard W. Roedel</w:t>
            </w:r>
          </w:p>
        </w:tc>
        <w:tc>
          <w:tcPr>
            <w:tcW w:w="5620" w:type="dxa"/>
            <w:vAlign w:val="bottom"/>
            <w:gridSpan w:val="3"/>
            <w:vMerge w:val="continue"/>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3620" w:type="dxa"/>
            <w:vAlign w:val="bottom"/>
            <w:gridSpan w:val="3"/>
            <w:vMerge w:val="continue"/>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0"/>
        </w:trPr>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720" w:type="dxa"/>
            <w:vAlign w:val="bottom"/>
          </w:tcPr>
          <w:p>
            <w:pPr>
              <w:ind w:left="1960"/>
              <w:spacing w:after="0"/>
              <w:rPr>
                <w:sz w:val="20"/>
                <w:szCs w:val="20"/>
                <w:color w:val="auto"/>
              </w:rPr>
            </w:pPr>
            <w:r>
              <w:rPr>
                <w:rFonts w:ascii="Arial" w:cs="Arial" w:eastAsia="Arial" w:hAnsi="Arial"/>
                <w:sz w:val="14"/>
                <w:szCs w:val="14"/>
                <w:color w:val="auto"/>
              </w:rPr>
              <w:t>83</w:t>
            </w: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125" w:right="339" w:bottom="1440"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05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9" w:name="page160"/>
    <w:bookmarkEnd w:id="159"/>
    <w:p>
      <w:pPr>
        <w:jc w:val="right"/>
        <w:spacing w:after="0"/>
        <w:rPr>
          <w:sz w:val="20"/>
          <w:szCs w:val="20"/>
          <w:color w:val="auto"/>
        </w:rPr>
      </w:pPr>
      <w:r>
        <w:rPr>
          <w:rFonts w:ascii="Arial" w:cs="Arial" w:eastAsia="Arial" w:hAnsi="Arial"/>
          <w:sz w:val="14"/>
          <w:szCs w:val="14"/>
          <w:color w:val="auto"/>
        </w:rPr>
        <w:t>EXHIBIT 21.1</w:t>
      </w:r>
    </w:p>
    <w:p>
      <w:pPr>
        <w:spacing w:after="0" w:line="378"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SUBSIDIARIES</w:t>
      </w:r>
    </w:p>
    <w:p>
      <w:pPr>
        <w:spacing w:after="0" w:line="200" w:lineRule="exact"/>
        <w:rPr>
          <w:sz w:val="20"/>
          <w:szCs w:val="20"/>
          <w:color w:val="auto"/>
        </w:rPr>
      </w:pPr>
    </w:p>
    <w:p>
      <w:pPr>
        <w:spacing w:after="0" w:line="295"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Luna Technologies, Inc.</w:t>
      </w:r>
    </w:p>
    <w:p>
      <w:pPr>
        <w:spacing w:after="0" w:line="8"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Former Luna Subsidiary, Inc. (previously Advanced Photonix, Inc.)</w:t>
      </w:r>
    </w:p>
    <w:p>
      <w:pPr>
        <w:spacing w:after="0" w:line="16"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TeraMetrix, LLC</w:t>
      </w:r>
    </w:p>
    <w:p>
      <w:pPr>
        <w:jc w:val="center"/>
        <w:ind w:right="1140"/>
        <w:spacing w:after="0" w:line="235" w:lineRule="auto"/>
        <w:rPr>
          <w:sz w:val="20"/>
          <w:szCs w:val="20"/>
          <w:color w:val="auto"/>
        </w:rPr>
      </w:pPr>
      <w:r>
        <w:rPr>
          <w:rFonts w:ascii="Arial" w:cs="Arial" w:eastAsia="Arial" w:hAnsi="Arial"/>
          <w:sz w:val="16"/>
          <w:szCs w:val="16"/>
          <w:color w:val="auto"/>
        </w:rPr>
        <w:t>Advanced Photonix Inc. Canada</w:t>
      </w:r>
    </w:p>
    <w:p>
      <w:pPr>
        <w:jc w:val="center"/>
        <w:ind w:right="1140"/>
        <w:spacing w:after="0"/>
        <w:rPr>
          <w:sz w:val="20"/>
          <w:szCs w:val="20"/>
          <w:color w:val="auto"/>
        </w:rPr>
      </w:pPr>
      <w:r>
        <w:rPr>
          <w:rFonts w:ascii="Arial" w:cs="Arial" w:eastAsia="Arial" w:hAnsi="Arial"/>
          <w:sz w:val="16"/>
          <w:szCs w:val="16"/>
          <w:color w:val="auto"/>
        </w:rPr>
        <w:t>General Photonics Corporation</w:t>
      </w:r>
    </w:p>
    <w:p>
      <w:pPr>
        <w:sectPr>
          <w:pgSz w:w="11900" w:h="16838" w:orient="portrait"/>
          <w:cols w:equalWidth="0" w:num="1">
            <w:col w:w="10140"/>
          </w:cols>
          <w:pgMar w:left="1440" w:top="129" w:right="3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4"/>
          <w:szCs w:val="14"/>
          <w:b w:val="1"/>
          <w:bCs w:val="1"/>
          <w:color w:val="747678"/>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6" w:lineRule="exact"/>
        <w:rPr>
          <w:sz w:val="20"/>
          <w:szCs w:val="20"/>
          <w:color w:val="auto"/>
        </w:rPr>
      </w:pPr>
    </w:p>
    <w:p>
      <w:pPr>
        <w:jc w:val="both"/>
        <w:ind w:left="80"/>
        <w:spacing w:after="0" w:line="297" w:lineRule="auto"/>
        <w:rPr>
          <w:sz w:val="20"/>
          <w:szCs w:val="20"/>
          <w:color w:val="auto"/>
        </w:rPr>
      </w:pPr>
      <w:r>
        <w:rPr>
          <w:rFonts w:ascii="Arial" w:cs="Arial" w:eastAsia="Arial" w:hAnsi="Arial"/>
          <w:sz w:val="13"/>
          <w:szCs w:val="13"/>
          <w:color w:val="auto"/>
        </w:rPr>
        <w:t>We have issued our reports dated March 13, 2020, with respect to the consolidated financial statements and internal control over financial reporting in the Annual Report of Luna Innovations Incorporated on Form 10-K for the year ended December 31, 2019. We consent to the incorporation by reference of said reports in the Registration Statements of Luna Innovations Incorporated on Form S-3 (File No. 333-191809), on Form S-4 (File No. 333-201956) and on Forms S-8 (File No. 333-211802, File No. 333-204435 and File No. 333-138745).</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/s/ GRANT THORNTON LLP</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Arlington, Virginia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March 13, 2020</w:t>
      </w:r>
    </w:p>
    <w:p>
      <w:pPr>
        <w:sectPr>
          <w:pgSz w:w="11900" w:h="16838" w:orient="portrait"/>
          <w:cols w:equalWidth="0" w:num="1">
            <w:col w:w="11280"/>
          </w:cols>
          <w:pgMar w:left="300" w:top="122" w:right="319" w:bottom="1440" w:gutter="0" w:footer="0" w:header="0"/>
        </w:sectPr>
      </w:pPr>
    </w:p>
    <w:bookmarkStart w:id="161" w:name="page162"/>
    <w:bookmarkEnd w:id="161"/>
    <w:p>
      <w:pPr>
        <w:jc w:val="right"/>
        <w:spacing w:after="0"/>
        <w:rPr>
          <w:sz w:val="20"/>
          <w:szCs w:val="20"/>
          <w:color w:val="auto"/>
        </w:rPr>
      </w:pPr>
      <w:r>
        <w:rPr>
          <w:rFonts w:ascii="Arial" w:cs="Arial" w:eastAsia="Arial" w:hAnsi="Arial"/>
          <w:sz w:val="14"/>
          <w:szCs w:val="14"/>
          <w:b w:val="1"/>
          <w:bCs w:val="1"/>
          <w:color w:val="auto"/>
        </w:rPr>
        <w:t>Exhibit 31.1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EXECUTIVE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I, Scott A. Graeff, certify that:</w:t>
      </w:r>
    </w:p>
    <w:p>
      <w:pPr>
        <w:spacing w:after="0" w:line="136" w:lineRule="exact"/>
        <w:rPr>
          <w:sz w:val="20"/>
          <w:szCs w:val="20"/>
          <w:color w:val="auto"/>
        </w:rPr>
      </w:pPr>
    </w:p>
    <w:p>
      <w:pPr>
        <w:ind w:left="260" w:hanging="255"/>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Luna Innovations Incorporated;</w:t>
      </w:r>
    </w:p>
    <w:p>
      <w:pPr>
        <w:spacing w:after="0" w:line="136" w:lineRule="exact"/>
        <w:rPr>
          <w:rFonts w:ascii="Arial" w:cs="Arial" w:eastAsia="Arial" w:hAnsi="Arial"/>
          <w:sz w:val="14"/>
          <w:szCs w:val="14"/>
          <w:color w:val="auto"/>
        </w:rPr>
      </w:pPr>
    </w:p>
    <w:p>
      <w:pPr>
        <w:ind w:left="260" w:right="140" w:hanging="255"/>
        <w:spacing w:after="0" w:line="281" w:lineRule="auto"/>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260" w:right="200" w:hanging="255"/>
        <w:spacing w:after="0" w:line="281" w:lineRule="auto"/>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left="260" w:right="60" w:hanging="255"/>
        <w:spacing w:after="0" w:line="281" w:lineRule="auto"/>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4"/>
          <w:szCs w:val="14"/>
          <w:color w:val="auto"/>
        </w:rPr>
      </w:pPr>
    </w:p>
    <w:p>
      <w:pPr>
        <w:ind w:left="760" w:right="60" w:hanging="246"/>
        <w:spacing w:after="0" w:line="368" w:lineRule="auto"/>
        <w:tabs>
          <w:tab w:leader="none" w:pos="760" w:val="left"/>
        </w:tabs>
        <w:numPr>
          <w:ilvl w:val="1"/>
          <w:numId w:val="2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2"/>
          <w:szCs w:val="12"/>
          <w:color w:val="auto"/>
        </w:rPr>
      </w:pPr>
    </w:p>
    <w:p>
      <w:pPr>
        <w:ind w:left="760" w:right="280" w:hanging="246"/>
        <w:spacing w:after="0" w:line="368" w:lineRule="auto"/>
        <w:tabs>
          <w:tab w:leader="none" w:pos="760" w:val="left"/>
        </w:tabs>
        <w:numPr>
          <w:ilvl w:val="1"/>
          <w:numId w:val="2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2"/>
          <w:szCs w:val="12"/>
          <w:color w:val="auto"/>
        </w:rPr>
      </w:pPr>
    </w:p>
    <w:p>
      <w:pPr>
        <w:ind w:left="760" w:right="440" w:hanging="246"/>
        <w:spacing w:after="0" w:line="281" w:lineRule="auto"/>
        <w:tabs>
          <w:tab w:leader="none" w:pos="760" w:val="left"/>
        </w:tabs>
        <w:numPr>
          <w:ilvl w:val="1"/>
          <w:numId w:val="2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left="760" w:right="100" w:hanging="246"/>
        <w:spacing w:after="0" w:line="321" w:lineRule="auto"/>
        <w:tabs>
          <w:tab w:leader="none" w:pos="760" w:val="left"/>
        </w:tabs>
        <w:numPr>
          <w:ilvl w:val="1"/>
          <w:numId w:val="2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left="260" w:hanging="255"/>
        <w:spacing w:after="0" w:line="281" w:lineRule="auto"/>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4"/>
          <w:szCs w:val="14"/>
          <w:color w:val="auto"/>
        </w:rPr>
      </w:pPr>
    </w:p>
    <w:p>
      <w:pPr>
        <w:ind w:left="760" w:right="140" w:hanging="246"/>
        <w:spacing w:after="0" w:line="281" w:lineRule="auto"/>
        <w:tabs>
          <w:tab w:leader="none" w:pos="760" w:val="left"/>
        </w:tabs>
        <w:numPr>
          <w:ilvl w:val="1"/>
          <w:numId w:val="2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760" w:hanging="246"/>
        <w:spacing w:after="0"/>
        <w:tabs>
          <w:tab w:leader="none" w:pos="760" w:val="left"/>
        </w:tabs>
        <w:numPr>
          <w:ilvl w:val="1"/>
          <w:numId w:val="2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Date: March 13, 2020</w:t>
      </w:r>
    </w:p>
    <w:p>
      <w:pPr>
        <w:spacing w:after="0" w:line="285" w:lineRule="exact"/>
        <w:rPr>
          <w:sz w:val="20"/>
          <w:szCs w:val="20"/>
          <w:color w:val="auto"/>
        </w:rPr>
      </w:pPr>
    </w:p>
    <w:p>
      <w:pPr>
        <w:ind w:left="2200"/>
        <w:spacing w:after="0"/>
        <w:tabs>
          <w:tab w:leader="none" w:pos="2480" w:val="left"/>
        </w:tabs>
        <w:rPr>
          <w:sz w:val="20"/>
          <w:szCs w:val="20"/>
          <w:color w:val="auto"/>
        </w:rPr>
      </w:pPr>
      <w:r>
        <w:rPr>
          <w:rFonts w:ascii="Arial" w:cs="Arial" w:eastAsia="Arial" w:hAnsi="Arial"/>
          <w:sz w:val="14"/>
          <w:szCs w:val="14"/>
          <w:color w:val="auto"/>
        </w:rPr>
        <w:t>/S/</w:t>
      </w:r>
      <w:r>
        <w:rPr>
          <w:sz w:val="20"/>
          <w:szCs w:val="20"/>
          <w:color w:val="auto"/>
        </w:rPr>
        <w:tab/>
      </w:r>
      <w:r>
        <w:rPr>
          <w:rFonts w:ascii="Arial" w:cs="Arial" w:eastAsia="Arial" w:hAnsi="Arial"/>
          <w:sz w:val="13"/>
          <w:szCs w:val="13"/>
          <w:color w:val="auto"/>
        </w:rPr>
        <w:t>Scott A. Graeff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365823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3658235" cy="6985"/>
                    </a:xfrm>
                    <a:prstGeom prst="rect">
                      <a:avLst/>
                    </a:prstGeom>
                    <a:noFill/>
                  </pic:spPr>
                </pic:pic>
              </a:graphicData>
            </a:graphic>
          </wp:anchor>
        </w:drawing>
      </w:r>
    </w:p>
    <w:p>
      <w:pPr>
        <w:spacing w:after="0" w:line="38" w:lineRule="exact"/>
        <w:rPr>
          <w:sz w:val="20"/>
          <w:szCs w:val="20"/>
          <w:color w:val="auto"/>
        </w:rPr>
      </w:pPr>
    </w:p>
    <w:p>
      <w:pPr>
        <w:ind w:left="2420"/>
        <w:spacing w:after="0"/>
        <w:rPr>
          <w:sz w:val="20"/>
          <w:szCs w:val="20"/>
          <w:color w:val="auto"/>
        </w:rPr>
      </w:pPr>
      <w:r>
        <w:rPr>
          <w:rFonts w:ascii="Arial" w:cs="Arial" w:eastAsia="Arial" w:hAnsi="Arial"/>
          <w:sz w:val="14"/>
          <w:szCs w:val="14"/>
          <w:b w:val="1"/>
          <w:bCs w:val="1"/>
          <w:color w:val="auto"/>
        </w:rPr>
        <w:t>Scott A. Graeff</w:t>
      </w:r>
    </w:p>
    <w:p>
      <w:pPr>
        <w:spacing w:after="0" w:line="51"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80"/>
          </w:cols>
          <w:pgMar w:left="300" w:top="464" w:right="319" w:bottom="1440" w:gutter="0" w:footer="0" w:header="0"/>
        </w:sectPr>
      </w:pPr>
    </w:p>
    <w:bookmarkStart w:id="162" w:name="page163"/>
    <w:bookmarkEnd w:id="162"/>
    <w:p>
      <w:pPr>
        <w:jc w:val="right"/>
        <w:spacing w:after="0"/>
        <w:rPr>
          <w:sz w:val="20"/>
          <w:szCs w:val="20"/>
          <w:color w:val="auto"/>
        </w:rPr>
      </w:pPr>
      <w:r>
        <w:rPr>
          <w:rFonts w:ascii="Arial" w:cs="Arial" w:eastAsia="Arial" w:hAnsi="Arial"/>
          <w:sz w:val="14"/>
          <w:szCs w:val="14"/>
          <w:b w:val="1"/>
          <w:bCs w:val="1"/>
          <w:color w:val="auto"/>
        </w:rPr>
        <w:t>Exhibit 31.2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FINANCIAL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I, Eugene J. Nestro, certify that:</w:t>
      </w:r>
    </w:p>
    <w:p>
      <w:pPr>
        <w:spacing w:after="0" w:line="136" w:lineRule="exact"/>
        <w:rPr>
          <w:sz w:val="20"/>
          <w:szCs w:val="20"/>
          <w:color w:val="auto"/>
        </w:rPr>
      </w:pPr>
    </w:p>
    <w:p>
      <w:pPr>
        <w:ind w:left="260" w:hanging="255"/>
        <w:spacing w:after="0"/>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Luna Innovations Incorporated;</w:t>
      </w:r>
    </w:p>
    <w:p>
      <w:pPr>
        <w:spacing w:after="0" w:line="136" w:lineRule="exact"/>
        <w:rPr>
          <w:rFonts w:ascii="Arial" w:cs="Arial" w:eastAsia="Arial" w:hAnsi="Arial"/>
          <w:sz w:val="14"/>
          <w:szCs w:val="14"/>
          <w:color w:val="auto"/>
        </w:rPr>
      </w:pPr>
    </w:p>
    <w:p>
      <w:pPr>
        <w:ind w:left="260" w:right="140" w:hanging="255"/>
        <w:spacing w:after="0" w:line="281" w:lineRule="auto"/>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260" w:right="200" w:hanging="255"/>
        <w:spacing w:after="0" w:line="281" w:lineRule="auto"/>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left="260" w:right="60" w:hanging="255"/>
        <w:spacing w:after="0" w:line="281" w:lineRule="auto"/>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4"/>
          <w:szCs w:val="14"/>
          <w:color w:val="auto"/>
        </w:rPr>
      </w:pPr>
    </w:p>
    <w:p>
      <w:pPr>
        <w:ind w:left="760" w:right="60" w:hanging="246"/>
        <w:spacing w:after="0" w:line="368" w:lineRule="auto"/>
        <w:tabs>
          <w:tab w:leader="none" w:pos="760" w:val="left"/>
        </w:tabs>
        <w:numPr>
          <w:ilvl w:val="1"/>
          <w:numId w:val="2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2"/>
          <w:szCs w:val="12"/>
          <w:color w:val="auto"/>
        </w:rPr>
      </w:pPr>
    </w:p>
    <w:p>
      <w:pPr>
        <w:ind w:left="760" w:right="280" w:hanging="246"/>
        <w:spacing w:after="0" w:line="368" w:lineRule="auto"/>
        <w:tabs>
          <w:tab w:leader="none" w:pos="760" w:val="left"/>
        </w:tabs>
        <w:numPr>
          <w:ilvl w:val="1"/>
          <w:numId w:val="2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2"/>
          <w:szCs w:val="12"/>
          <w:color w:val="auto"/>
        </w:rPr>
      </w:pPr>
    </w:p>
    <w:p>
      <w:pPr>
        <w:ind w:left="760" w:right="440" w:hanging="246"/>
        <w:spacing w:after="0" w:line="281" w:lineRule="auto"/>
        <w:tabs>
          <w:tab w:leader="none" w:pos="760" w:val="left"/>
        </w:tabs>
        <w:numPr>
          <w:ilvl w:val="1"/>
          <w:numId w:val="2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left="760" w:right="100" w:hanging="246"/>
        <w:spacing w:after="0" w:line="321" w:lineRule="auto"/>
        <w:tabs>
          <w:tab w:leader="none" w:pos="760" w:val="left"/>
        </w:tabs>
        <w:numPr>
          <w:ilvl w:val="1"/>
          <w:numId w:val="2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left="260" w:hanging="255"/>
        <w:spacing w:after="0" w:line="281" w:lineRule="auto"/>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4"/>
          <w:szCs w:val="14"/>
          <w:color w:val="auto"/>
        </w:rPr>
      </w:pPr>
    </w:p>
    <w:p>
      <w:pPr>
        <w:ind w:left="760" w:right="140" w:hanging="246"/>
        <w:spacing w:after="0" w:line="281" w:lineRule="auto"/>
        <w:tabs>
          <w:tab w:leader="none" w:pos="760" w:val="left"/>
        </w:tabs>
        <w:numPr>
          <w:ilvl w:val="1"/>
          <w:numId w:val="2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760" w:hanging="246"/>
        <w:spacing w:after="0"/>
        <w:tabs>
          <w:tab w:leader="none" w:pos="760" w:val="left"/>
        </w:tabs>
        <w:numPr>
          <w:ilvl w:val="1"/>
          <w:numId w:val="2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Date: March 13, 2020</w:t>
      </w:r>
    </w:p>
    <w:p>
      <w:pPr>
        <w:spacing w:after="0" w:line="285" w:lineRule="exact"/>
        <w:rPr>
          <w:sz w:val="20"/>
          <w:szCs w:val="20"/>
          <w:color w:val="auto"/>
        </w:rPr>
      </w:pPr>
    </w:p>
    <w:p>
      <w:pPr>
        <w:ind w:left="2140"/>
        <w:spacing w:after="0"/>
        <w:tabs>
          <w:tab w:leader="none" w:pos="2420" w:val="left"/>
        </w:tabs>
        <w:rPr>
          <w:sz w:val="20"/>
          <w:szCs w:val="20"/>
          <w:color w:val="auto"/>
        </w:rPr>
      </w:pPr>
      <w:r>
        <w:rPr>
          <w:rFonts w:ascii="Arial" w:cs="Arial" w:eastAsia="Arial" w:hAnsi="Arial"/>
          <w:sz w:val="14"/>
          <w:szCs w:val="14"/>
          <w:color w:val="auto"/>
        </w:rPr>
        <w:t>/S/</w:t>
      </w:r>
      <w:r>
        <w:rPr>
          <w:sz w:val="20"/>
          <w:szCs w:val="20"/>
          <w:color w:val="auto"/>
        </w:rPr>
        <w:tab/>
      </w:r>
      <w:r>
        <w:rPr>
          <w:rFonts w:ascii="Arial" w:cs="Arial" w:eastAsia="Arial" w:hAnsi="Arial"/>
          <w:sz w:val="12"/>
          <w:szCs w:val="12"/>
          <w:color w:val="auto"/>
        </w:rPr>
        <w:t>Eugene J. Nestro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365823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9">
                      <a:extLst>
                        <a:ext uri="{28A0092B-C50C-407E-A947-70E740481C1C}"/>
                      </a:extLst>
                    </a:blip>
                    <a:srcRect/>
                    <a:stretch>
                      <a:fillRect/>
                    </a:stretch>
                  </pic:blipFill>
                  <pic:spPr bwMode="auto">
                    <a:xfrm>
                      <a:off x="0" y="0"/>
                      <a:ext cx="3658235" cy="6985"/>
                    </a:xfrm>
                    <a:prstGeom prst="rect">
                      <a:avLst/>
                    </a:prstGeom>
                    <a:noFill/>
                  </pic:spPr>
                </pic:pic>
              </a:graphicData>
            </a:graphic>
          </wp:anchor>
        </w:drawing>
      </w:r>
    </w:p>
    <w:p>
      <w:pPr>
        <w:spacing w:after="0" w:line="38"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Eugene J. Nestro</w:t>
      </w:r>
    </w:p>
    <w:p>
      <w:pPr>
        <w:spacing w:after="0" w:line="51"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Chief Financial Officer</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80"/>
          </w:cols>
          <w:pgMar w:left="300" w:top="464" w:right="319" w:bottom="1440" w:gutter="0" w:footer="0" w:header="0"/>
        </w:sectPr>
      </w:pPr>
    </w:p>
    <w:bookmarkStart w:id="163" w:name="page164"/>
    <w:bookmarkEnd w:id="163"/>
    <w:p>
      <w:pPr>
        <w:jc w:val="right"/>
        <w:spacing w:after="0"/>
        <w:rPr>
          <w:sz w:val="20"/>
          <w:szCs w:val="20"/>
          <w:color w:val="auto"/>
        </w:rPr>
      </w:pPr>
      <w:r>
        <w:rPr>
          <w:rFonts w:ascii="Arial" w:cs="Arial" w:eastAsia="Arial" w:hAnsi="Arial"/>
          <w:sz w:val="14"/>
          <w:szCs w:val="14"/>
          <w:b w:val="1"/>
          <w:bCs w:val="1"/>
          <w:color w:val="auto"/>
        </w:rPr>
        <w:t>Exhibit 32.1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EXECUTIVE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26" w:lineRule="exact"/>
        <w:rPr>
          <w:sz w:val="20"/>
          <w:szCs w:val="20"/>
          <w:color w:val="auto"/>
        </w:rPr>
      </w:pPr>
    </w:p>
    <w:p>
      <w:pPr>
        <w:jc w:val="both"/>
        <w:ind w:right="40"/>
        <w:spacing w:after="0" w:line="267" w:lineRule="auto"/>
        <w:rPr>
          <w:sz w:val="20"/>
          <w:szCs w:val="20"/>
          <w:color w:val="auto"/>
        </w:rPr>
      </w:pPr>
      <w:r>
        <w:rPr>
          <w:rFonts w:ascii="Arial" w:cs="Arial" w:eastAsia="Arial" w:hAnsi="Arial"/>
          <w:sz w:val="14"/>
          <w:szCs w:val="14"/>
          <w:color w:val="auto"/>
        </w:rPr>
        <w:t>In connection with the annual report of Luna Innovations Incorporated (the “Company”) on Form 10-K for the year ended December 31, 2019 as filed with the Securities and Exchange Commission on the date hereof (the “Report”), I, Scott A. Graeff, President and Chief Executive Officer of the Company, certify, pursuant to 18 U.S.C. § 1350, as adopted pursuant to § 906 of the Sarbanes-Oxley Act of 2002, that to my knowledge:</w:t>
      </w:r>
    </w:p>
    <w:p>
      <w:pPr>
        <w:spacing w:after="0" w:line="99" w:lineRule="exact"/>
        <w:rPr>
          <w:sz w:val="20"/>
          <w:szCs w:val="20"/>
          <w:color w:val="auto"/>
        </w:rPr>
      </w:pPr>
    </w:p>
    <w:p>
      <w:pPr>
        <w:ind w:left="200" w:hanging="195"/>
        <w:spacing w:after="0"/>
        <w:tabs>
          <w:tab w:leader="none" w:pos="2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6" w:lineRule="exact"/>
        <w:rPr>
          <w:rFonts w:ascii="Arial" w:cs="Arial" w:eastAsia="Arial" w:hAnsi="Arial"/>
          <w:sz w:val="14"/>
          <w:szCs w:val="14"/>
          <w:color w:val="auto"/>
        </w:rPr>
      </w:pPr>
    </w:p>
    <w:p>
      <w:pPr>
        <w:ind w:left="200" w:hanging="195"/>
        <w:spacing w:after="0"/>
        <w:tabs>
          <w:tab w:leader="none" w:pos="2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36" w:lineRule="exact"/>
        <w:rPr>
          <w:sz w:val="20"/>
          <w:szCs w:val="20"/>
          <w:color w:val="auto"/>
        </w:rPr>
      </w:pPr>
    </w:p>
    <w:p>
      <w:pPr>
        <w:ind w:right="160"/>
        <w:spacing w:after="0" w:line="267" w:lineRule="auto"/>
        <w:rPr>
          <w:sz w:val="20"/>
          <w:szCs w:val="20"/>
          <w:color w:val="auto"/>
        </w:rPr>
      </w:pPr>
      <w:r>
        <w:rPr>
          <w:rFonts w:ascii="Arial" w:cs="Arial" w:eastAsia="Arial" w:hAnsi="Arial"/>
          <w:sz w:val="14"/>
          <w:szCs w:val="14"/>
          <w:color w:val="auto"/>
        </w:rPr>
        <w:t>This certification accompanies this Report to which it relates, shall not be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pacing w:after="0" w:line="248" w:lineRule="exact"/>
        <w:rPr>
          <w:sz w:val="20"/>
          <w:szCs w:val="20"/>
          <w:color w:val="auto"/>
        </w:rPr>
      </w:pPr>
    </w:p>
    <w:p>
      <w:pPr>
        <w:ind w:left="2160"/>
        <w:spacing w:after="0"/>
        <w:tabs>
          <w:tab w:leader="none" w:pos="2440" w:val="left"/>
        </w:tabs>
        <w:rPr>
          <w:sz w:val="20"/>
          <w:szCs w:val="20"/>
          <w:color w:val="auto"/>
        </w:rPr>
      </w:pPr>
      <w:r>
        <w:rPr>
          <w:rFonts w:ascii="Arial" w:cs="Arial" w:eastAsia="Arial" w:hAnsi="Arial"/>
          <w:sz w:val="14"/>
          <w:szCs w:val="14"/>
          <w:color w:val="auto"/>
        </w:rPr>
        <w:t>/S/</w:t>
      </w:r>
      <w:r>
        <w:rPr>
          <w:sz w:val="20"/>
          <w:szCs w:val="20"/>
          <w:color w:val="auto"/>
        </w:rPr>
        <w:tab/>
      </w:r>
      <w:r>
        <w:rPr>
          <w:rFonts w:ascii="Arial" w:cs="Arial" w:eastAsia="Arial" w:hAnsi="Arial"/>
          <w:sz w:val="13"/>
          <w:szCs w:val="13"/>
          <w:color w:val="auto"/>
        </w:rPr>
        <w:t>Scott A. Graeff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365823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3658235" cy="6985"/>
                    </a:xfrm>
                    <a:prstGeom prst="rect">
                      <a:avLst/>
                    </a:prstGeom>
                    <a:noFill/>
                  </pic:spPr>
                </pic:pic>
              </a:graphicData>
            </a:graphic>
          </wp:anchor>
        </w:drawing>
      </w:r>
    </w:p>
    <w:p>
      <w:pPr>
        <w:spacing w:after="0" w:line="38" w:lineRule="exact"/>
        <w:rPr>
          <w:sz w:val="20"/>
          <w:szCs w:val="20"/>
          <w:color w:val="auto"/>
        </w:rPr>
      </w:pPr>
    </w:p>
    <w:p>
      <w:pPr>
        <w:ind w:left="2420"/>
        <w:spacing w:after="0"/>
        <w:rPr>
          <w:sz w:val="20"/>
          <w:szCs w:val="20"/>
          <w:color w:val="auto"/>
        </w:rPr>
      </w:pPr>
      <w:r>
        <w:rPr>
          <w:rFonts w:ascii="Arial" w:cs="Arial" w:eastAsia="Arial" w:hAnsi="Arial"/>
          <w:sz w:val="14"/>
          <w:szCs w:val="14"/>
          <w:b w:val="1"/>
          <w:bCs w:val="1"/>
          <w:color w:val="auto"/>
        </w:rPr>
        <w:t>Scott A. Graeff</w:t>
      </w:r>
    </w:p>
    <w:p>
      <w:pPr>
        <w:spacing w:after="0" w:line="51"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(principal executive officer)</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March 13, 2020</w:t>
      </w:r>
    </w:p>
    <w:p>
      <w:pPr>
        <w:sectPr>
          <w:pgSz w:w="11900" w:h="16838" w:orient="portrait"/>
          <w:cols w:equalWidth="0" w:num="1">
            <w:col w:w="11280"/>
          </w:cols>
          <w:pgMar w:left="300" w:top="464" w:right="319" w:bottom="1440" w:gutter="0" w:footer="0" w:header="0"/>
        </w:sectPr>
      </w:pPr>
    </w:p>
    <w:bookmarkStart w:id="164" w:name="page165"/>
    <w:bookmarkEnd w:id="164"/>
    <w:p>
      <w:pPr>
        <w:jc w:val="right"/>
        <w:spacing w:after="0"/>
        <w:rPr>
          <w:sz w:val="20"/>
          <w:szCs w:val="20"/>
          <w:color w:val="auto"/>
        </w:rPr>
      </w:pPr>
      <w:r>
        <w:rPr>
          <w:rFonts w:ascii="Arial" w:cs="Arial" w:eastAsia="Arial" w:hAnsi="Arial"/>
          <w:sz w:val="14"/>
          <w:szCs w:val="14"/>
          <w:b w:val="1"/>
          <w:bCs w:val="1"/>
          <w:color w:val="auto"/>
        </w:rPr>
        <w:t>Exhibit 32.2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FINANCIAL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26"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In connection with to the annual report of Luna Innovations Incorporated (the “Company”) on Form 10-K for the year ended December 31, 2019 as filed with the Securities and Exchange Commission on the date hereof (the “Report”), I, Eugene J. Nestro, Chief Financial Officer of the Company, certify, pursuant to 18 U.S.C. § 1350, as adopted pursuant to § 906 of the Sarbanes-Oxley Act of 2002, that to my knowledge:</w:t>
      </w:r>
    </w:p>
    <w:p>
      <w:pPr>
        <w:spacing w:after="0" w:line="99" w:lineRule="exact"/>
        <w:rPr>
          <w:sz w:val="20"/>
          <w:szCs w:val="20"/>
          <w:color w:val="auto"/>
        </w:rPr>
      </w:pPr>
    </w:p>
    <w:p>
      <w:pPr>
        <w:ind w:left="200" w:hanging="195"/>
        <w:spacing w:after="0"/>
        <w:tabs>
          <w:tab w:leader="none" w:pos="2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6" w:lineRule="exact"/>
        <w:rPr>
          <w:rFonts w:ascii="Arial" w:cs="Arial" w:eastAsia="Arial" w:hAnsi="Arial"/>
          <w:sz w:val="14"/>
          <w:szCs w:val="14"/>
          <w:color w:val="auto"/>
        </w:rPr>
      </w:pPr>
    </w:p>
    <w:p>
      <w:pPr>
        <w:ind w:left="200" w:hanging="195"/>
        <w:spacing w:after="0"/>
        <w:tabs>
          <w:tab w:leader="none" w:pos="2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36" w:lineRule="exact"/>
        <w:rPr>
          <w:sz w:val="20"/>
          <w:szCs w:val="20"/>
          <w:color w:val="auto"/>
        </w:rPr>
      </w:pPr>
    </w:p>
    <w:p>
      <w:pPr>
        <w:ind w:right="160"/>
        <w:spacing w:after="0" w:line="267" w:lineRule="auto"/>
        <w:rPr>
          <w:sz w:val="20"/>
          <w:szCs w:val="20"/>
          <w:color w:val="auto"/>
        </w:rPr>
      </w:pPr>
      <w:r>
        <w:rPr>
          <w:rFonts w:ascii="Arial" w:cs="Arial" w:eastAsia="Arial" w:hAnsi="Arial"/>
          <w:sz w:val="14"/>
          <w:szCs w:val="14"/>
          <w:color w:val="auto"/>
        </w:rPr>
        <w:t>This certification accompanies this Report to which it relates, shall not be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pacing w:after="0" w:line="248" w:lineRule="exact"/>
        <w:rPr>
          <w:sz w:val="20"/>
          <w:szCs w:val="20"/>
          <w:color w:val="auto"/>
        </w:rPr>
      </w:pPr>
    </w:p>
    <w:p>
      <w:pPr>
        <w:ind w:left="2200"/>
        <w:spacing w:after="0"/>
        <w:tabs>
          <w:tab w:leader="none" w:pos="2480" w:val="left"/>
        </w:tabs>
        <w:rPr>
          <w:sz w:val="20"/>
          <w:szCs w:val="20"/>
          <w:color w:val="auto"/>
        </w:rPr>
      </w:pPr>
      <w:r>
        <w:rPr>
          <w:rFonts w:ascii="Arial" w:cs="Arial" w:eastAsia="Arial" w:hAnsi="Arial"/>
          <w:sz w:val="14"/>
          <w:szCs w:val="14"/>
          <w:color w:val="auto"/>
        </w:rPr>
        <w:t>/S/</w:t>
      </w:r>
      <w:r>
        <w:rPr>
          <w:sz w:val="20"/>
          <w:szCs w:val="20"/>
          <w:color w:val="auto"/>
        </w:rPr>
        <w:tab/>
      </w:r>
      <w:r>
        <w:rPr>
          <w:rFonts w:ascii="Arial" w:cs="Arial" w:eastAsia="Arial" w:hAnsi="Arial"/>
          <w:sz w:val="12"/>
          <w:szCs w:val="12"/>
          <w:color w:val="auto"/>
        </w:rPr>
        <w:t>Eugene J. Nestro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365823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3658235" cy="6985"/>
                    </a:xfrm>
                    <a:prstGeom prst="rect">
                      <a:avLst/>
                    </a:prstGeom>
                    <a:noFill/>
                  </pic:spPr>
                </pic:pic>
              </a:graphicData>
            </a:graphic>
          </wp:anchor>
        </w:drawing>
      </w:r>
    </w:p>
    <w:p>
      <w:pPr>
        <w:spacing w:after="0" w:line="38"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Eugene J. Nestro</w:t>
      </w:r>
    </w:p>
    <w:p>
      <w:pPr>
        <w:spacing w:after="0" w:line="51"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Chief Financial Officer</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(principal financial officer)</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March 13, 2020</w:t>
      </w:r>
    </w:p>
    <w:sectPr>
      <w:pgSz w:w="11900" w:h="16838" w:orient="portrait"/>
      <w:cols w:equalWidth="0" w:num="1">
        <w:col w:w="11280"/>
      </w:cols>
      <w:pgMar w:left="300" w:top="46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lvl w:ilvl="1">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2"/>
    </w:lvl>
  </w:abstractNum>
  <w:abstractNum w:abstractNumId="11">
    <w:nsid w:val="436C6125"/>
    <w:multiLevelType w:val="hybridMultilevel"/>
    <w:lvl w:ilvl="0">
      <w:lvlJc w:val="left"/>
      <w:lvlText w:val="(%1)"/>
      <w:numFmt w:val="lowerRoman"/>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2"/>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7"/>
    </w:lvl>
  </w:abstractNum>
  <w:abstractNum w:abstractNumId="17">
    <w:nsid w:val="6763845E"/>
    <w:multiLevelType w:val="hybridMultilevel"/>
    <w:lvl w:ilvl="0">
      <w:lvlJc w:val="left"/>
      <w:lvlText w:val="%1."/>
      <w:numFmt w:val="decimal"/>
      <w:start w:val="8"/>
    </w:lvl>
  </w:abstractNum>
  <w:abstractNum w:abstractNumId="18">
    <w:nsid w:val="75A2A8D4"/>
    <w:multiLevelType w:val="hybridMultilevel"/>
    <w:lvl w:ilvl="0">
      <w:lvlJc w:val="left"/>
      <w:lvlText w:val="%1."/>
      <w:numFmt w:val="decimal"/>
      <w:start w:val="10"/>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lvl w:ilvl="1">
      <w:lvlJc w:val="left"/>
      <w:lvlText w:val="(%2)"/>
      <w:numFmt w:val="decimal"/>
      <w:start w:val="1"/>
    </w:lvl>
  </w:abstractNum>
  <w:abstractNum w:abstractNumId="21">
    <w:nsid w:val="4353D0CD"/>
    <w:multiLevelType w:val="hybridMultilevel"/>
    <w:lvl w:ilvl="0">
      <w:lvlJc w:val="left"/>
      <w:lvlText w:val="%1"/>
      <w:numFmt w:val="lowerLetter"/>
      <w:start w:val="1"/>
    </w:lvl>
    <w:lvl w:ilvl="1">
      <w:lvlJc w:val="left"/>
      <w:lvlText w:val="(%2)"/>
      <w:numFmt w:val="decimal"/>
      <w:start w:val="3"/>
    </w:lvl>
  </w:abstractNum>
  <w:abstractNum w:abstractNumId="22">
    <w:nsid w:val="B03E0C6"/>
    <w:multiLevelType w:val="hybridMultilevel"/>
    <w:lvl w:ilvl="0">
      <w:lvlJc w:val="left"/>
      <w:lvlText w:val="(%1)"/>
      <w:numFmt w:val="lowerLetter"/>
      <w:start w:val="2"/>
    </w:lvl>
    <w:lvl w:ilvl="1">
      <w:lvlJc w:val="left"/>
      <w:lvlText w:val="%2"/>
      <w:numFmt w:val="decimal"/>
      <w:start w:val="1"/>
    </w:lvl>
  </w:abstractNum>
  <w:abstractNum w:abstractNumId="23">
    <w:nsid w:val="189A769B"/>
    <w:multiLevelType w:val="hybridMultilevel"/>
    <w:lvl w:ilvl="0">
      <w:lvlJc w:val="left"/>
      <w:lvlText w:val="%1"/>
      <w:numFmt w:val="decimal"/>
      <w:start w:val="101"/>
    </w:lvl>
  </w:abstractNum>
  <w:abstractNum w:abstractNumId="24">
    <w:nsid w:val="54E49EB4"/>
    <w:multiLevelType w:val="hybridMultilevel"/>
    <w:lvl w:ilvl="0">
      <w:lvlJc w:val="left"/>
      <w:lvlText w:val="#"/>
      <w:numFmt w:val="bullet"/>
      <w:start w:val="1"/>
    </w:lvl>
    <w:lvl w:ilvl="1">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98" Type="http://schemas.openxmlformats.org/officeDocument/2006/relationships/image" Target="media/image49.png"/><Relationship Id="rId99" Type="http://schemas.openxmlformats.org/officeDocument/2006/relationships/image" Target="media/image50.png"/><Relationship Id="rId100" Type="http://schemas.openxmlformats.org/officeDocument/2006/relationships/image" Target="media/image51.png"/><Relationship Id="rId101" Type="http://schemas.openxmlformats.org/officeDocument/2006/relationships/image" Target="media/image52.png"/><Relationship Id="rId102" Type="http://schemas.openxmlformats.org/officeDocument/2006/relationships/image" Target="media/image53.png"/><Relationship Id="rId103" Type="http://schemas.openxmlformats.org/officeDocument/2006/relationships/image" Target="media/image54.png"/><Relationship Id="rId104" Type="http://schemas.openxmlformats.org/officeDocument/2006/relationships/image" Target="media/image55.png"/><Relationship Id="rId105" Type="http://schemas.openxmlformats.org/officeDocument/2006/relationships/image" Target="media/image56.png"/><Relationship Id="rId106" Type="http://schemas.openxmlformats.org/officeDocument/2006/relationships/image" Target="media/image57.png"/><Relationship Id="rId107" Type="http://schemas.openxmlformats.org/officeDocument/2006/relationships/image" Target="media/image58.png"/><Relationship Id="rId108" Type="http://schemas.openxmlformats.org/officeDocument/2006/relationships/image" Target="media/image59.png"/><Relationship Id="rId109" Type="http://schemas.openxmlformats.org/officeDocument/2006/relationships/image" Target="media/image60.png"/><Relationship Id="rId110" Type="http://schemas.openxmlformats.org/officeDocument/2006/relationships/image" Target="media/image61.png"/><Relationship Id="rId111" Type="http://schemas.openxmlformats.org/officeDocument/2006/relationships/image" Target="media/image62.png"/><Relationship Id="rId112" Type="http://schemas.openxmlformats.org/officeDocument/2006/relationships/image" Target="media/image63.png"/><Relationship Id="rId113" Type="http://schemas.openxmlformats.org/officeDocument/2006/relationships/image" Target="media/image64.png"/><Relationship Id="rId114" Type="http://schemas.openxmlformats.org/officeDocument/2006/relationships/image" Target="media/image65.png"/><Relationship Id="rId115" Type="http://schemas.openxmlformats.org/officeDocument/2006/relationships/image" Target="media/image66.png"/><Relationship Id="rId116" Type="http://schemas.openxmlformats.org/officeDocument/2006/relationships/image" Target="media/image67.png"/><Relationship Id="rId117" Type="http://schemas.openxmlformats.org/officeDocument/2006/relationships/image" Target="media/image68.png"/><Relationship Id="rId118" Type="http://schemas.openxmlformats.org/officeDocument/2006/relationships/image" Target="media/image69.png"/><Relationship Id="rId119" Type="http://schemas.openxmlformats.org/officeDocument/2006/relationships/image" Target="media/image70.png"/><Relationship Id="rId120" Type="http://schemas.openxmlformats.org/officeDocument/2006/relationships/image" Target="media/image71.png"/><Relationship Id="rId121" Type="http://schemas.openxmlformats.org/officeDocument/2006/relationships/image" Target="media/image72.png"/><Relationship Id="rId122" Type="http://schemas.openxmlformats.org/officeDocument/2006/relationships/image" Target="media/image73.png"/><Relationship Id="rId123" Type="http://schemas.openxmlformats.org/officeDocument/2006/relationships/image" Target="media/image74.png"/><Relationship Id="rId124" Type="http://schemas.openxmlformats.org/officeDocument/2006/relationships/image" Target="media/image75.png"/><Relationship Id="rId125" Type="http://schemas.openxmlformats.org/officeDocument/2006/relationships/image" Target="media/image76.png"/><Relationship Id="rId126" Type="http://schemas.openxmlformats.org/officeDocument/2006/relationships/image" Target="media/image77.png"/><Relationship Id="rId127" Type="http://schemas.openxmlformats.org/officeDocument/2006/relationships/image" Target="media/image78.png"/><Relationship Id="rId128" Type="http://schemas.openxmlformats.org/officeDocument/2006/relationships/image" Target="media/image79.png"/><Relationship Id="rId129" Type="http://schemas.openxmlformats.org/officeDocument/2006/relationships/image" Target="media/image80.png"/><Relationship Id="rId130" Type="http://schemas.openxmlformats.org/officeDocument/2006/relationships/image" Target="media/image81.png"/><Relationship Id="rId131" Type="http://schemas.openxmlformats.org/officeDocument/2006/relationships/image" Target="media/image82.png"/><Relationship Id="rId132" Type="http://schemas.openxmlformats.org/officeDocument/2006/relationships/image" Target="media/image83.png"/><Relationship Id="rId133" Type="http://schemas.openxmlformats.org/officeDocument/2006/relationships/image" Target="media/image84.png"/><Relationship Id="rId134" Type="http://schemas.openxmlformats.org/officeDocument/2006/relationships/image" Target="media/image85.png"/><Relationship Id="rId135" Type="http://schemas.openxmlformats.org/officeDocument/2006/relationships/image" Target="media/image86.png"/><Relationship Id="rId136" Type="http://schemas.openxmlformats.org/officeDocument/2006/relationships/image" Target="media/image87.png"/><Relationship Id="rId137" Type="http://schemas.openxmlformats.org/officeDocument/2006/relationships/image" Target="media/image88.png"/><Relationship Id="rId138" Type="http://schemas.openxmlformats.org/officeDocument/2006/relationships/image" Target="media/image89.png"/><Relationship Id="rId139" Type="http://schemas.openxmlformats.org/officeDocument/2006/relationships/image" Target="media/image90.png"/><Relationship Id="rId140" Type="http://schemas.openxmlformats.org/officeDocument/2006/relationships/image" Target="media/image91.png"/><Relationship Id="rId141" Type="http://schemas.openxmlformats.org/officeDocument/2006/relationships/image" Target="media/image92.png"/><Relationship Id="rId142" Type="http://schemas.openxmlformats.org/officeDocument/2006/relationships/image" Target="media/image93.png"/><Relationship Id="rId143" Type="http://schemas.openxmlformats.org/officeDocument/2006/relationships/image" Target="media/image94.png"/><Relationship Id="rId144" Type="http://schemas.openxmlformats.org/officeDocument/2006/relationships/image" Target="media/image95.png"/><Relationship Id="rId145" Type="http://schemas.openxmlformats.org/officeDocument/2006/relationships/image" Target="media/image96.png"/><Relationship Id="rId146" Type="http://schemas.openxmlformats.org/officeDocument/2006/relationships/image" Target="media/image97.png"/><Relationship Id="rId147" Type="http://schemas.openxmlformats.org/officeDocument/2006/relationships/image" Target="media/image98.png"/><Relationship Id="rId148" Type="http://schemas.openxmlformats.org/officeDocument/2006/relationships/image" Target="media/image99.png"/><Relationship Id="rId149" Type="http://schemas.openxmlformats.org/officeDocument/2006/relationships/image" Target="media/image100.png"/><Relationship Id="rId150" Type="http://schemas.openxmlformats.org/officeDocument/2006/relationships/image" Target="media/image101.png"/><Relationship Id="rId151" Type="http://schemas.openxmlformats.org/officeDocument/2006/relationships/image" Target="media/image102.png"/><Relationship Id="rId152" Type="http://schemas.openxmlformats.org/officeDocument/2006/relationships/image" Target="media/image103.png"/><Relationship Id="rId153" Type="http://schemas.openxmlformats.org/officeDocument/2006/relationships/image" Target="media/image104.png"/><Relationship Id="rId154" Type="http://schemas.openxmlformats.org/officeDocument/2006/relationships/image" Target="media/image105.png"/><Relationship Id="rId155" Type="http://schemas.openxmlformats.org/officeDocument/2006/relationships/image" Target="media/image106.png"/><Relationship Id="rId156" Type="http://schemas.openxmlformats.org/officeDocument/2006/relationships/image" Target="media/image107.png"/><Relationship Id="rId157" Type="http://schemas.openxmlformats.org/officeDocument/2006/relationships/image" Target="media/image108.png"/><Relationship Id="rId158" Type="http://schemas.openxmlformats.org/officeDocument/2006/relationships/image" Target="media/image109.png"/><Relationship Id="rId159" Type="http://schemas.openxmlformats.org/officeDocument/2006/relationships/image" Target="media/image110.png"/><Relationship Id="rId160" Type="http://schemas.openxmlformats.org/officeDocument/2006/relationships/image" Target="media/image111.png"/><Relationship Id="rId161" Type="http://schemas.openxmlformats.org/officeDocument/2006/relationships/image" Target="media/image112.png"/><Relationship Id="rId162" Type="http://schemas.openxmlformats.org/officeDocument/2006/relationships/image" Target="media/image113.png"/><Relationship Id="rId163" Type="http://schemas.openxmlformats.org/officeDocument/2006/relationships/image" Target="media/image114.png"/><Relationship Id="rId164" Type="http://schemas.openxmlformats.org/officeDocument/2006/relationships/image" Target="media/image115.png"/><Relationship Id="rId165" Type="http://schemas.openxmlformats.org/officeDocument/2006/relationships/image" Target="media/image116.png"/><Relationship Id="rId166" Type="http://schemas.openxmlformats.org/officeDocument/2006/relationships/image" Target="media/image117.png"/><Relationship Id="rId167" Type="http://schemas.openxmlformats.org/officeDocument/2006/relationships/image" Target="media/image118.png"/><Relationship Id="rId168" Type="http://schemas.openxmlformats.org/officeDocument/2006/relationships/image" Target="media/image119.png"/><Relationship Id="rId169"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56" Type="http://schemas.openxmlformats.org/officeDocument/2006/relationships/hyperlink" Target="https://www.sec.gov/Archives/edgar/data/1239819/000119312515028794/d862234dex21.htm" TargetMode="External"/><Relationship Id="rId57" Type="http://schemas.openxmlformats.org/officeDocument/2006/relationships/hyperlink" Target="https://www.sec.gov/Archives/edgar/data/1239819/000123981918000069/exhibit21assetpurchaseagre.htm" TargetMode="External"/><Relationship Id="rId58" Type="http://schemas.openxmlformats.org/officeDocument/2006/relationships/hyperlink" Target="https://www.sec.gov/Archives/edgar/data/1239819/000123981918000071/ex21-assetpurchaseagreement.htm" TargetMode="External"/><Relationship Id="rId59" Type="http://schemas.openxmlformats.org/officeDocument/2006/relationships/hyperlink" Target="https://www.sec.gov/Archives/edgar/data/1239819/000123981919000024/exhibit21luna-gpcstockpurc.htm" TargetMode="External"/><Relationship Id="rId60" Type="http://schemas.openxmlformats.org/officeDocument/2006/relationships/hyperlink" Target="https://www.sec.gov/Archives/edgar/data/1239819/000119312506126904/dex32.htm" TargetMode="External"/><Relationship Id="rId61" Type="http://schemas.openxmlformats.org/officeDocument/2006/relationships/hyperlink" Target="https://www.sec.gov/Archives/edgar/data/1239819/000119312510006695/dex31.htm" TargetMode="External"/><Relationship Id="rId62" Type="http://schemas.openxmlformats.org/officeDocument/2006/relationships/hyperlink" Target="https://www.sec.gov/Archives/edgar/data/1239819/000119312506027048/dex34.htm" TargetMode="External"/><Relationship Id="rId63" Type="http://schemas.openxmlformats.org/officeDocument/2006/relationships/hyperlink" Target="https://www.sec.gov/Archives/edgar/data/1239819/000119312510114855/dex31.htm" TargetMode="External"/><Relationship Id="rId64" Type="http://schemas.openxmlformats.org/officeDocument/2006/relationships/hyperlink" Target="https://www.sec.gov/Archives/edgar/data/1239819/000119312515028794/d862234dex31.htm" TargetMode="External"/><Relationship Id="rId65" Type="http://schemas.openxmlformats.org/officeDocument/2006/relationships/hyperlink" Target="https://www.sec.gov/Archives/edgar/data/1239819/000119312506116363/dex41.htm" TargetMode="External"/><Relationship Id="rId66" Type="http://schemas.openxmlformats.org/officeDocument/2006/relationships/hyperlink" Target="https://www.sec.gov/Archives/edgar/data/1239819/000119312506092316/dex109.htm" TargetMode="External"/><Relationship Id="rId67" Type="http://schemas.openxmlformats.org/officeDocument/2006/relationships/hyperlink" Target="https://www.sec.gov/Archives/edgar/data/1239819/000119312506027048/dex47.htm" TargetMode="External"/><Relationship Id="rId68" Type="http://schemas.openxmlformats.org/officeDocument/2006/relationships/hyperlink" Target="https://www.sec.gov/Archives/edgar/data/1239819/000123981916000128/exhibit47luna2016equityinc.htm" TargetMode="External"/><Relationship Id="rId69" Type="http://schemas.openxmlformats.org/officeDocument/2006/relationships/hyperlink" Target="https://www.sec.gov/Archives/edgar/data/1239819/000123981916000128/exhibit48lunainnovationsfo.htm" TargetMode="External"/><Relationship Id="rId70" Type="http://schemas.openxmlformats.org/officeDocument/2006/relationships/hyperlink" Target="https://www.sec.gov/Archives/edgar/data/1239819/000123981919000010/exhibit41formofrestricteds.htm" TargetMode="External"/><Relationship Id="rId71" Type="http://schemas.openxmlformats.org/officeDocument/2006/relationships/hyperlink" Target="https://www.sec.gov/Archives/edgar/data/1239819/000123981916000164/exhibit101formofrestricted.htm" TargetMode="External"/><Relationship Id="rId72" Type="http://schemas.openxmlformats.org/officeDocument/2006/relationships/hyperlink" Target="https://www.sec.gov/Archives/edgar/data/1239819/000119312509150651/dex101.htm" TargetMode="External"/><Relationship Id="rId73" Type="http://schemas.openxmlformats.org/officeDocument/2006/relationships/hyperlink" Target="https://www.sec.gov/Archives/edgar/data/1239819/000119312506116363/dex1022.htm" TargetMode="External"/><Relationship Id="rId74" Type="http://schemas.openxmlformats.org/officeDocument/2006/relationships/hyperlink" Target="https://www.sec.gov/Archives/edgar/data/1239819/000119312506116363/dex1023.htm" TargetMode="External"/><Relationship Id="rId75" Type="http://schemas.openxmlformats.org/officeDocument/2006/relationships/hyperlink" Target="https://www.sec.gov/Archives/edgar/data/1239819/000119312506116363/dex1026.htm" TargetMode="External"/><Relationship Id="rId76" Type="http://schemas.openxmlformats.org/officeDocument/2006/relationships/hyperlink" Target="https://www.sec.gov/Archives/edgar/data/1239819/000119312507075702/dex1021.htm" TargetMode="External"/><Relationship Id="rId77" Type="http://schemas.openxmlformats.org/officeDocument/2006/relationships/hyperlink" Target="https://www.sec.gov/Archives/edgar/data/1239819/000119312507135337/dex101.htm" TargetMode="External"/><Relationship Id="rId78" Type="http://schemas.openxmlformats.org/officeDocument/2006/relationships/hyperlink" Target="https://www.sec.gov/Archives/edgar/data/1239819/000119312508109858/dex105.htm" TargetMode="External"/><Relationship Id="rId79" Type="http://schemas.openxmlformats.org/officeDocument/2006/relationships/hyperlink" Target="https://www.sec.gov/Archives/edgar/data/1239819/000119312510006695/dex101.htm" TargetMode="External"/><Relationship Id="rId80" Type="http://schemas.openxmlformats.org/officeDocument/2006/relationships/hyperlink" Target="https://www.sec.gov/Archives/edgar/data/1239819/000119312510006695/dex104.htm" TargetMode="External"/><Relationship Id="rId81" Type="http://schemas.openxmlformats.org/officeDocument/2006/relationships/hyperlink" Target="https://www.sec.gov/Archives/edgar/data/1239819/000123981918000008/exhibit1013non-employeedir.htm" TargetMode="External"/><Relationship Id="rId82" Type="http://schemas.openxmlformats.org/officeDocument/2006/relationships/hyperlink" Target="https://www.sec.gov/Archives/edgar/data/1239819/000119312510122125/dex106.htm" TargetMode="External"/><Relationship Id="rId83" Type="http://schemas.openxmlformats.org/officeDocument/2006/relationships/hyperlink" Target="https://www.sec.gov/Archives/edgar/data/1239819/000119312510122125/dex108.htm" TargetMode="External"/><Relationship Id="rId84" Type="http://schemas.openxmlformats.org/officeDocument/2006/relationships/hyperlink" Target="https://www.sec.gov/Archives/edgar/data/1239819/000119312510122125/dex1014.htm" TargetMode="External"/><Relationship Id="rId85" Type="http://schemas.openxmlformats.org/officeDocument/2006/relationships/hyperlink" Target="https://www.sec.gov/Archives/edgar/data/1239819/000119312510189928/dex105.htm" TargetMode="External"/><Relationship Id="rId86" Type="http://schemas.openxmlformats.org/officeDocument/2006/relationships/hyperlink" Target="https://www.sec.gov/Archives/edgar/data/1239819/000119312511141392/dex103.htm" TargetMode="External"/><Relationship Id="rId87" Type="http://schemas.openxmlformats.org/officeDocument/2006/relationships/hyperlink" Target="https://www.sec.gov/Archives/edgar/data/1239819/000119312512139796/d268244dex1039.htm" TargetMode="External"/><Relationship Id="rId88" Type="http://schemas.openxmlformats.org/officeDocument/2006/relationships/hyperlink" Target="https://www.sec.gov/Archives/edgar/data/1239819/000123981918000008/exhibit1025graeffrevisedem.htm" TargetMode="External"/><Relationship Id="rId89" Type="http://schemas.openxmlformats.org/officeDocument/2006/relationships/hyperlink" Target="https://www.sec.gov/Archives/edgar/data/1239819/000119312512348018/d364080dex103.htm" TargetMode="External"/><Relationship Id="rId90" Type="http://schemas.openxmlformats.org/officeDocument/2006/relationships/hyperlink" Target="https://www.sec.gov/Archives/edgar/data/1239819/000123981914000025/exhibit102crosslicenseagre.htm" TargetMode="External"/><Relationship Id="rId91" Type="http://schemas.openxmlformats.org/officeDocument/2006/relationships/hyperlink" Target="https://www.sec.gov/Archives/edgar/data/1239819/000123981915000023/exhibit1047sixthamendmentb.htm" TargetMode="External"/><Relationship Id="rId92" Type="http://schemas.openxmlformats.org/officeDocument/2006/relationships/hyperlink" Target="https://www.sec.gov/Archives/edgar/data/1239819/000123981915000023/exhibit1048luna-blacksburg.htm" TargetMode="External"/><Relationship Id="rId93" Type="http://schemas.openxmlformats.org/officeDocument/2006/relationships/hyperlink" Target="https://www.sec.gov/Archives/edgar/data/1239819/000123981915000023/exhibit1049roanokelease.htm" TargetMode="External"/><Relationship Id="rId94" Type="http://schemas.openxmlformats.org/officeDocument/2006/relationships/hyperlink" Target="https://www.sec.gov/Archives/edgar/data/1239819/000123981915000051/exhibit103blacksburglease.htm" TargetMode="External"/><Relationship Id="rId95" Type="http://schemas.openxmlformats.org/officeDocument/2006/relationships/hyperlink" Target="https://www.sec.gov/Archives/edgar/data/1239819/000123981919000047/exhibit101nonemployeedirec.htm" TargetMode="External"/><Relationship Id="rId96" Type="http://schemas.openxmlformats.org/officeDocument/2006/relationships/hyperlink" Target="https://www.sec.gov/Archives/edgar/data/1239819/000162828015008738/exhibit1025thluna-canvasba.htm" TargetMode="External"/><Relationship Id="rId97" Type="http://schemas.openxmlformats.org/officeDocument/2006/relationships/hyperlink" Target="https://www.sec.gov/Archives/edgar/data/1239819/000123981918000068/exhibit101amendedemploy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2020-03-13T16:05:27Z</dcterms:created>
  <dcterms:modified xsi:type="dcterms:W3CDTF">2020-03-13T16:05:27Z</dcterms:modified>
</cp:coreProperties>
</file>