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2177937.xml.htm"/>
      <w:bookmarkStart w:id="1" w:name="kswkform4_17121779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VITALE MARY 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LUNA INNOVATIONS INCORPORATED</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1ST STREET, SW,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ROANOKE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LUNA INNOVATIONS INC</w:t>
              </w:r>
            </w:hyperlink>
            <w:r>
              <w:rPr/>
              <w:t xml:space="preserve"> [ </w:t>
            </w:r>
            <w:r>
              <w:rPr>
                <w:rFonts w:ascii="Times;serif" w:hAnsi="Times;serif"/>
                <w:color w:val="0000FF"/>
                <w:sz w:val="24"/>
                <w:shd w:fill="FFFFFF" w:val="clear"/>
              </w:rPr>
              <w:t>LUNA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4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21"/>
        <w:gridCol w:w="276"/>
        <w:gridCol w:w="906"/>
        <w:gridCol w:w="801"/>
        <w:gridCol w:w="891"/>
        <w:gridCol w:w="98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4,372.94</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4,372.94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70,495.46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907.59</w:t>
            </w:r>
            <w:r>
              <w:rPr>
                <w:rFonts w:ascii="Times;serif" w:hAnsi="Times;serif"/>
                <w:color w:val="008000"/>
                <w:position w:val="7"/>
                <w:sz w:val="16"/>
                <w:sz w:val="20"/>
                <w:shd w:fill="FFFFFF" w:val="clear"/>
              </w:rPr>
              <w:t>(4)</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907.59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71,403.05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412.54</w:t>
            </w:r>
            <w:r>
              <w:rPr>
                <w:rFonts w:ascii="Times;serif" w:hAnsi="Times;serif"/>
                <w:color w:val="008000"/>
                <w:position w:val="7"/>
                <w:sz w:val="16"/>
                <w:sz w:val="20"/>
                <w:shd w:fill="FFFFFF" w:val="clear"/>
              </w:rPr>
              <w:t>(5)</w:t>
            </w:r>
            <w:r>
              <w:rPr/>
              <w:t xml:space="preserve"> </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71,815.59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412.54</w:t>
            </w:r>
            <w:r>
              <w:rPr>
                <w:rFonts w:ascii="Times;serif" w:hAnsi="Times;serif"/>
                <w:color w:val="008000"/>
                <w:position w:val="7"/>
                <w:sz w:val="16"/>
                <w:sz w:val="20"/>
                <w:shd w:fill="FFFFFF" w:val="clear"/>
              </w:rPr>
              <w:t>(6)</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72,228.13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Stock Units are convertible into issuer's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grant was made pursuant to the issuer's non-employee director compensation, as compensation for Ms. Vitale's service as the lead independent director of the board of directors for the period from April 1, 2024 to June 30, 2024. The number of restricted stock units is equal to $13,250.00 divided by $3.03, the price of the issuer's common stock on the Nasdaq Capital Market on April 1, 2024, the first trading day of the quarter. The Reporting Person elected to receive fees in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units become issuable in common stock of the issuer at the election of the Reporting Person upon the earliest to occur of the Reporting Person's termination of service, a change in control of the issuer, an unforeseeable emergency, or a fixed date selected by the Reporting Person. The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grant was made pursuant to issuer's non-employee director compensation policy, as compensation for Ms. Vitale's service as the chair of the nominating and governance committee of the board of directors for the period from April 1, 2024 to June 30, 2024. The number of restricted stock units is equal to $2,750.00 divided by $3.03, the closing price of issuer's common stock on the Nasdaq Capital Market on April 1, 2024, the first trading day of the quarter. The Reporting Person elected to receive fees in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grant was made pursuant to the issuer's non-employee director compensation policy, as compensation for Ms. Vitale's service on the audit committee of the board of directors for the period from April 1, 2024 to June 30, 2024. The number of restricted stock units is equal to $1,250.00 divided by $3.03, the closing price of issuer's common stock on Nasdaq Capital Market on April 1, 2024, the first trading day of the quarter. The Reporting Person elected to receive fees in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grant was made pursuant to the issuer's non-employee director compensation policy, as compensation for Ms. Vitale's service on the risk committee of the board of directors for the period from April 1, 2024 to June 30, 2024. The number of restricted stock units is equal to $1,250.00 divided by $3.03, the closing price of issuer's common stock on Nasdaq Capital Market on April 1, 2024, the first trading day of the quarter. The Reporting Person elected to receive fees in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Stewart,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una-powerofattorneyxmar.htm"/>
      <w:bookmarkStart w:id="3" w:name="kslunapowerofattorneyxmar"/>
      <w:bookmarkEnd w:id="2"/>
      <w:bookmarkEnd w:id="3"/>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(For Executing Forms 3, 4 and 5) Know all by these presents that the undersigned hereby constitutes and appoints each of George Gomez-Quintero and Ryan Stewart of Luna Innovations Incorporated (the “Company”) and Darren DeStefano, Mark Ballantyne, William DuVal and Jason Minio of Cooley LLP, signing individually, the undersigned’s true and lawful attorney-in-fact and agent to: (1) Prepare, execute in the undersigned’s name and on the undersigned's behalf, and submit to the Securities and Exchange Commission (the “SEC”) Forms 3, 4 and 5 (including amendments thereto and joint filing agreements in connection therewith) in accordance with Section 16(a) of the Exchange Act and the rules thereunder; (2) Do and perform any and all acts for and on behalf of the undersigned that may be necessary or desirable to prepare, complete and execute any such Form 3, 4 or 5 (including amendments thereto and joint filing agreements in connection therewith) and timely file such forms with the SEC and any stock exchange, self-regulatory association or any other authority; and (3) Take any other action of any type whatsoever in connection with the foregoing that, in the opinion of any such attorney-in-fact, may be necessary or desirable in connection with the foregoing authority, it being understood that the documents executed by any such attorney-in-fact on behalf of the undersigned pursuant to this Power of Attorney shall be in such form and shall contain such terms and conditions as the attorney-in-fact may approve in the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any of the undersigned's responsibilities to comply with Section 16 of the Exchange Act. This Power of Attorney shall remain in full force and effect until the undersigned is no longer required to file Forms 3, 4 and 5, unless earlier revoked by the undersigned in a signed writing delivered to the attorney-in-fact or, as to any representative of the Company or Cooley LLP, or such attorney-in-fact is no longer affiliated with the Company or Cooley LLP, as applicable. This Power of Attorney revokes any other power of attorney that the undersigned has previously granted to the Company or representatives of Cooley LLP. This Power of Attorney may be filed with the SEC as a confirming statement of the authority granted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the date written below. Dated: March 27, 2024 By: /s/ Mary Beth Vitale Name: Mary Beth Vitale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86863" TargetMode="External"/><Relationship Id="rId4" Type="http://schemas.openxmlformats.org/officeDocument/2006/relationships/hyperlink" Target="http://www.sec.gov/cgi-bin/browse-edgar?action=getcompany&amp;CIK=0001239819"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1546</Words>
  <Characters>8069</Characters>
  <CharactersWithSpaces>9527</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luna-powerofattorneyxmar</dc:title>
</cp:coreProperties>
</file>