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13" w:lineRule="exact"/>
        <w:rPr>
          <w:sz w:val="24"/>
          <w:szCs w:val="24"/>
          <w:color w:val="auto"/>
        </w:rPr>
      </w:pPr>
    </w:p>
    <w:p>
      <w:pPr>
        <w:ind w:left="360"/>
        <w:spacing w:after="0" w:line="251"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-232410</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40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20" w:type="dxa"/>
            <w:vAlign w:val="bottom"/>
            <w:vMerge w:val="restart"/>
          </w:tcPr>
          <w:p>
            <w:pPr>
              <w:jc w:val="center"/>
              <w:ind w:right="259"/>
              <w:spacing w:after="0" w:line="141" w:lineRule="exact"/>
              <w:rPr>
                <w:sz w:val="20"/>
                <w:szCs w:val="20"/>
                <w:color w:val="auto"/>
              </w:rPr>
            </w:pPr>
            <w:r>
              <w:rPr>
                <w:rFonts w:ascii="Arial" w:cs="Arial" w:eastAsia="Arial" w:hAnsi="Arial"/>
                <w:sz w:val="13"/>
                <w:szCs w:val="13"/>
                <w:color w:val="auto"/>
                <w:w w:val="95"/>
              </w:rPr>
              <w:t>Washington, D.C. 20549</w:t>
            </w:r>
          </w:p>
        </w:tc>
        <w:tc>
          <w:tcPr>
            <w:tcW w:w="20" w:type="dxa"/>
            <w:vAlign w:val="bottom"/>
          </w:tcPr>
          <w:p>
            <w:pPr>
              <w:spacing w:after="0"/>
              <w:rPr>
                <w:sz w:val="2"/>
                <w:szCs w:val="2"/>
                <w:color w:val="auto"/>
              </w:rPr>
            </w:pPr>
          </w:p>
        </w:tc>
        <w:tc>
          <w:tcPr>
            <w:tcW w:w="14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622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8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0"/>
        </w:trPr>
        <w:tc>
          <w:tcPr>
            <w:tcW w:w="6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1"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6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5219700</wp:posOffset>
            </wp:positionH>
            <wp:positionV relativeFrom="paragraph">
              <wp:posOffset>-608330</wp:posOffset>
            </wp:positionV>
            <wp:extent cx="57150" cy="621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1665"/>
                    </a:xfrm>
                    <a:prstGeom prst="rect">
                      <a:avLst/>
                    </a:prstGeom>
                    <a:noFill/>
                  </pic:spPr>
                </pic:pic>
              </a:graphicData>
            </a:graphic>
          </wp:anchor>
        </w:drawing>
        <w:drawing>
          <wp:anchor simplePos="0" relativeHeight="251657728" behindDoc="1" locked="0" layoutInCell="0" allowOverlap="1">
            <wp:simplePos x="0" y="0"/>
            <wp:positionH relativeFrom="column">
              <wp:posOffset>3931920</wp:posOffset>
            </wp:positionH>
            <wp:positionV relativeFrom="paragraph">
              <wp:posOffset>-608330</wp:posOffset>
            </wp:positionV>
            <wp:extent cx="57150" cy="6216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1665"/>
                    </a:xfrm>
                    <a:prstGeom prst="rect">
                      <a:avLst/>
                    </a:prstGeom>
                    <a:noFill/>
                  </pic:spPr>
                </pic:pic>
              </a:graphicData>
            </a:graphic>
          </wp:anchor>
        </w:drawing>
      </w:r>
    </w:p>
    <w:p>
      <w:pPr>
        <w:ind w:left="13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-1688465</wp:posOffset>
            </wp:positionH>
            <wp:positionV relativeFrom="paragraph">
              <wp:posOffset>19685</wp:posOffset>
            </wp:positionV>
            <wp:extent cx="6997700" cy="48748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700" cy="4874895"/>
                    </a:xfrm>
                    <a:prstGeom prst="rect">
                      <a:avLst/>
                    </a:prstGeom>
                    <a:noFill/>
                  </pic:spPr>
                </pic:pic>
              </a:graphicData>
            </a:graphic>
          </wp:anchor>
        </w:drawing>
      </w:r>
    </w:p>
    <w:p>
      <w:pPr>
        <w:spacing w:after="0" w:line="46" w:lineRule="exact"/>
        <w:rPr>
          <w:sz w:val="24"/>
          <w:szCs w:val="24"/>
          <w:color w:val="auto"/>
        </w:rPr>
      </w:pPr>
    </w:p>
    <w:p>
      <w:pPr>
        <w:sectPr>
          <w:pgSz w:w="11900" w:h="16838" w:orient="portrait"/>
          <w:cols w:equalWidth="0" w:num="2">
            <w:col w:w="2200" w:space="440"/>
            <w:col w:w="8440"/>
          </w:cols>
          <w:pgMar w:left="460" w:top="214"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0"/>
                <w:szCs w:val="20"/>
                <w:color w:val="auto"/>
                <w:w w:val="96"/>
                <w:vertAlign w:val="superscript"/>
              </w:rPr>
              <w:t>*</w:t>
            </w: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0" w:type="dxa"/>
            <w:vAlign w:val="bottom"/>
            <w:gridSpan w:val="9"/>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20" w:type="dxa"/>
            <w:vAlign w:val="bottom"/>
            <w:gridSpan w:val="6"/>
            <w:vMerge w:val="restart"/>
          </w:tcPr>
          <w:p>
            <w:pPr>
              <w:ind w:left="20"/>
              <w:spacing w:after="0"/>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PHELPS BARRY</w:t>
              </w:r>
            </w:hyperlink>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540" w:type="dxa"/>
            <w:vAlign w:val="bottom"/>
            <w:gridSpan w:val="9"/>
          </w:tcPr>
          <w:p>
            <w:pPr>
              <w:ind w:left="60"/>
              <w:spacing w:after="0" w:line="163" w:lineRule="exact"/>
              <w:rPr>
                <w:rFonts w:ascii="Times New Roman" w:cs="Times New Roman" w:eastAsia="Times New Roman" w:hAnsi="Times New Roman"/>
                <w:sz w:val="18"/>
                <w:szCs w:val="18"/>
                <w:color w:val="0000EE"/>
              </w:rPr>
            </w:pPr>
            <w:hyperlink r:id="rId13">
              <w:r>
                <w:rPr>
                  <w:rFonts w:ascii="Times New Roman" w:cs="Times New Roman" w:eastAsia="Times New Roman" w:hAnsi="Times New Roman"/>
                  <w:sz w:val="18"/>
                  <w:szCs w:val="18"/>
                  <w:color w:val="0000EE"/>
                </w:rPr>
                <w:t xml:space="preserve">LUNA INNOVATIONS INC </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4"/>
                <w:szCs w:val="14"/>
                <w:color w:val="0000FF"/>
              </w:rPr>
              <w:t>LUNA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w:t>
            </w:r>
          </w:p>
        </w:tc>
        <w:tc>
          <w:tcPr>
            <w:tcW w:w="300" w:type="dxa"/>
            <w:vAlign w:val="bottom"/>
          </w:tcPr>
          <w:p>
            <w:pPr>
              <w:spacing w:after="0"/>
              <w:rPr>
                <w:sz w:val="14"/>
                <w:szCs w:val="14"/>
                <w:color w:val="auto"/>
              </w:rPr>
            </w:pPr>
          </w:p>
        </w:tc>
        <w:tc>
          <w:tcPr>
            <w:tcW w:w="1620" w:type="dxa"/>
            <w:vAlign w:val="bottom"/>
            <w:gridSpan w:val="4"/>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420" w:type="dxa"/>
            <w:vAlign w:val="bottom"/>
            <w:gridSpan w:val="6"/>
            <w:vMerge w:val="continue"/>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Borders>
              <w:top w:val="single" w:sz="8" w:color="0000EE"/>
            </w:tcBorders>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72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420" w:type="dxa"/>
            <w:vAlign w:val="bottom"/>
            <w:gridSpan w:val="2"/>
            <w:vMerge w:val="restart"/>
          </w:tcPr>
          <w:p>
            <w:pPr>
              <w:ind w:left="260"/>
              <w:spacing w:after="0"/>
              <w:rPr>
                <w:sz w:val="20"/>
                <w:szCs w:val="20"/>
                <w:color w:val="auto"/>
              </w:rPr>
            </w:pPr>
            <w:r>
              <w:rPr>
                <w:rFonts w:ascii="Times New Roman" w:cs="Times New Roman" w:eastAsia="Times New Roman" w:hAnsi="Times New Roman"/>
                <w:sz w:val="16"/>
                <w:szCs w:val="16"/>
                <w:color w:val="0000FF"/>
              </w:rPr>
              <w:t>X</w:t>
            </w:r>
          </w:p>
        </w:tc>
        <w:tc>
          <w:tcPr>
            <w:tcW w:w="70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9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96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6"/>
                <w:szCs w:val="6"/>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96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29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34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4"/>
                <w:szCs w:val="1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tcPr>
          <w:p>
            <w:pPr>
              <w:ind w:left="4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20" w:type="dxa"/>
            <w:vAlign w:val="bottom"/>
            <w:gridSpan w:val="8"/>
            <w:vMerge w:val="continue"/>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3"/>
                <w:szCs w:val="13"/>
                <w:color w:val="auto"/>
              </w:rPr>
              <w:t>below)</w:t>
            </w: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ind w:left="1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40" w:type="dxa"/>
            <w:vAlign w:val="bottom"/>
            <w:gridSpan w:val="7"/>
            <w:vMerge w:val="restart"/>
          </w:tcPr>
          <w:p>
            <w:pPr>
              <w:ind w:left="20"/>
              <w:spacing w:after="0"/>
              <w:rPr>
                <w:sz w:val="20"/>
                <w:szCs w:val="20"/>
                <w:color w:val="auto"/>
              </w:rPr>
            </w:pPr>
            <w:r>
              <w:rPr>
                <w:rFonts w:ascii="Times New Roman" w:cs="Times New Roman" w:eastAsia="Times New Roman" w:hAnsi="Times New Roman"/>
                <w:sz w:val="16"/>
                <w:szCs w:val="16"/>
                <w:color w:val="0000FF"/>
              </w:rPr>
              <w:t>C/O LUNA INNOVATIONS INCORPORATED</w:t>
            </w:r>
          </w:p>
        </w:tc>
        <w:tc>
          <w:tcPr>
            <w:tcW w:w="1540" w:type="dxa"/>
            <w:vAlign w:val="bottom"/>
            <w:gridSpan w:val="5"/>
          </w:tcPr>
          <w:p>
            <w:pPr>
              <w:ind w:left="360"/>
              <w:spacing w:after="0"/>
              <w:rPr>
                <w:sz w:val="20"/>
                <w:szCs w:val="20"/>
                <w:color w:val="auto"/>
              </w:rPr>
            </w:pPr>
            <w:r>
              <w:rPr>
                <w:rFonts w:ascii="Times New Roman" w:cs="Times New Roman" w:eastAsia="Times New Roman" w:hAnsi="Times New Roman"/>
                <w:sz w:val="16"/>
                <w:szCs w:val="16"/>
                <w:color w:val="0000FF"/>
              </w:rPr>
              <w:t>10/03/2022</w:t>
            </w: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344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6"/>
            <w:vMerge w:val="restart"/>
          </w:tcPr>
          <w:p>
            <w:pPr>
              <w:ind w:left="20"/>
              <w:spacing w:after="0"/>
              <w:rPr>
                <w:sz w:val="20"/>
                <w:szCs w:val="20"/>
                <w:color w:val="auto"/>
              </w:rPr>
            </w:pPr>
            <w:r>
              <w:rPr>
                <w:rFonts w:ascii="Times New Roman" w:cs="Times New Roman" w:eastAsia="Times New Roman" w:hAnsi="Times New Roman"/>
                <w:sz w:val="16"/>
                <w:szCs w:val="16"/>
                <w:color w:val="0000FF"/>
              </w:rPr>
              <w:t>301 1ST STREET SW, SUITE 200</w:t>
            </w: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6"/>
            <w:vMerge w:val="continue"/>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400" w:type="dxa"/>
            <w:vAlign w:val="bottom"/>
            <w:gridSpan w:val="9"/>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3540" w:type="dxa"/>
            <w:vAlign w:val="bottom"/>
            <w:gridSpan w:val="9"/>
            <w:vMerge w:val="continue"/>
          </w:tcPr>
          <w:p>
            <w:pPr>
              <w:spacing w:after="0"/>
              <w:rPr>
                <w:sz w:val="6"/>
                <w:szCs w:val="6"/>
                <w:color w:val="auto"/>
              </w:rPr>
            </w:pPr>
          </w:p>
        </w:tc>
        <w:tc>
          <w:tcPr>
            <w:tcW w:w="300" w:type="dxa"/>
            <w:vAlign w:val="bottom"/>
          </w:tcPr>
          <w:p>
            <w:pPr>
              <w:spacing w:after="0"/>
              <w:rPr>
                <w:sz w:val="6"/>
                <w:szCs w:val="6"/>
                <w:color w:val="auto"/>
              </w:rPr>
            </w:pPr>
          </w:p>
        </w:tc>
        <w:tc>
          <w:tcPr>
            <w:tcW w:w="3400" w:type="dxa"/>
            <w:vAlign w:val="bottom"/>
            <w:gridSpan w:val="9"/>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96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00" w:type="dxa"/>
            <w:vAlign w:val="bottom"/>
            <w:gridSpan w:val="9"/>
          </w:tcPr>
          <w:p>
            <w:pPr>
              <w:ind w:left="260"/>
              <w:spacing w:after="0"/>
              <w:rPr>
                <w:sz w:val="20"/>
                <w:szCs w:val="20"/>
                <w:color w:val="auto"/>
              </w:rPr>
            </w:pPr>
            <w:r>
              <w:rPr>
                <w:rFonts w:ascii="Times New Roman" w:cs="Times New Roman" w:eastAsia="Times New Roman" w:hAnsi="Times New Roman"/>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0000FF"/>
              </w:rPr>
              <w:t>ROANOKE</w:t>
            </w:r>
          </w:p>
        </w:tc>
        <w:tc>
          <w:tcPr>
            <w:tcW w:w="120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0000FF"/>
              </w:rPr>
              <w:t>VA</w:t>
            </w:r>
          </w:p>
        </w:tc>
        <w:tc>
          <w:tcPr>
            <w:tcW w:w="1020" w:type="dxa"/>
            <w:vAlign w:val="bottom"/>
          </w:tcPr>
          <w:p>
            <w:pPr>
              <w:ind w:left="40"/>
              <w:spacing w:after="0"/>
              <w:rPr>
                <w:sz w:val="20"/>
                <w:szCs w:val="20"/>
                <w:color w:val="auto"/>
              </w:rPr>
            </w:pPr>
            <w:r>
              <w:rPr>
                <w:rFonts w:ascii="Times New Roman" w:cs="Times New Roman" w:eastAsia="Times New Roman" w:hAnsi="Times New Roman"/>
                <w:sz w:val="16"/>
                <w:szCs w:val="16"/>
                <w:color w:val="0000FF"/>
              </w:rPr>
              <w:t>24011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960" w:type="dxa"/>
            <w:vAlign w:val="bottom"/>
            <w:tcBorders>
              <w:bottom w:val="single" w:sz="8" w:color="9A9A9A"/>
            </w:tcBorders>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ind w:left="180"/>
              <w:spacing w:after="0" w:line="138" w:lineRule="exact"/>
              <w:rPr>
                <w:sz w:val="20"/>
                <w:szCs w:val="20"/>
                <w:color w:val="auto"/>
              </w:rPr>
            </w:pPr>
            <w:r>
              <w:rPr>
                <w:rFonts w:ascii="Arial" w:cs="Arial" w:eastAsia="Arial" w:hAnsi="Arial"/>
                <w:sz w:val="13"/>
                <w:szCs w:val="13"/>
                <w:color w:val="auto"/>
              </w:rPr>
              <w:t>Person</w:t>
            </w: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4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1440" w:type="dxa"/>
            <w:vAlign w:val="bottom"/>
            <w:tcBorders>
              <w:bottom w:val="single" w:sz="8" w:color="2C2C2C"/>
            </w:tcBorders>
            <w:gridSpan w:val="3"/>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7"/>
          </w:tcPr>
          <w:p>
            <w:pPr>
              <w:ind w:left="84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1440" w:type="dxa"/>
            <w:vAlign w:val="bottom"/>
            <w:tcBorders>
              <w:bottom w:val="single" w:sz="8" w:color="2C2C2C"/>
            </w:tcBorders>
            <w:gridSpan w:val="4"/>
          </w:tcPr>
          <w:p>
            <w:pPr>
              <w:spacing w:after="0"/>
              <w:rPr>
                <w:sz w:val="2"/>
                <w:szCs w:val="2"/>
                <w:color w:val="auto"/>
              </w:rPr>
            </w:pPr>
          </w:p>
        </w:tc>
        <w:tc>
          <w:tcPr>
            <w:tcW w:w="960" w:type="dxa"/>
            <w:vAlign w:val="bottom"/>
            <w:tcBorders>
              <w:bottom w:val="single" w:sz="8" w:color="2C2C2C"/>
            </w:tcBorders>
          </w:tcPr>
          <w:p>
            <w:pPr>
              <w:spacing w:after="0"/>
              <w:rPr>
                <w:sz w:val="2"/>
                <w:szCs w:val="2"/>
                <w:color w:val="auto"/>
              </w:rPr>
            </w:pPr>
          </w:p>
        </w:tc>
        <w:tc>
          <w:tcPr>
            <w:tcW w:w="1380" w:type="dxa"/>
            <w:vAlign w:val="bottom"/>
            <w:tcBorders>
              <w:bottom w:val="single" w:sz="8" w:color="2C2C2C"/>
            </w:tcBorders>
            <w:gridSpan w:val="4"/>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820" w:type="dxa"/>
            <w:vAlign w:val="bottom"/>
            <w:tcBorders>
              <w:bottom w:val="single" w:sz="8" w:color="2C2C2C"/>
            </w:tcBorders>
            <w:gridSpan w:val="4"/>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40"/>
              <w:spacing w:after="0"/>
              <w:rPr>
                <w:sz w:val="20"/>
                <w:szCs w:val="20"/>
                <w:color w:val="auto"/>
              </w:rPr>
            </w:pPr>
            <w:r>
              <w:rPr>
                <w:rFonts w:ascii="Arial" w:cs="Arial" w:eastAsia="Arial" w:hAnsi="Arial"/>
                <w:sz w:val="11"/>
                <w:szCs w:val="11"/>
                <w:b w:val="1"/>
                <w:bCs w:val="1"/>
                <w:color w:val="auto"/>
              </w:rPr>
              <w:t>2. Transaction</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6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6"/>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6"/>
          </w:tcPr>
          <w:p>
            <w:pPr>
              <w:ind w:left="120"/>
              <w:spacing w:after="0" w:line="125" w:lineRule="exact"/>
              <w:rPr>
                <w:sz w:val="20"/>
                <w:szCs w:val="20"/>
                <w:color w:val="auto"/>
              </w:rPr>
            </w:pPr>
            <w:r>
              <w:rPr>
                <w:rFonts w:ascii="Arial" w:cs="Arial" w:eastAsia="Arial" w:hAnsi="Arial"/>
                <w:sz w:val="11"/>
                <w:szCs w:val="11"/>
                <w:b w:val="1"/>
                <w:bCs w:val="1"/>
                <w:color w:val="auto"/>
              </w:rPr>
              <w:t>Disposed Of (D) (Instr. 3, 4 and 5)</w:t>
            </w: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Code (Instr.</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8)</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gridSpan w:val="3"/>
            <w:vMerge w:val="restart"/>
          </w:tcPr>
          <w:p>
            <w:pPr>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8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3"/>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1380" w:type="dxa"/>
            <w:vAlign w:val="bottom"/>
            <w:tcBorders>
              <w:bottom w:val="single" w:sz="8" w:color="2C2C2C"/>
            </w:tcBorders>
            <w:gridSpan w:val="4"/>
          </w:tcPr>
          <w:p>
            <w:pPr>
              <w:spacing w:after="0"/>
              <w:rPr>
                <w:sz w:val="6"/>
                <w:szCs w:val="6"/>
                <w:color w:val="auto"/>
              </w:rPr>
            </w:pPr>
          </w:p>
        </w:tc>
        <w:tc>
          <w:tcPr>
            <w:tcW w:w="1500" w:type="dxa"/>
            <w:vAlign w:val="bottom"/>
            <w:tcBorders>
              <w:bottom w:val="single" w:sz="8" w:color="2C2C2C"/>
            </w:tcBorders>
            <w:gridSpan w:val="4"/>
          </w:tcPr>
          <w:p>
            <w:pPr>
              <w:spacing w:after="0"/>
              <w:rPr>
                <w:sz w:val="6"/>
                <w:szCs w:val="6"/>
                <w:color w:val="auto"/>
              </w:rPr>
            </w:pPr>
          </w:p>
        </w:tc>
        <w:tc>
          <w:tcPr>
            <w:tcW w:w="840" w:type="dxa"/>
            <w:vAlign w:val="bottom"/>
            <w:tcBorders>
              <w:bottom w:val="single" w:sz="8" w:color="2C2C2C"/>
            </w:tcBorders>
            <w:gridSpan w:val="2"/>
          </w:tcPr>
          <w:p>
            <w:pPr>
              <w:spacing w:after="0"/>
              <w:rPr>
                <w:sz w:val="6"/>
                <w:szCs w:val="6"/>
                <w:color w:val="auto"/>
              </w:rPr>
            </w:pPr>
          </w:p>
        </w:tc>
        <w:tc>
          <w:tcPr>
            <w:tcW w:w="1820" w:type="dxa"/>
            <w:vAlign w:val="bottom"/>
            <w:tcBorders>
              <w:bottom w:val="single" w:sz="8" w:color="2C2C2C"/>
            </w:tcBorders>
            <w:gridSpan w:val="4"/>
          </w:tcPr>
          <w:p>
            <w:pPr>
              <w:spacing w:after="0"/>
              <w:rPr>
                <w:sz w:val="6"/>
                <w:szCs w:val="6"/>
                <w:color w:val="auto"/>
              </w:rPr>
            </w:pPr>
          </w:p>
        </w:tc>
        <w:tc>
          <w:tcPr>
            <w:tcW w:w="740" w:type="dxa"/>
            <w:vAlign w:val="bottom"/>
            <w:tcBorders>
              <w:bottom w:val="single" w:sz="8" w:color="2C2C2C"/>
            </w:tcBorders>
            <w:gridSpan w:val="2"/>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96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6"/>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5580" w:type="dxa"/>
            <w:vAlign w:val="bottom"/>
            <w:gridSpan w:val="15"/>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96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3"/>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30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4"/>
                <w:szCs w:val="14"/>
                <w:color w:val="auto"/>
              </w:rPr>
            </w:pP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w w:val="98"/>
              </w:rPr>
              <w:t>5. Number of</w:t>
            </w:r>
          </w:p>
        </w:tc>
        <w:tc>
          <w:tcPr>
            <w:tcW w:w="280" w:type="dxa"/>
            <w:vAlign w:val="bottom"/>
          </w:tcPr>
          <w:p>
            <w:pPr>
              <w:spacing w:after="0"/>
              <w:rPr>
                <w:sz w:val="14"/>
                <w:szCs w:val="14"/>
                <w:color w:val="auto"/>
              </w:rPr>
            </w:pPr>
          </w:p>
        </w:tc>
        <w:tc>
          <w:tcPr>
            <w:tcW w:w="140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jc w:val="center"/>
              <w:ind w:right="62"/>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Securities</w:t>
            </w:r>
          </w:p>
        </w:tc>
        <w:tc>
          <w:tcPr>
            <w:tcW w:w="700" w:type="dxa"/>
            <w:vAlign w:val="bottom"/>
          </w:tcPr>
          <w:p>
            <w:pPr>
              <w:jc w:val="center"/>
              <w:ind w:right="62"/>
              <w:spacing w:after="0" w:line="125" w:lineRule="exact"/>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jc w:val="center"/>
              <w:spacing w:after="0" w:line="125" w:lineRule="exact"/>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Underlying Derivative</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Security</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Security (Instr. 3 and</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Disposed of (D)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4)</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 4 and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5)</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w w:val="99"/>
              </w:rPr>
              <w:t>Reported</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Amount or</w:t>
            </w: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Date</w:t>
            </w:r>
          </w:p>
        </w:tc>
        <w:tc>
          <w:tcPr>
            <w:tcW w:w="640" w:type="dxa"/>
            <w:vAlign w:val="bottom"/>
            <w:gridSpan w:val="2"/>
          </w:tcPr>
          <w:p>
            <w:pPr>
              <w:jc w:val="center"/>
              <w:ind w:right="60"/>
              <w:spacing w:after="0" w:line="125" w:lineRule="exact"/>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Number of</w:t>
            </w: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3"/>
          </w:tcPr>
          <w:p>
            <w:pPr>
              <w:ind w:left="4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20"/>
                <w:szCs w:val="20"/>
                <w:color w:val="auto"/>
              </w:rPr>
            </w:pP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20"/>
                <w:szCs w:val="20"/>
                <w:color w:val="auto"/>
              </w:rPr>
            </w:pPr>
          </w:p>
        </w:tc>
        <w:tc>
          <w:tcPr>
            <w:tcW w:w="800" w:type="dxa"/>
            <w:vAlign w:val="bottom"/>
            <w:gridSpan w:val="4"/>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Pr>
          <w:p>
            <w:pPr>
              <w:jc w:val="center"/>
              <w:ind w:right="2"/>
              <w:spacing w:after="0"/>
              <w:rPr>
                <w:sz w:val="20"/>
                <w:szCs w:val="20"/>
                <w:color w:val="auto"/>
              </w:rPr>
            </w:pPr>
            <w:r>
              <w:rPr>
                <w:rFonts w:ascii="Times New Roman" w:cs="Times New Roman" w:eastAsia="Times New Roman" w:hAnsi="Times New Roman"/>
                <w:sz w:val="13"/>
                <w:szCs w:val="13"/>
                <w:color w:val="0000FF"/>
                <w:w w:val="91"/>
              </w:rPr>
              <w:t>2,302.63</w:t>
            </w:r>
            <w:r>
              <w:rPr>
                <w:rFonts w:ascii="Times New Roman" w:cs="Times New Roman" w:eastAsia="Times New Roman" w:hAnsi="Times New Roman"/>
                <w:sz w:val="20"/>
                <w:szCs w:val="20"/>
                <w:color w:val="008000"/>
                <w:w w:val="91"/>
                <w:vertAlign w:val="superscript"/>
              </w:rPr>
              <w:t>(2)</w:t>
            </w:r>
          </w:p>
        </w:tc>
        <w:tc>
          <w:tcPr>
            <w:tcW w:w="280" w:type="dxa"/>
            <w:vAlign w:val="bottom"/>
          </w:tcPr>
          <w:p>
            <w:pPr>
              <w:spacing w:after="0"/>
              <w:rPr>
                <w:sz w:val="20"/>
                <w:szCs w:val="20"/>
                <w:color w:val="auto"/>
              </w:rPr>
            </w:pPr>
          </w:p>
        </w:tc>
        <w:tc>
          <w:tcPr>
            <w:tcW w:w="760" w:type="dxa"/>
            <w:vAlign w:val="bottom"/>
            <w:gridSpan w:val="2"/>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0000FF"/>
              </w:rPr>
              <w:t>2,302.63</w:t>
            </w:r>
          </w:p>
        </w:tc>
        <w:tc>
          <w:tcPr>
            <w:tcW w:w="40" w:type="dxa"/>
            <w:vAlign w:val="bottom"/>
          </w:tcPr>
          <w:p>
            <w:pPr>
              <w:spacing w:after="0"/>
              <w:rPr>
                <w:sz w:val="20"/>
                <w:szCs w:val="20"/>
                <w:color w:val="auto"/>
              </w:rPr>
            </w:pPr>
          </w:p>
        </w:tc>
        <w:tc>
          <w:tcPr>
            <w:tcW w:w="700" w:type="dxa"/>
            <w:vAlign w:val="bottom"/>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tcPr>
          <w:p>
            <w:pPr>
              <w:ind w:left="140"/>
              <w:spacing w:after="0"/>
              <w:rPr>
                <w:sz w:val="20"/>
                <w:szCs w:val="20"/>
                <w:color w:val="auto"/>
              </w:rPr>
            </w:pPr>
            <w:r>
              <w:rPr>
                <w:rFonts w:ascii="Times New Roman" w:cs="Times New Roman" w:eastAsia="Times New Roman" w:hAnsi="Times New Roman"/>
                <w:sz w:val="13"/>
                <w:szCs w:val="13"/>
                <w:color w:val="0000FF"/>
              </w:rPr>
              <w:t>89,984.87</w:t>
            </w:r>
          </w:p>
        </w:tc>
        <w:tc>
          <w:tcPr>
            <w:tcW w:w="6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660" w:type="dxa"/>
            <w:vAlign w:val="bottom"/>
            <w:tcBorders>
              <w:bottom w:val="single" w:sz="8" w:color="2C2C2C"/>
            </w:tcBorders>
            <w:gridSpan w:val="3"/>
          </w:tcPr>
          <w:p>
            <w:pPr>
              <w:ind w:left="60"/>
              <w:spacing w:after="0" w:line="138" w:lineRule="exact"/>
              <w:rPr>
                <w:sz w:val="20"/>
                <w:szCs w:val="20"/>
                <w:color w:val="auto"/>
              </w:rPr>
            </w:pPr>
            <w:r>
              <w:rPr>
                <w:rFonts w:ascii="Times New Roman" w:cs="Times New Roman" w:eastAsia="Times New Roman" w:hAnsi="Times New Roman"/>
                <w:sz w:val="13"/>
                <w:szCs w:val="13"/>
                <w:color w:val="0000FF"/>
              </w:rPr>
              <w:t>Units</w:t>
            </w:r>
          </w:p>
        </w:tc>
        <w:tc>
          <w:tcPr>
            <w:tcW w:w="6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10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jc w:val="right"/>
              <w:ind w:right="121"/>
              <w:spacing w:after="0" w:line="138" w:lineRule="exact"/>
              <w:rPr>
                <w:sz w:val="20"/>
                <w:szCs w:val="20"/>
                <w:color w:val="auto"/>
              </w:rPr>
            </w:pPr>
            <w:r>
              <w:rPr>
                <w:rFonts w:ascii="Times New Roman" w:cs="Times New Roman" w:eastAsia="Times New Roman" w:hAnsi="Times New Roman"/>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822.37</w:t>
            </w:r>
            <w:r>
              <w:rPr>
                <w:rFonts w:ascii="Times New Roman" w:cs="Times New Roman" w:eastAsia="Times New Roman" w:hAnsi="Times New Roman"/>
                <w:sz w:val="20"/>
                <w:szCs w:val="20"/>
                <w:color w:val="008000"/>
                <w:w w:val="89"/>
                <w:vertAlign w:val="superscript"/>
              </w:rPr>
              <w:t>(4)</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822.37</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90,807.24</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274.12</w:t>
            </w:r>
            <w:r>
              <w:rPr>
                <w:rFonts w:ascii="Times New Roman" w:cs="Times New Roman" w:eastAsia="Times New Roman" w:hAnsi="Times New Roman"/>
                <w:sz w:val="20"/>
                <w:szCs w:val="20"/>
                <w:color w:val="008000"/>
                <w:w w:val="89"/>
                <w:vertAlign w:val="superscript"/>
              </w:rPr>
              <w:t>(5)</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274.12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91,081.36</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274.12</w:t>
            </w:r>
            <w:r>
              <w:rPr>
                <w:rFonts w:ascii="Times New Roman" w:cs="Times New Roman" w:eastAsia="Times New Roman" w:hAnsi="Times New Roman"/>
                <w:sz w:val="20"/>
                <w:szCs w:val="20"/>
                <w:color w:val="008000"/>
                <w:w w:val="89"/>
                <w:vertAlign w:val="superscript"/>
              </w:rPr>
              <w:t>(6)</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274.12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91,355.48</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-2309495</wp:posOffset>
            </wp:positionV>
            <wp:extent cx="28575" cy="23152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315210"/>
                    </a:xfrm>
                    <a:prstGeom prst="rect">
                      <a:avLst/>
                    </a:prstGeom>
                    <a:noFill/>
                  </pic:spPr>
                </pic:pic>
              </a:graphicData>
            </a:graphic>
          </wp:anchor>
        </w:drawing>
      </w:r>
    </w:p>
    <w:p>
      <w:pPr>
        <w:spacing w:after="0" w:line="5"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38" w:lineRule="exact"/>
        <w:rPr>
          <w:sz w:val="20"/>
          <w:szCs w:val="20"/>
          <w:color w:val="auto"/>
        </w:rPr>
      </w:pPr>
    </w:p>
    <w:p>
      <w:pPr>
        <w:ind w:left="160" w:hanging="122"/>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Stock Units are convertible into issuer's common stock on a 1-for-1 basis.</w:t>
      </w:r>
    </w:p>
    <w:p>
      <w:pPr>
        <w:spacing w:after="0" w:line="38" w:lineRule="exact"/>
        <w:rPr>
          <w:rFonts w:ascii="Times New Roman" w:cs="Times New Roman" w:eastAsia="Times New Roman" w:hAnsi="Times New Roman"/>
          <w:sz w:val="13"/>
          <w:szCs w:val="13"/>
          <w:color w:val="008000"/>
        </w:rPr>
      </w:pPr>
    </w:p>
    <w:p>
      <w:pPr>
        <w:ind w:left="40" w:right="2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policy, as compensation for Mr. Phelps's service as a member of the board of directors for the period from October 1, 2022 to December 31, 2022. The number of restricted stock units is equal to $10,500.00 divided by $4.56, the closing price of the issuer's common stock on the Nasdaq Capital Market October 3,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40" w:hanging="2"/>
        <w:spacing w:after="0" w:line="243"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selected by the Reporting Person. The units have no expiration date.</w:t>
      </w:r>
    </w:p>
    <w:p>
      <w:pPr>
        <w:spacing w:after="0" w:line="22" w:lineRule="exact"/>
        <w:rPr>
          <w:rFonts w:ascii="Times New Roman" w:cs="Times New Roman" w:eastAsia="Times New Roman" w:hAnsi="Times New Roman"/>
          <w:sz w:val="13"/>
          <w:szCs w:val="13"/>
          <w:color w:val="008000"/>
        </w:rPr>
      </w:pPr>
    </w:p>
    <w:p>
      <w:pPr>
        <w:jc w:val="both"/>
        <w:ind w:left="40" w:right="32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Mr. Phelps's service as the chairman of the audit committee of the board of directors for the period from October 1, 2022 to December 31, 2022. The number of restricted stock units is equal to $3,750.00 divided by $4.56, the closing price of issuer's common stock on the Nasdaq Capital Market on October 3,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1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Mr. Phelps's service on the compensation committee of the board of directors for the period from October 1, 2022 to Decmeber 31, 2022. The number of restricted stock units is equal to $1,250.00 divided by $4.56, the closing price of issuer's common stock on the Nasdaq Capital Market on October 3,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1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Mr. Phelps's service on the risk committee of the board of directors for the period from October 1, 2022 to December 31, 2022. The number of restricted stock units is equal to $1,250.00 divided by $4.56, the closing price of issuer's common stock on the Nasdaq Capital Market on October 3, 2022, the first trading day of the quarter. The Reporting Person elected to receive fees in stock units.</w:t>
      </w:r>
    </w:p>
    <w:p>
      <w:pPr>
        <w:sectPr>
          <w:pgSz w:w="11900" w:h="16838" w:orient="portrait"/>
          <w:cols w:equalWidth="0" w:num="1">
            <w:col w:w="11080"/>
          </w:cols>
          <w:pgMar w:left="460" w:top="214" w:right="359" w:bottom="1440" w:gutter="0" w:footer="0" w:header="0"/>
          <w:type w:val="continuous"/>
        </w:sectPr>
      </w:pPr>
    </w:p>
    <w:p>
      <w:pPr>
        <w:spacing w:after="0" w:line="26"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29"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-4445</wp:posOffset>
            </wp:positionV>
            <wp:extent cx="1329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7"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-11430</wp:posOffset>
            </wp:positionV>
            <wp:extent cx="1778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77800" cy="8255"/>
                    </a:xfrm>
                    <a:prstGeom prst="rect">
                      <a:avLst/>
                    </a:prstGeom>
                    <a:noFill/>
                  </pic:spPr>
                </pic:pic>
              </a:graphicData>
            </a:graphic>
          </wp:anchor>
        </w:drawing>
      </w:r>
    </w:p>
    <w:p>
      <w:pPr>
        <w:spacing w:after="0" w:line="36"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10/04/2022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-4445</wp:posOffset>
            </wp:positionV>
            <wp:extent cx="470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0535" cy="8255"/>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38" w:lineRule="exact"/>
        <w:rPr>
          <w:sz w:val="20"/>
          <w:szCs w:val="20"/>
          <w:color w:val="auto"/>
        </w:rPr>
      </w:pPr>
    </w:p>
    <w:p>
      <w:pPr>
        <w:sectPr>
          <w:pgSz w:w="11900" w:h="16838" w:orient="portrait"/>
          <w:cols w:equalWidth="0" w:num="2">
            <w:col w:w="8700" w:space="100"/>
            <w:col w:w="2280"/>
          </w:cols>
          <w:pgMar w:left="460" w:top="214"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0"/>
          <w:szCs w:val="20"/>
          <w:color w:val="auto"/>
        </w:rPr>
      </w:pPr>
    </w:p>
    <w:p>
      <w:pPr>
        <w:jc w:val="both"/>
        <w:ind w:left="40" w:right="3820" w:hanging="2"/>
        <w:spacing w:after="0" w:line="356" w:lineRule="auto"/>
        <w:tabs>
          <w:tab w:leader="none" w:pos="172"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1"/>
          <w:szCs w:val="11"/>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4"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2022-10-04T16:35:59Z</dcterms:created>
  <dcterms:modified xsi:type="dcterms:W3CDTF">2022-10-04T16:35:59Z</dcterms:modified>
</cp:coreProperties>
</file>