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REGISTRATION OF CERTAIN CLASSES OF SECURITIES PURSUANT TO SECTION 12(b) OR (g) OF THE SECURITIES EXCHANGE ACT OF 1934</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LUNA INNOVATIONS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91"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5820" w:type="dxa"/>
            <w:vAlign w:val="bottom"/>
            <w:tcBorders>
              <w:bottom w:val="single" w:sz="8" w:color="auto"/>
            </w:tcBorders>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600" w:type="dxa"/>
            <w:vAlign w:val="bottom"/>
            <w:tcBorders>
              <w:bottom w:val="single" w:sz="8" w:color="auto"/>
            </w:tcBorders>
          </w:tcPr>
          <w:p>
            <w:pPr>
              <w:jc w:val="right"/>
              <w:ind w:right="2242"/>
              <w:spacing w:after="0"/>
              <w:rPr>
                <w:sz w:val="20"/>
                <w:szCs w:val="20"/>
                <w:color w:val="auto"/>
              </w:rPr>
            </w:pPr>
            <w:r>
              <w:rPr>
                <w:rFonts w:ascii="Arial" w:cs="Arial" w:eastAsia="Arial" w:hAnsi="Arial"/>
                <w:sz w:val="18"/>
                <w:szCs w:val="18"/>
                <w:b w:val="1"/>
                <w:bCs w:val="1"/>
                <w:color w:val="auto"/>
              </w:rPr>
              <w:t>54-1560050</w:t>
            </w:r>
          </w:p>
        </w:tc>
      </w:tr>
      <w:tr>
        <w:trPr>
          <w:trHeight w:val="169"/>
        </w:trPr>
        <w:tc>
          <w:tcPr>
            <w:tcW w:w="582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(State of incorporation or organization)</w:t>
            </w:r>
          </w:p>
        </w:tc>
        <w:tc>
          <w:tcPr>
            <w:tcW w:w="5600" w:type="dxa"/>
            <w:vAlign w:val="bottom"/>
          </w:tcPr>
          <w:p>
            <w:pPr>
              <w:jc w:val="center"/>
              <w:ind w:left="62"/>
              <w:spacing w:after="0"/>
              <w:rPr>
                <w:sz w:val="20"/>
                <w:szCs w:val="20"/>
                <w:color w:val="auto"/>
              </w:rPr>
            </w:pPr>
            <w:r>
              <w:rPr>
                <w:rFonts w:ascii="Arial" w:cs="Arial" w:eastAsia="Arial" w:hAnsi="Arial"/>
                <w:sz w:val="14"/>
                <w:szCs w:val="14"/>
                <w:b w:val="1"/>
                <w:bCs w:val="1"/>
                <w:color w:val="auto"/>
                <w:w w:val="89"/>
              </w:rPr>
              <w:t>(I.R.S. Employer Identification No.)</w:t>
            </w:r>
          </w:p>
        </w:tc>
      </w:tr>
    </w:tbl>
    <w:p>
      <w:pPr>
        <w:spacing w:after="0" w:line="3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 South Jefferson Street, Suite 130, Roanoke, Virginia 24011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357"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to be registered pursuant to Section 12(b) of the Act: None</w:t>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ind w:left="2240"/>
              <w:spacing w:after="0"/>
              <w:rPr>
                <w:sz w:val="20"/>
                <w:szCs w:val="20"/>
                <w:color w:val="auto"/>
              </w:rPr>
            </w:pPr>
            <w:r>
              <w:rPr>
                <w:rFonts w:ascii="Arial" w:cs="Arial" w:eastAsia="Arial" w:hAnsi="Arial"/>
                <w:sz w:val="18"/>
                <w:szCs w:val="18"/>
                <w:color w:val="auto"/>
              </w:rPr>
              <w:t>Title of each class</w:t>
            </w: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7"/>
              </w:rPr>
              <w:t>Name of each exchange on which</w:t>
            </w:r>
          </w:p>
        </w:tc>
      </w:tr>
      <w:tr>
        <w:trPr>
          <w:trHeight w:val="231"/>
        </w:trPr>
        <w:tc>
          <w:tcPr>
            <w:tcW w:w="5720" w:type="dxa"/>
            <w:vAlign w:val="bottom"/>
            <w:tcBorders>
              <w:bottom w:val="single" w:sz="8" w:color="auto"/>
            </w:tcBorders>
          </w:tcPr>
          <w:p>
            <w:pPr>
              <w:ind w:left="2220"/>
              <w:spacing w:after="0"/>
              <w:rPr>
                <w:sz w:val="20"/>
                <w:szCs w:val="20"/>
                <w:color w:val="auto"/>
              </w:rPr>
            </w:pPr>
            <w:r>
              <w:rPr>
                <w:rFonts w:ascii="Arial" w:cs="Arial" w:eastAsia="Arial" w:hAnsi="Arial"/>
                <w:sz w:val="18"/>
                <w:szCs w:val="18"/>
                <w:color w:val="auto"/>
              </w:rPr>
              <w:t>to be so registered</w:t>
            </w:r>
          </w:p>
        </w:tc>
        <w:tc>
          <w:tcPr>
            <w:tcW w:w="240" w:type="dxa"/>
            <w:vAlign w:val="bottom"/>
          </w:tcPr>
          <w:p>
            <w:pPr>
              <w:spacing w:after="0"/>
              <w:rPr>
                <w:sz w:val="20"/>
                <w:szCs w:val="20"/>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Each class is to be registered</w:t>
            </w:r>
          </w:p>
        </w:tc>
      </w:tr>
    </w:tbl>
    <w:p>
      <w:pPr>
        <w:spacing w:after="0" w:line="154" w:lineRule="exact"/>
        <w:rPr>
          <w:sz w:val="24"/>
          <w:szCs w:val="24"/>
          <w:color w:val="auto"/>
        </w:rPr>
      </w:pPr>
    </w:p>
    <w:p>
      <w:pPr>
        <w:ind w:right="140"/>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131" w:lineRule="exact"/>
        <w:rPr>
          <w:sz w:val="24"/>
          <w:szCs w:val="24"/>
          <w:color w:val="auto"/>
        </w:rPr>
      </w:pPr>
    </w:p>
    <w:p>
      <w:pPr>
        <w:ind w:left="20"/>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b w:val="1"/>
          <w:bCs w:val="1"/>
          <w:color w:val="auto"/>
        </w:rPr>
        <w:t>333-131764</w:t>
      </w:r>
    </w:p>
    <w:p>
      <w:pPr>
        <w:spacing w:after="0" w:line="177"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to be registered pursuant to Section 12(g) of the Act:</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 Description of Registrant’s Securities to be Registered</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Luna Innovations Incorporated (the “Registrant”) hereby incorporates by reference the description of its Common Stock to be registered hereunder contained under the heading “Description of Capital Stock” in Registrant’s Registration Statement on Form S-1 (File No. 333-131764), as originally filed with the Securities and Exchange Commission (the “Commission”) on February 10, 2006 or subsequently amended (the “Registration Statement”), and in the prospectus included in the Registration Statement to be filed separately by Registrant with the Commission pursuant to Rule 424(b) under the Securities Act of 1933, as amended.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exhibits are filed herewith or incorporated by reference herein as indicated below:</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Form of Amended and Restated Certificate of Incorporation of the Registrant to be in effective upon the closing of the offering.</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Form of Amended and Restated Bylaws of the Registrant to be in effective upon the closing of the offering.</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Common Stock certificate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00" w:lineRule="exact"/>
        <w:rPr>
          <w:sz w:val="20"/>
          <w:szCs w:val="20"/>
          <w:color w:val="auto"/>
        </w:rPr>
      </w:pPr>
    </w:p>
    <w:p>
      <w:pPr>
        <w:ind w:left="460" w:right="64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by reference to the identically numbered exhibit to the Registration Statement on Form S-1 of Luna Innovations Incorporated filed on February 10, 2006, as amended (File No. 333-131764).</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2"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Date: May 17, 2006</w:t>
      </w:r>
      <w:r>
        <w:rPr>
          <w:sz w:val="20"/>
          <w:szCs w:val="20"/>
          <w:color w:val="auto"/>
        </w:rPr>
        <w:tab/>
      </w:r>
      <w:r>
        <w:rPr>
          <w:rFonts w:ascii="Arial" w:cs="Arial" w:eastAsia="Arial" w:hAnsi="Arial"/>
          <w:sz w:val="16"/>
          <w:szCs w:val="16"/>
          <w:color w:val="auto"/>
        </w:rPr>
        <w:t>LUNA INNOVATIONS INCORPORATED</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/s/ Aaron S. Hullman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Aaron S. Hullman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Vice President and General Counsel</w:t>
      </w:r>
    </w:p>
    <w:p>
      <w:pPr>
        <w:sectPr>
          <w:pgSz w:w="11900" w:h="16838" w:orient="portrait"/>
          <w:cols w:equalWidth="0" w:num="1">
            <w:col w:w="11400"/>
          </w:cols>
          <w:pgMar w:left="240" w:top="280"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660" w:type="dxa"/>
            <w:vAlign w:val="bottom"/>
          </w:tcPr>
          <w:p>
            <w:pPr>
              <w:spacing w:after="0"/>
              <w:rPr>
                <w:sz w:val="24"/>
                <w:szCs w:val="24"/>
                <w:color w:val="auto"/>
              </w:rPr>
            </w:pPr>
          </w:p>
        </w:tc>
        <w:tc>
          <w:tcPr>
            <w:tcW w:w="10260" w:type="dxa"/>
            <w:vAlign w:val="bottom"/>
            <w:vMerge w:val="restart"/>
          </w:tcPr>
          <w:p>
            <w:pPr>
              <w:ind w:left="4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 w:type="dxa"/>
            <w:vAlign w:val="bottom"/>
          </w:tcPr>
          <w:p>
            <w:pPr>
              <w:jc w:val="center"/>
              <w:spacing w:after="0"/>
              <w:rPr>
                <w:sz w:val="20"/>
                <w:szCs w:val="20"/>
                <w:color w:val="auto"/>
              </w:rPr>
            </w:pPr>
            <w:r>
              <w:rPr>
                <w:rFonts w:ascii="Arial" w:cs="Arial" w:eastAsia="Arial" w:hAnsi="Arial"/>
                <w:sz w:val="18"/>
                <w:szCs w:val="18"/>
                <w:color w:val="auto"/>
                <w:w w:val="93"/>
              </w:rPr>
              <w:t>3.2*</w:t>
            </w:r>
          </w:p>
        </w:tc>
        <w:tc>
          <w:tcPr>
            <w:tcW w:w="6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Amended and Restated Certificate of Incorporation of the Registrant to be in effective upon the closing of the offering.</w:t>
            </w:r>
          </w:p>
        </w:tc>
        <w:tc>
          <w:tcPr>
            <w:tcW w:w="0" w:type="dxa"/>
            <w:vAlign w:val="bottom"/>
          </w:tcPr>
          <w:p>
            <w:pPr>
              <w:spacing w:after="0"/>
              <w:rPr>
                <w:sz w:val="1"/>
                <w:szCs w:val="1"/>
                <w:color w:val="auto"/>
              </w:rPr>
            </w:pPr>
          </w:p>
        </w:tc>
      </w:tr>
      <w:tr>
        <w:trPr>
          <w:trHeight w:val="316"/>
        </w:trPr>
        <w:tc>
          <w:tcPr>
            <w:tcW w:w="500" w:type="dxa"/>
            <w:vAlign w:val="bottom"/>
          </w:tcPr>
          <w:p>
            <w:pPr>
              <w:jc w:val="center"/>
              <w:spacing w:after="0"/>
              <w:rPr>
                <w:sz w:val="20"/>
                <w:szCs w:val="20"/>
                <w:color w:val="auto"/>
              </w:rPr>
            </w:pPr>
            <w:r>
              <w:rPr>
                <w:rFonts w:ascii="Arial" w:cs="Arial" w:eastAsia="Arial" w:hAnsi="Arial"/>
                <w:sz w:val="18"/>
                <w:szCs w:val="18"/>
                <w:color w:val="auto"/>
                <w:w w:val="93"/>
              </w:rPr>
              <w:t>3.4*</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Amended and Restated Bylaws of the Registrant to be in effective upon the closing of the offering.</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93"/>
              </w:rPr>
              <w:t>4.1*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Specimen Common Stock certificate of the Registrant.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6000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84" w:lineRule="exact"/>
        <w:rPr>
          <w:sz w:val="20"/>
          <w:szCs w:val="20"/>
          <w:color w:val="auto"/>
        </w:rPr>
      </w:pPr>
    </w:p>
    <w:p>
      <w:pPr>
        <w:ind w:left="460" w:right="64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the identically numbered exhibit to the Registration Statement on Form S-1 of Luna Innovations Incorporated filed on February 10, 2006, as amended (File No. 333-131764).</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2019-12-15T09:01:58Z</dcterms:created>
  <dcterms:modified xsi:type="dcterms:W3CDTF">2019-12-15T09:01:58Z</dcterms:modified>
</cp:coreProperties>
</file>