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789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78904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PHELPS BARRY</w:t>
        </w:r>
      </w:hyperlink>
    </w:p>
    <w:p>
      <w:pPr>
        <w:spacing w:after="0" w:line="232"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Arial" w:cs="Arial" w:eastAsia="Arial" w:hAnsi="Arial"/>
                <w:sz w:val="10"/>
                <w:szCs w:val="10"/>
                <w:color w:val="auto"/>
              </w:rPr>
              <w:t>(Last)</w:t>
            </w:r>
          </w:p>
        </w:tc>
        <w:tc>
          <w:tcPr>
            <w:tcW w:w="1240" w:type="dxa"/>
            <w:vAlign w:val="bottom"/>
          </w:tcPr>
          <w:p>
            <w:pPr>
              <w:ind w:left="28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r>
      <w:tr>
        <w:trPr>
          <w:trHeight w:val="215"/>
        </w:trPr>
        <w:tc>
          <w:tcPr>
            <w:tcW w:w="4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LUNA INNOVATIONS INCORPORATED</w:t>
            </w:r>
          </w:p>
        </w:tc>
      </w:tr>
      <w:tr>
        <w:trPr>
          <w:trHeight w:val="207"/>
        </w:trPr>
        <w:tc>
          <w:tcPr>
            <w:tcW w:w="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301 1ST STREET SW, SUITE 200</w:t>
            </w:r>
          </w:p>
        </w:tc>
        <w:tc>
          <w:tcPr>
            <w:tcW w:w="1500" w:type="dxa"/>
            <w:vAlign w:val="bottom"/>
          </w:tcPr>
          <w:p>
            <w:pPr>
              <w:spacing w:after="0"/>
              <w:rPr>
                <w:sz w:val="18"/>
                <w:szCs w:val="18"/>
                <w:color w:val="auto"/>
              </w:rPr>
            </w:pPr>
          </w:p>
        </w:tc>
      </w:tr>
      <w:tr>
        <w:trPr>
          <w:trHeight w:val="116"/>
        </w:trPr>
        <w:tc>
          <w:tcPr>
            <w:tcW w:w="40" w:type="dxa"/>
            <w:vAlign w:val="bottom"/>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r>
        <w:trPr>
          <w:trHeight w:val="208"/>
        </w:trPr>
        <w:tc>
          <w:tcPr>
            <w:tcW w:w="9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0000FF"/>
              </w:rPr>
              <w:t>ROANOKE</w:t>
            </w:r>
          </w:p>
        </w:tc>
        <w:tc>
          <w:tcPr>
            <w:tcW w:w="12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VA</w:t>
            </w:r>
          </w:p>
        </w:tc>
        <w:tc>
          <w:tcPr>
            <w:tcW w:w="15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24011</w:t>
            </w:r>
          </w:p>
        </w:tc>
      </w:tr>
      <w:tr>
        <w:trPr>
          <w:trHeight w:val="116"/>
        </w:trPr>
        <w:tc>
          <w:tcPr>
            <w:tcW w:w="40" w:type="dxa"/>
            <w:vAlign w:val="bottom"/>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0"/>
                <w:szCs w:val="10"/>
                <w:color w:val="auto"/>
              </w:rPr>
              <w:t>(City)</w:t>
            </w:r>
          </w:p>
        </w:tc>
        <w:tc>
          <w:tcPr>
            <w:tcW w:w="1240" w:type="dxa"/>
            <w:vAlign w:val="bottom"/>
          </w:tcPr>
          <w:p>
            <w:pPr>
              <w:ind w:left="28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LUNA INNOVATIONS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LUNA</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820" w:type="dxa"/>
            <w:vAlign w:val="bottom"/>
            <w:tcBorders>
              <w:bottom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vMerge w:val="restart"/>
          </w:tcPr>
          <w:p>
            <w:pPr>
              <w:ind w:left="260"/>
              <w:spacing w:after="0" w:line="124" w:lineRule="exact"/>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280" w:type="dxa"/>
            <w:vAlign w:val="bottom"/>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3"/>
        </w:trPr>
        <w:tc>
          <w:tcPr>
            <w:tcW w:w="1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04/01/2024</w:t>
            </w:r>
          </w:p>
        </w:tc>
        <w:tc>
          <w:tcPr>
            <w:tcW w:w="1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80" w:type="dxa"/>
            <w:vAlign w:val="bottom"/>
            <w:gridSpan w:val="3"/>
            <w:vMerge w:val="continue"/>
          </w:tcPr>
          <w:p>
            <w:pPr>
              <w:spacing w:after="0"/>
              <w:rPr>
                <w:sz w:val="7"/>
                <w:szCs w:val="7"/>
                <w:color w:val="auto"/>
              </w:rPr>
            </w:pPr>
          </w:p>
        </w:tc>
        <w:tc>
          <w:tcPr>
            <w:tcW w:w="1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1960" w:type="dxa"/>
            <w:vAlign w:val="bottom"/>
          </w:tcPr>
          <w:p>
            <w:pPr>
              <w:ind w:left="1140"/>
              <w:spacing w:after="0"/>
              <w:rPr>
                <w:sz w:val="20"/>
                <w:szCs w:val="20"/>
                <w:color w:val="auto"/>
              </w:rPr>
            </w:pPr>
            <w:r>
              <w:rPr>
                <w:rFonts w:ascii="Arial" w:cs="Arial" w:eastAsia="Arial" w:hAnsi="Arial"/>
                <w:sz w:val="9"/>
                <w:szCs w:val="9"/>
                <w:b w:val="1"/>
                <w:bCs w:val="1"/>
                <w:color w:val="auto"/>
              </w:rPr>
              <w:t>2.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2A. Deemed</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00" w:type="dxa"/>
            <w:vAlign w:val="bottom"/>
            <w:gridSpan w:val="2"/>
          </w:tcPr>
          <w:p>
            <w:pPr>
              <w:ind w:left="60"/>
              <w:spacing w:after="0"/>
              <w:rPr>
                <w:sz w:val="20"/>
                <w:szCs w:val="20"/>
                <w:color w:val="auto"/>
              </w:rPr>
            </w:pPr>
            <w:r>
              <w:rPr>
                <w:rFonts w:ascii="Arial" w:cs="Arial" w:eastAsia="Arial" w:hAnsi="Arial"/>
                <w:sz w:val="9"/>
                <w:szCs w:val="9"/>
                <w:b w:val="1"/>
                <w:bCs w:val="1"/>
                <w:color w:val="auto"/>
              </w:rPr>
              <w:t>4. Securities Acquired (A) or Disposed Of</w:t>
            </w:r>
          </w:p>
        </w:tc>
        <w:tc>
          <w:tcPr>
            <w:tcW w:w="1160" w:type="dxa"/>
            <w:vAlign w:val="bottom"/>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tcPr>
          <w:p>
            <w:pPr>
              <w:ind w:left="60"/>
              <w:spacing w:after="0"/>
              <w:rPr>
                <w:sz w:val="20"/>
                <w:szCs w:val="20"/>
                <w:color w:val="auto"/>
              </w:rPr>
            </w:pPr>
            <w:r>
              <w:rPr>
                <w:rFonts w:ascii="Arial" w:cs="Arial" w:eastAsia="Arial" w:hAnsi="Arial"/>
                <w:sz w:val="9"/>
                <w:szCs w:val="9"/>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960" w:type="dxa"/>
            <w:vAlign w:val="bottom"/>
          </w:tcPr>
          <w:p>
            <w:pPr>
              <w:ind w:left="11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200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1160" w:type="dxa"/>
            <w:vAlign w:val="bottom"/>
          </w:tcPr>
          <w:p>
            <w:pPr>
              <w:ind w:left="60"/>
              <w:spacing w:after="0"/>
              <w:rPr>
                <w:sz w:val="20"/>
                <w:szCs w:val="20"/>
                <w:color w:val="auto"/>
              </w:rPr>
            </w:pPr>
            <w:r>
              <w:rPr>
                <w:rFonts w:ascii="Arial" w:cs="Arial" w:eastAsia="Arial" w:hAnsi="Arial"/>
                <w:sz w:val="9"/>
                <w:szCs w:val="9"/>
                <w:b w:val="1"/>
                <w:bCs w:val="1"/>
                <w:color w:val="auto"/>
              </w:rPr>
              <w:t>Beneficially Owned</w:t>
            </w:r>
          </w:p>
        </w:tc>
        <w:tc>
          <w:tcPr>
            <w:tcW w:w="960" w:type="dxa"/>
            <w:vAlign w:val="bottom"/>
          </w:tcPr>
          <w:p>
            <w:pPr>
              <w:ind w:left="60"/>
              <w:spacing w:after="0"/>
              <w:rPr>
                <w:sz w:val="20"/>
                <w:szCs w:val="20"/>
                <w:color w:val="auto"/>
              </w:rPr>
            </w:pPr>
            <w:r>
              <w:rPr>
                <w:rFonts w:ascii="Arial" w:cs="Arial" w:eastAsia="Arial" w:hAnsi="Arial"/>
                <w:sz w:val="9"/>
                <w:szCs w:val="9"/>
                <w:b w:val="1"/>
                <w:bCs w:val="1"/>
                <w:color w:val="auto"/>
              </w:rPr>
              <w:t>Form: Direct (D) or</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960" w:type="dxa"/>
            <w:vAlign w:val="bottom"/>
          </w:tcPr>
          <w:p>
            <w:pPr>
              <w:ind w:left="11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160" w:type="dxa"/>
            <w:vAlign w:val="bottom"/>
          </w:tcPr>
          <w:p>
            <w:pPr>
              <w:ind w:left="60"/>
              <w:spacing w:after="0"/>
              <w:rPr>
                <w:sz w:val="20"/>
                <w:szCs w:val="20"/>
                <w:color w:val="auto"/>
              </w:rPr>
            </w:pPr>
            <w:r>
              <w:rPr>
                <w:rFonts w:ascii="Arial" w:cs="Arial" w:eastAsia="Arial" w:hAnsi="Arial"/>
                <w:sz w:val="9"/>
                <w:szCs w:val="9"/>
                <w:b w:val="1"/>
                <w:bCs w:val="1"/>
                <w:color w:val="auto"/>
              </w:rPr>
              <w:t>Following Reported</w:t>
            </w:r>
          </w:p>
        </w:tc>
        <w:tc>
          <w:tcPr>
            <w:tcW w:w="960" w:type="dxa"/>
            <w:vAlign w:val="bottom"/>
          </w:tcPr>
          <w:p>
            <w:pPr>
              <w:ind w:left="60"/>
              <w:spacing w:after="0"/>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88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6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1340" w:type="dxa"/>
            <w:vAlign w:val="bottom"/>
            <w:vMerge w:val="restart"/>
          </w:tcPr>
          <w:p>
            <w:pPr>
              <w:ind w:left="240"/>
              <w:spacing w:after="0"/>
              <w:rPr>
                <w:sz w:val="20"/>
                <w:szCs w:val="20"/>
                <w:color w:val="auto"/>
              </w:rPr>
            </w:pPr>
            <w:r>
              <w:rPr>
                <w:rFonts w:ascii="Arial" w:cs="Arial" w:eastAsia="Arial" w:hAnsi="Arial"/>
                <w:sz w:val="9"/>
                <w:szCs w:val="9"/>
                <w:b w:val="1"/>
                <w:bCs w:val="1"/>
                <w:color w:val="auto"/>
              </w:rPr>
              <w:t>(A) or (D)   Price</w:t>
            </w:r>
          </w:p>
        </w:tc>
        <w:tc>
          <w:tcPr>
            <w:tcW w:w="116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960" w:type="dxa"/>
            <w:vAlign w:val="bottom"/>
          </w:tcPr>
          <w:p>
            <w:pPr>
              <w:spacing w:after="0"/>
              <w:rPr>
                <w:sz w:val="6"/>
                <w:szCs w:val="6"/>
                <w:color w:val="auto"/>
              </w:rPr>
            </w:pPr>
          </w:p>
        </w:tc>
        <w:tc>
          <w:tcPr>
            <w:tcW w:w="78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160" w:type="dxa"/>
            <w:vAlign w:val="bottom"/>
          </w:tcPr>
          <w:p>
            <w:pPr>
              <w:ind w:left="60"/>
              <w:spacing w:after="0"/>
              <w:rPr>
                <w:sz w:val="20"/>
                <w:szCs w:val="20"/>
                <w:color w:val="auto"/>
              </w:rPr>
            </w:pPr>
            <w:r>
              <w:rPr>
                <w:rFonts w:ascii="Arial" w:cs="Arial" w:eastAsia="Arial" w:hAnsi="Arial"/>
                <w:sz w:val="9"/>
                <w:szCs w:val="9"/>
                <w:b w:val="1"/>
                <w:bCs w:val="1"/>
                <w:color w:val="auto"/>
              </w:rPr>
              <w:t>and 4)</w:t>
            </w:r>
          </w:p>
        </w:tc>
        <w:tc>
          <w:tcPr>
            <w:tcW w:w="96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9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04"/>
        </w:trPr>
        <w:tc>
          <w:tcPr>
            <w:tcW w:w="108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w w:val="98"/>
              </w:rPr>
              <w:t>5. Number of</w:t>
            </w:r>
          </w:p>
        </w:tc>
        <w:tc>
          <w:tcPr>
            <w:tcW w:w="420" w:type="dxa"/>
            <w:vAlign w:val="bottom"/>
          </w:tcPr>
          <w:p>
            <w:pPr>
              <w:spacing w:after="0"/>
              <w:rPr>
                <w:sz w:val="9"/>
                <w:szCs w:val="9"/>
                <w:color w:val="auto"/>
              </w:rPr>
            </w:pPr>
          </w:p>
        </w:tc>
        <w:tc>
          <w:tcPr>
            <w:tcW w:w="1200" w:type="dxa"/>
            <w:vAlign w:val="bottom"/>
            <w:gridSpan w:val="2"/>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66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108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0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 Securities</w:t>
            </w:r>
          </w:p>
        </w:tc>
        <w:tc>
          <w:tcPr>
            <w:tcW w:w="1200" w:type="dxa"/>
            <w:vAlign w:val="bottom"/>
            <w:gridSpan w:val="2"/>
          </w:tcPr>
          <w:p>
            <w:pPr>
              <w:ind w:left="60"/>
              <w:spacing w:after="0"/>
              <w:rPr>
                <w:sz w:val="20"/>
                <w:szCs w:val="20"/>
                <w:color w:val="auto"/>
              </w:rPr>
            </w:pPr>
            <w:r>
              <w:rPr>
                <w:rFonts w:ascii="Arial" w:cs="Arial" w:eastAsia="Arial" w:hAnsi="Arial"/>
                <w:sz w:val="9"/>
                <w:szCs w:val="9"/>
                <w:b w:val="1"/>
                <w:bCs w:val="1"/>
                <w:color w:val="auto"/>
              </w:rPr>
              <w:t>Expiration Date</w:t>
            </w:r>
          </w:p>
        </w:tc>
        <w:tc>
          <w:tcPr>
            <w:tcW w:w="1660" w:type="dxa"/>
            <w:vAlign w:val="bottom"/>
            <w:gridSpan w:val="2"/>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jc w:val="center"/>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ind w:left="100"/>
              <w:spacing w:after="0"/>
              <w:rPr>
                <w:sz w:val="20"/>
                <w:szCs w:val="20"/>
                <w:color w:val="auto"/>
              </w:rPr>
            </w:pPr>
            <w:r>
              <w:rPr>
                <w:rFonts w:ascii="Arial" w:cs="Arial" w:eastAsia="Arial" w:hAnsi="Arial"/>
                <w:sz w:val="9"/>
                <w:szCs w:val="9"/>
                <w:b w:val="1"/>
                <w:bCs w:val="1"/>
                <w:color w:val="auto"/>
              </w:rPr>
              <w:t>Acquired (A) or</w:t>
            </w:r>
          </w:p>
        </w:tc>
        <w:tc>
          <w:tcPr>
            <w:tcW w:w="120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(Instr. 3 and 4)</w:t>
            </w:r>
          </w:p>
        </w:tc>
        <w:tc>
          <w:tcPr>
            <w:tcW w:w="76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ind w:left="100"/>
              <w:spacing w:after="0"/>
              <w:rPr>
                <w:sz w:val="20"/>
                <w:szCs w:val="20"/>
                <w:color w:val="auto"/>
              </w:rPr>
            </w:pPr>
            <w:r>
              <w:rPr>
                <w:rFonts w:ascii="Arial" w:cs="Arial" w:eastAsia="Arial" w:hAnsi="Arial"/>
                <w:sz w:val="9"/>
                <w:szCs w:val="9"/>
                <w:b w:val="1"/>
                <w:bCs w:val="1"/>
                <w:color w:val="auto"/>
              </w:rPr>
              <w:t>Disposed of (D)</w:t>
            </w: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ind w:left="100"/>
              <w:spacing w:after="0"/>
              <w:rPr>
                <w:sz w:val="20"/>
                <w:szCs w:val="20"/>
                <w:color w:val="auto"/>
              </w:rPr>
            </w:pPr>
            <w:r>
              <w:rPr>
                <w:rFonts w:ascii="Arial" w:cs="Arial" w:eastAsia="Arial" w:hAnsi="Arial"/>
                <w:sz w:val="9"/>
                <w:szCs w:val="9"/>
                <w:b w:val="1"/>
                <w:bCs w:val="1"/>
                <w:color w:val="auto"/>
              </w:rPr>
              <w:t>(Instr. 3, 4 and 5)</w:t>
            </w: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Owned</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1080" w:type="dxa"/>
            <w:vAlign w:val="bottom"/>
          </w:tcPr>
          <w:p>
            <w:pPr>
              <w:spacing w:after="0"/>
              <w:rPr>
                <w:sz w:val="4"/>
                <w:szCs w:val="4"/>
                <w:color w:val="auto"/>
              </w:rPr>
            </w:pPr>
          </w:p>
        </w:tc>
        <w:tc>
          <w:tcPr>
            <w:tcW w:w="700" w:type="dxa"/>
            <w:vAlign w:val="bottom"/>
            <w:vMerge w:val="restart"/>
          </w:tcPr>
          <w:p>
            <w:pPr>
              <w:ind w:left="14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vMerge w:val="restart"/>
          </w:tcPr>
          <w:p>
            <w:pPr>
              <w:ind w:left="8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0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ind w:left="80"/>
              <w:spacing w:after="0"/>
              <w:rPr>
                <w:sz w:val="20"/>
                <w:szCs w:val="20"/>
                <w:color w:val="auto"/>
              </w:rPr>
            </w:pPr>
            <w:r>
              <w:rPr>
                <w:rFonts w:ascii="Arial" w:cs="Arial" w:eastAsia="Arial" w:hAnsi="Arial"/>
                <w:sz w:val="9"/>
                <w:szCs w:val="9"/>
                <w:b w:val="1"/>
                <w:bCs w:val="1"/>
                <w:color w:val="auto"/>
              </w:rPr>
              <w:t>Amount or</w:t>
            </w:r>
          </w:p>
        </w:tc>
        <w:tc>
          <w:tcPr>
            <w:tcW w:w="600" w:type="dxa"/>
            <w:vAlign w:val="bottom"/>
          </w:tcPr>
          <w:p>
            <w:pPr>
              <w:spacing w:after="0"/>
              <w:rPr>
                <w:sz w:val="9"/>
                <w:szCs w:val="9"/>
                <w:color w:val="auto"/>
              </w:rPr>
            </w:pP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rPr>
              <w:t>Expiration</w:t>
            </w:r>
          </w:p>
        </w:tc>
        <w:tc>
          <w:tcPr>
            <w:tcW w:w="900" w:type="dxa"/>
            <w:vAlign w:val="bottom"/>
          </w:tcPr>
          <w:p>
            <w:pPr>
              <w:spacing w:after="0"/>
              <w:rPr>
                <w:sz w:val="9"/>
                <w:szCs w:val="9"/>
                <w:color w:val="auto"/>
              </w:rPr>
            </w:pPr>
          </w:p>
        </w:tc>
        <w:tc>
          <w:tcPr>
            <w:tcW w:w="760" w:type="dxa"/>
            <w:vAlign w:val="bottom"/>
          </w:tcPr>
          <w:p>
            <w:pPr>
              <w:ind w:left="80"/>
              <w:spacing w:after="0"/>
              <w:rPr>
                <w:sz w:val="20"/>
                <w:szCs w:val="20"/>
                <w:color w:val="auto"/>
              </w:rPr>
            </w:pPr>
            <w:r>
              <w:rPr>
                <w:rFonts w:ascii="Arial" w:cs="Arial" w:eastAsia="Arial" w:hAnsi="Arial"/>
                <w:sz w:val="9"/>
                <w:szCs w:val="9"/>
                <w:b w:val="1"/>
                <w:bCs w:val="1"/>
                <w:color w:val="auto"/>
              </w:rPr>
              <w:t>Number of</w:t>
            </w:r>
          </w:p>
        </w:tc>
        <w:tc>
          <w:tcPr>
            <w:tcW w:w="600" w:type="dxa"/>
            <w:vAlign w:val="bottom"/>
          </w:tcPr>
          <w:p>
            <w:pPr>
              <w:spacing w:after="0"/>
              <w:rPr>
                <w:sz w:val="9"/>
                <w:szCs w:val="9"/>
                <w:color w:val="auto"/>
              </w:rPr>
            </w:pP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spacing w:after="0"/>
              <w:rPr>
                <w:sz w:val="20"/>
                <w:szCs w:val="20"/>
                <w:color w:val="auto"/>
              </w:rPr>
            </w:pPr>
            <w:r>
              <w:rPr>
                <w:rFonts w:ascii="Arial" w:cs="Arial" w:eastAsia="Arial" w:hAnsi="Arial"/>
                <w:sz w:val="9"/>
                <w:szCs w:val="9"/>
                <w:b w:val="1"/>
                <w:bCs w:val="1"/>
                <w:color w:val="auto"/>
              </w:rPr>
              <w:t>(D)</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760" w:type="dxa"/>
            <w:vAlign w:val="bottom"/>
          </w:tcPr>
          <w:p>
            <w:pPr>
              <w:ind w:left="8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9"/>
                <w:szCs w:val="9"/>
                <w:b w:val="1"/>
                <w:bCs w:val="1"/>
                <w:color w:val="auto"/>
              </w:rPr>
              <w:t>(Instr. 4)</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0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0"/>
                <w:szCs w:val="10"/>
                <w:color w:val="0000FF"/>
              </w:rPr>
              <w:t>Stock Units</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04/01/2024</w:t>
            </w:r>
          </w:p>
        </w:tc>
        <w:tc>
          <w:tcPr>
            <w:tcW w:w="8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4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w w:val="95"/>
              </w:rPr>
              <w:t>3,465.35</w:t>
            </w:r>
            <w:r>
              <w:rPr>
                <w:rFonts w:ascii="Times New Roman" w:cs="Times New Roman" w:eastAsia="Times New Roman" w:hAnsi="Times New Roman"/>
                <w:sz w:val="17"/>
                <w:szCs w:val="17"/>
                <w:color w:val="008000"/>
                <w:w w:val="95"/>
                <w:vertAlign w:val="superscript"/>
              </w:rPr>
              <w:t>(2)</w:t>
            </w:r>
          </w:p>
        </w:tc>
        <w:tc>
          <w:tcPr>
            <w:tcW w:w="4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right"/>
              <w:ind w:right="215"/>
              <w:spacing w:after="0"/>
              <w:rPr>
                <w:sz w:val="20"/>
                <w:szCs w:val="20"/>
                <w:color w:val="auto"/>
              </w:rPr>
            </w:pPr>
            <w:r>
              <w:rPr>
                <w:rFonts w:ascii="Times New Roman" w:cs="Times New Roman" w:eastAsia="Times New Roman" w:hAnsi="Times New Roman"/>
                <w:sz w:val="9"/>
                <w:szCs w:val="9"/>
                <w:color w:val="008000"/>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9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3,465.35</w:t>
            </w:r>
          </w:p>
        </w:tc>
        <w:tc>
          <w:tcPr>
            <w:tcW w:w="600" w:type="dxa"/>
            <w:vAlign w:val="bottom"/>
            <w:tcBorders>
              <w:bottom w:val="single" w:sz="8" w:color="2C2C2C"/>
            </w:tcBorders>
          </w:tcPr>
          <w:p>
            <w:pPr>
              <w:jc w:val="right"/>
              <w:ind w:right="1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113,314.51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0"/>
                <w:szCs w:val="10"/>
                <w:color w:val="0000FF"/>
              </w:rPr>
              <w:t>Stock Units</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04/01/2024</w:t>
            </w:r>
          </w:p>
        </w:tc>
        <w:tc>
          <w:tcPr>
            <w:tcW w:w="8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4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w w:val="95"/>
              </w:rPr>
              <w:t>1,237.62</w:t>
            </w:r>
            <w:r>
              <w:rPr>
                <w:rFonts w:ascii="Times New Roman" w:cs="Times New Roman" w:eastAsia="Times New Roman" w:hAnsi="Times New Roman"/>
                <w:sz w:val="17"/>
                <w:szCs w:val="17"/>
                <w:color w:val="008000"/>
                <w:w w:val="95"/>
                <w:vertAlign w:val="superscript"/>
              </w:rPr>
              <w:t>(4)</w:t>
            </w:r>
          </w:p>
        </w:tc>
        <w:tc>
          <w:tcPr>
            <w:tcW w:w="4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right"/>
              <w:ind w:right="215"/>
              <w:spacing w:after="0"/>
              <w:rPr>
                <w:sz w:val="20"/>
                <w:szCs w:val="20"/>
                <w:color w:val="auto"/>
              </w:rPr>
            </w:pPr>
            <w:r>
              <w:rPr>
                <w:rFonts w:ascii="Times New Roman" w:cs="Times New Roman" w:eastAsia="Times New Roman" w:hAnsi="Times New Roman"/>
                <w:sz w:val="9"/>
                <w:szCs w:val="9"/>
                <w:color w:val="008000"/>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9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1,237.62</w:t>
            </w:r>
          </w:p>
        </w:tc>
        <w:tc>
          <w:tcPr>
            <w:tcW w:w="600" w:type="dxa"/>
            <w:vAlign w:val="bottom"/>
            <w:tcBorders>
              <w:bottom w:val="single" w:sz="8" w:color="2C2C2C"/>
            </w:tcBorders>
          </w:tcPr>
          <w:p>
            <w:pPr>
              <w:jc w:val="right"/>
              <w:ind w:right="1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114,552.13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0"/>
                <w:szCs w:val="10"/>
                <w:color w:val="0000FF"/>
              </w:rPr>
              <w:t>Stock Units</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04/01/2024</w:t>
            </w:r>
          </w:p>
        </w:tc>
        <w:tc>
          <w:tcPr>
            <w:tcW w:w="8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4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w w:val="93"/>
              </w:rPr>
              <w:t>907.59</w:t>
            </w:r>
            <w:r>
              <w:rPr>
                <w:rFonts w:ascii="Times New Roman" w:cs="Times New Roman" w:eastAsia="Times New Roman" w:hAnsi="Times New Roman"/>
                <w:sz w:val="17"/>
                <w:szCs w:val="17"/>
                <w:color w:val="008000"/>
                <w:w w:val="93"/>
                <w:vertAlign w:val="superscript"/>
              </w:rPr>
              <w:t>(5)</w:t>
            </w:r>
          </w:p>
        </w:tc>
        <w:tc>
          <w:tcPr>
            <w:tcW w:w="4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right"/>
              <w:ind w:right="215"/>
              <w:spacing w:after="0"/>
              <w:rPr>
                <w:sz w:val="20"/>
                <w:szCs w:val="20"/>
                <w:color w:val="auto"/>
              </w:rPr>
            </w:pPr>
            <w:r>
              <w:rPr>
                <w:rFonts w:ascii="Times New Roman" w:cs="Times New Roman" w:eastAsia="Times New Roman" w:hAnsi="Times New Roman"/>
                <w:sz w:val="9"/>
                <w:szCs w:val="9"/>
                <w:color w:val="008000"/>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9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907.59</w:t>
            </w:r>
          </w:p>
        </w:tc>
        <w:tc>
          <w:tcPr>
            <w:tcW w:w="600" w:type="dxa"/>
            <w:vAlign w:val="bottom"/>
            <w:tcBorders>
              <w:bottom w:val="single" w:sz="8" w:color="2C2C2C"/>
            </w:tcBorders>
          </w:tcPr>
          <w:p>
            <w:pPr>
              <w:jc w:val="right"/>
              <w:ind w:right="1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115,459.72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0"/>
                <w:szCs w:val="10"/>
                <w:color w:val="0000FF"/>
              </w:rPr>
              <w:t>Stock Units</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04/01/2024</w:t>
            </w:r>
          </w:p>
        </w:tc>
        <w:tc>
          <w:tcPr>
            <w:tcW w:w="8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4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w w:val="93"/>
              </w:rPr>
              <w:t>412.54</w:t>
            </w:r>
            <w:r>
              <w:rPr>
                <w:rFonts w:ascii="Times New Roman" w:cs="Times New Roman" w:eastAsia="Times New Roman" w:hAnsi="Times New Roman"/>
                <w:sz w:val="17"/>
                <w:szCs w:val="17"/>
                <w:color w:val="008000"/>
                <w:w w:val="93"/>
                <w:vertAlign w:val="superscript"/>
              </w:rPr>
              <w:t>(6)</w:t>
            </w:r>
          </w:p>
        </w:tc>
        <w:tc>
          <w:tcPr>
            <w:tcW w:w="4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right"/>
              <w:ind w:right="215"/>
              <w:spacing w:after="0"/>
              <w:rPr>
                <w:sz w:val="20"/>
                <w:szCs w:val="20"/>
                <w:color w:val="auto"/>
              </w:rPr>
            </w:pPr>
            <w:r>
              <w:rPr>
                <w:rFonts w:ascii="Times New Roman" w:cs="Times New Roman" w:eastAsia="Times New Roman" w:hAnsi="Times New Roman"/>
                <w:sz w:val="9"/>
                <w:szCs w:val="9"/>
                <w:color w:val="008000"/>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9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412.54</w:t>
            </w:r>
          </w:p>
        </w:tc>
        <w:tc>
          <w:tcPr>
            <w:tcW w:w="600" w:type="dxa"/>
            <w:vAlign w:val="bottom"/>
            <w:tcBorders>
              <w:bottom w:val="single" w:sz="8" w:color="2C2C2C"/>
            </w:tcBorders>
          </w:tcPr>
          <w:p>
            <w:pPr>
              <w:jc w:val="right"/>
              <w:ind w:right="1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115,872.26</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08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Stock Units</w:t>
            </w:r>
          </w:p>
        </w:tc>
        <w:tc>
          <w:tcPr>
            <w:tcW w:w="700" w:type="dxa"/>
            <w:vAlign w:val="bottom"/>
          </w:tcPr>
          <w:p>
            <w:pPr>
              <w:ind w:left="34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04/01/2024</w:t>
            </w:r>
          </w:p>
        </w:tc>
        <w:tc>
          <w:tcPr>
            <w:tcW w:w="860" w:type="dxa"/>
            <w:vAlign w:val="bottom"/>
          </w:tcPr>
          <w:p>
            <w:pPr>
              <w:spacing w:after="0"/>
              <w:rPr>
                <w:sz w:val="23"/>
                <w:szCs w:val="23"/>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4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3"/>
              </w:rPr>
              <w:t>412.54</w:t>
            </w:r>
            <w:r>
              <w:rPr>
                <w:rFonts w:ascii="Times New Roman" w:cs="Times New Roman" w:eastAsia="Times New Roman" w:hAnsi="Times New Roman"/>
                <w:sz w:val="17"/>
                <w:szCs w:val="17"/>
                <w:color w:val="008000"/>
                <w:w w:val="93"/>
                <w:vertAlign w:val="superscript"/>
              </w:rPr>
              <w:t>(7)</w:t>
            </w:r>
          </w:p>
        </w:tc>
        <w:tc>
          <w:tcPr>
            <w:tcW w:w="420" w:type="dxa"/>
            <w:vAlign w:val="bottom"/>
          </w:tcPr>
          <w:p>
            <w:pPr>
              <w:spacing w:after="0"/>
              <w:rPr>
                <w:sz w:val="23"/>
                <w:szCs w:val="23"/>
                <w:color w:val="auto"/>
              </w:rPr>
            </w:pP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412.54</w:t>
            </w:r>
          </w:p>
        </w:tc>
        <w:tc>
          <w:tcPr>
            <w:tcW w:w="600" w:type="dxa"/>
            <w:vAlign w:val="bottom"/>
          </w:tcPr>
          <w:p>
            <w:pPr>
              <w:jc w:val="right"/>
              <w:ind w:right="1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116,284.8</w:t>
            </w:r>
          </w:p>
        </w:tc>
        <w:tc>
          <w:tcPr>
            <w:tcW w:w="64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Stock Units are convertible into issuer's common stock on a 1-for-1 basis.</w:t>
      </w:r>
    </w:p>
    <w:p>
      <w:pPr>
        <w:spacing w:after="0" w:line="40" w:lineRule="exact"/>
        <w:rPr>
          <w:rFonts w:ascii="Times New Roman" w:cs="Times New Roman" w:eastAsia="Times New Roman" w:hAnsi="Times New Roman"/>
          <w:sz w:val="10"/>
          <w:szCs w:val="10"/>
          <w:color w:val="008000"/>
        </w:rPr>
      </w:pPr>
    </w:p>
    <w:p>
      <w:pPr>
        <w:ind w:left="40" w:right="1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grant was made pursuant to the issuer's non-employee director compensation policy, as compensation for Mr. Phelps's service as a member of the board of directors for the period from April 1, 2024 to June 30, 2024. The number of restricted stock units is equal to $10,500.00 divided by $3.03, the closing price of the issuer's common stock on the Nasdaq Capital Market on April 1, 2024, the first trading day of the quarter. The Reporting Person elected to receive fees in stock units.</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units become issuable in common stock of the issuer at the election of the Reporting Person upon the earliest to occur of the Reporting Person's termination of service, a change in control of the issuer, an unforeseeable emergency, or a fixed selected by the Reporting Person. The units have no expiration date.</w:t>
      </w:r>
    </w:p>
    <w:p>
      <w:pPr>
        <w:spacing w:after="0" w:line="3"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grant was made pursuant to issuer's non-employee director compensation policy, as compensation for Mr. Phelps's service as the chairman of the audit committee of the board of directors for the period from April 1, 2024 to June 30, 2024. The number of restricted stock units is equal to $3,750.00 divided by $3.03, the closing price of issuer's common stock on the Nasdaq Capital Market on April 1, 2024, the first trading day of the quarter. The Reporting Person elected to receive fees in stock units.</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grant was made pursuant to issuer's non-employee director compensation policy, as compensation for Mr. Phelps's service as the chairman of the operations committee of the board of directors for the period from April 1, 2024 to June 30, 2024. The number of restricted stock units is equal to $2,750.00 divided by $3.03, the closing price of issuer's common stock on the Nasdaq Capital Market on April 1, 2024, the first trading day of the quarter. The Reporting Person elected to receive fees in stock units.</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grant was made pursuant to issuer's non-employee director compensation policy, as compensation for Mr. Phelps's service on the compensation committee of the board of directors for the period from April 1, 2024 to June 30, 2024. The number of restricted stock units is equal to $1,250.00 divided by $3.03, the closing price of issuer's common stock on the Nasdaq Capital Market on April 1, 2024, the first trading day of the quarter. The Reporting Person elected to receive fees in stock units.</w:t>
      </w:r>
    </w:p>
    <w:p>
      <w:pPr>
        <w:spacing w:after="0" w:line="3" w:lineRule="exact"/>
        <w:rPr>
          <w:rFonts w:ascii="Times New Roman" w:cs="Times New Roman" w:eastAsia="Times New Roman" w:hAnsi="Times New Roman"/>
          <w:sz w:val="10"/>
          <w:szCs w:val="10"/>
          <w:color w:val="008000"/>
        </w:rPr>
      </w:pPr>
    </w:p>
    <w:p>
      <w:pPr>
        <w:ind w:left="40" w:right="2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grant was made pursuant to issuer's non-employee director compensation policy, as compensation for Mr. Phelps's service on the risk committee of the board of directors for the period from April 1, 2024 to June 30, 2024. The number of restricted stock units is equal to $1,250.00 divided by $3.03, the closing price of issuer's common stock on the Nasdaq Capital Market on April 1, 2024, the first trading day of the quarter. The Reporting Person elected to receive fees in stock units.</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Ryan Stewart, Attorney-in-Fact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04/03/2024</w:t>
            </w:r>
          </w:p>
        </w:tc>
      </w:tr>
      <w:tr>
        <w:trPr>
          <w:trHeight w:val="178"/>
        </w:trPr>
        <w:tc>
          <w:tcPr>
            <w:tcW w:w="6580" w:type="dxa"/>
            <w:vAlign w:val="bottom"/>
          </w:tcPr>
          <w:p>
            <w:pPr>
              <w:spacing w:after="0"/>
              <w:rPr>
                <w:sz w:val="15"/>
                <w:szCs w:val="15"/>
                <w:color w:val="auto"/>
              </w:rPr>
            </w:pPr>
          </w:p>
        </w:tc>
        <w:tc>
          <w:tcPr>
            <w:tcW w:w="20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800" w:type="dxa"/>
            <w:vAlign w:val="bottom"/>
            <w:gridSpan w:val="2"/>
          </w:tcPr>
          <w:p>
            <w:pPr>
              <w:ind w:left="180"/>
              <w:spacing w:after="0"/>
              <w:rPr>
                <w:sz w:val="20"/>
                <w:szCs w:val="20"/>
                <w:color w:val="auto"/>
              </w:rPr>
            </w:pPr>
            <w:r>
              <w:rPr>
                <w:rFonts w:ascii="Arial" w:cs="Arial" w:eastAsia="Arial" w:hAnsi="Arial"/>
                <w:sz w:val="10"/>
                <w:szCs w:val="10"/>
                <w:color w:val="auto"/>
              </w:rPr>
              <w:t>Date</w:t>
            </w:r>
          </w:p>
        </w:tc>
      </w:tr>
      <w:tr>
        <w:trPr>
          <w:trHeight w:val="155"/>
        </w:trPr>
        <w:tc>
          <w:tcPr>
            <w:tcW w:w="86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40508" TargetMode="External"/><Relationship Id="rId13" Type="http://schemas.openxmlformats.org/officeDocument/2006/relationships/hyperlink" Target="http://www.sec.gov/cgi-bin/browse-edgar?action=getcompany&amp;CIK=0001239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2024-04-03T16:03:37Z</dcterms:created>
  <dcterms:modified xsi:type="dcterms:W3CDTF">2024-04-03T16:03:37Z</dcterms:modified>
</cp:coreProperties>
</file>