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0637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063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63740" cy="8890"/>
                    </a:xfrm>
                    <a:prstGeom prst="rect">
                      <a:avLst/>
                    </a:prstGeom>
                    <a:noFill/>
                  </pic:spPr>
                </pic:pic>
              </a:graphicData>
            </a:graphic>
          </wp:anchor>
        </w:drawing>
        <w:t>UNITED STATES</w:t>
      </w:r>
    </w:p>
    <w:p>
      <w:pPr>
        <w:jc w:val="center"/>
        <w:ind w:right="-3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line="205"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4500"/>
        <w:spacing w:after="0" w:line="203" w:lineRule="auto"/>
        <w:rPr>
          <w:sz w:val="20"/>
          <w:szCs w:val="20"/>
          <w:color w:val="auto"/>
        </w:rPr>
      </w:pPr>
      <w:r>
        <w:rPr>
          <w:rFonts w:ascii="Times New Roman" w:cs="Times New Roman" w:eastAsia="Times New Roman" w:hAnsi="Times New Roman"/>
          <w:sz w:val="22"/>
          <w:szCs w:val="22"/>
          <w:b w:val="1"/>
          <w:bCs w:val="1"/>
          <w:color w:val="auto"/>
        </w:rPr>
        <w:t>_____________________</w:t>
      </w:r>
    </w:p>
    <w:p>
      <w:pPr>
        <w:jc w:val="center"/>
        <w:ind w:right="-39"/>
        <w:spacing w:after="0" w:line="213" w:lineRule="auto"/>
        <w:rPr>
          <w:sz w:val="20"/>
          <w:szCs w:val="20"/>
          <w:color w:val="auto"/>
        </w:rPr>
      </w:pPr>
      <w:r>
        <w:rPr>
          <w:rFonts w:ascii="Times New Roman" w:cs="Times New Roman" w:eastAsia="Times New Roman" w:hAnsi="Times New Roman"/>
          <w:sz w:val="32"/>
          <w:szCs w:val="32"/>
          <w:b w:val="1"/>
          <w:bCs w:val="1"/>
          <w:color w:val="auto"/>
        </w:rPr>
        <w:t>FORM 8-K</w:t>
      </w:r>
    </w:p>
    <w:p>
      <w:pPr>
        <w:ind w:left="4500"/>
        <w:spacing w:after="0" w:line="204" w:lineRule="auto"/>
        <w:rPr>
          <w:sz w:val="20"/>
          <w:szCs w:val="20"/>
          <w:color w:val="auto"/>
        </w:rPr>
      </w:pPr>
      <w:r>
        <w:rPr>
          <w:rFonts w:ascii="Times New Roman" w:cs="Times New Roman" w:eastAsia="Times New Roman" w:hAnsi="Times New Roman"/>
          <w:sz w:val="22"/>
          <w:szCs w:val="22"/>
          <w:b w:val="1"/>
          <w:bCs w:val="1"/>
          <w:color w:val="auto"/>
        </w:rPr>
        <w:t>_____________________</w:t>
      </w:r>
    </w:p>
    <w:p>
      <w:pPr>
        <w:jc w:val="center"/>
        <w:ind w:right="-39"/>
        <w:spacing w:after="0" w:line="205" w:lineRule="auto"/>
        <w:rPr>
          <w:sz w:val="20"/>
          <w:szCs w:val="20"/>
          <w:color w:val="auto"/>
        </w:rPr>
      </w:pPr>
      <w:r>
        <w:rPr>
          <w:rFonts w:ascii="Times New Roman" w:cs="Times New Roman" w:eastAsia="Times New Roman" w:hAnsi="Times New Roman"/>
          <w:sz w:val="22"/>
          <w:szCs w:val="22"/>
          <w:b w:val="1"/>
          <w:bCs w:val="1"/>
          <w:color w:val="auto"/>
        </w:rPr>
        <w:t>CURRENT REPORT</w:t>
      </w:r>
    </w:p>
    <w:p>
      <w:pPr>
        <w:jc w:val="center"/>
        <w:ind w:right="-39"/>
        <w:spacing w:after="0" w:line="205"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9"/>
        <w:spacing w:after="0" w:line="205" w:lineRule="auto"/>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jc w:val="center"/>
        <w:ind w:right="-39"/>
        <w:spacing w:after="0" w:line="205" w:lineRule="auto"/>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19, 2024</w:t>
      </w:r>
    </w:p>
    <w:p>
      <w:pPr>
        <w:spacing w:after="0" w:line="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_____________________</w:t>
      </w:r>
    </w:p>
    <w:p>
      <w:pPr>
        <w:spacing w:after="0" w:line="1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2"/>
          <w:szCs w:val="42"/>
          <w:b w:val="1"/>
          <w:bCs w:val="1"/>
          <w:color w:val="auto"/>
        </w:rPr>
        <w:t>LUNA INNOVATIONS INCORPORATED</w:t>
      </w:r>
    </w:p>
    <w:p>
      <w:pPr>
        <w:jc w:val="center"/>
        <w:ind w:right="-39"/>
        <w:spacing w:after="0" w:line="215" w:lineRule="auto"/>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_____________________</w:t>
      </w:r>
    </w:p>
    <w:p>
      <w:pPr>
        <w:sectPr>
          <w:pgSz w:w="11900" w:h="16838" w:orient="portrait"/>
          <w:cols w:equalWidth="0" w:num="1">
            <w:col w:w="11200"/>
          </w:cols>
          <w:pgMar w:left="320" w:top="1292" w:right="379" w:bottom="1440" w:gutter="0" w:footer="0" w:header="0"/>
        </w:sectPr>
      </w:pPr>
    </w:p>
    <w:p>
      <w:pPr>
        <w:spacing w:after="0" w:line="5"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000-52008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54-1560050</w:t>
      </w:r>
    </w:p>
    <w:p>
      <w:pPr>
        <w:spacing w:after="0" w:line="40" w:lineRule="exact"/>
        <w:rPr>
          <w:sz w:val="24"/>
          <w:szCs w:val="24"/>
          <w:color w:val="auto"/>
        </w:rPr>
      </w:pPr>
    </w:p>
    <w:p>
      <w:pPr>
        <w:sectPr>
          <w:pgSz w:w="11900" w:h="16838" w:orient="portrait"/>
          <w:cols w:equalWidth="0" w:num="3">
            <w:col w:w="4440" w:space="720"/>
            <w:col w:w="2960" w:space="720"/>
            <w:col w:w="2360"/>
          </w:cols>
          <w:pgMar w:left="320" w:top="1292" w:right="37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6"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3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00" w:space="720"/>
            <w:col w:w="2880" w:space="720"/>
            <w:col w:w="2480"/>
          </w:cols>
          <w:pgMar w:left="320" w:top="1292" w:right="379" w:bottom="1440" w:gutter="0" w:footer="0" w:header="0"/>
          <w:type w:val="continuous"/>
        </w:sectPr>
      </w:pPr>
    </w:p>
    <w:p>
      <w:pPr>
        <w:spacing w:after="0" w:line="168" w:lineRule="exact"/>
        <w:rPr>
          <w:sz w:val="24"/>
          <w:szCs w:val="24"/>
          <w:color w:val="auto"/>
        </w:rPr>
      </w:pPr>
    </w:p>
    <w:p>
      <w:pPr>
        <w:jc w:val="center"/>
        <w:ind w:left="260"/>
        <w:spacing w:after="0"/>
        <w:rPr>
          <w:sz w:val="20"/>
          <w:szCs w:val="20"/>
          <w:color w:val="auto"/>
        </w:rPr>
      </w:pPr>
      <w:r>
        <w:rPr>
          <w:rFonts w:ascii="Times New Roman" w:cs="Times New Roman" w:eastAsia="Times New Roman" w:hAnsi="Times New Roman"/>
          <w:sz w:val="17"/>
          <w:szCs w:val="17"/>
          <w:b w:val="1"/>
          <w:bCs w:val="1"/>
          <w:color w:val="auto"/>
        </w:rPr>
        <w:t>301 1st Street SW</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17"/>
          <w:szCs w:val="17"/>
          <w:b w:val="1"/>
          <w:bCs w:val="1"/>
          <w:color w:val="auto"/>
        </w:rPr>
        <w:t xml:space="preserve"> Suite 200</w:t>
      </w:r>
    </w:p>
    <w:p>
      <w:pPr>
        <w:spacing w:after="0" w:line="31" w:lineRule="exact"/>
        <w:rPr>
          <w:sz w:val="24"/>
          <w:szCs w:val="24"/>
          <w:color w:val="auto"/>
        </w:rPr>
      </w:pPr>
    </w:p>
    <w:p>
      <w:pPr>
        <w:jc w:val="center"/>
        <w:ind w:left="260"/>
        <w:spacing w:after="0"/>
        <w:rPr>
          <w:sz w:val="20"/>
          <w:szCs w:val="20"/>
          <w:color w:val="auto"/>
        </w:rPr>
      </w:pPr>
      <w:r>
        <w:rPr>
          <w:rFonts w:ascii="Times New Roman" w:cs="Times New Roman" w:eastAsia="Times New Roman" w:hAnsi="Times New Roman"/>
          <w:sz w:val="18"/>
          <w:szCs w:val="18"/>
          <w:b w:val="1"/>
          <w:bCs w:val="1"/>
          <w:color w:val="auto"/>
        </w:rPr>
        <w:t>Roanoke</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b w:val="1"/>
          <w:bCs w:val="1"/>
          <w:color w:val="auto"/>
        </w:rPr>
        <w:t xml:space="preserve"> VA</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24011</w:t>
      </w:r>
    </w:p>
    <w:p>
      <w:pPr>
        <w:spacing w:after="0" w:line="497" w:lineRule="exact"/>
        <w:rPr>
          <w:sz w:val="24"/>
          <w:szCs w:val="24"/>
          <w:color w:val="auto"/>
        </w:rPr>
      </w:pPr>
    </w:p>
    <w:p>
      <w:pPr>
        <w:sectPr>
          <w:pgSz w:w="11900" w:h="16838" w:orient="portrait"/>
          <w:cols w:equalWidth="0" w:num="2">
            <w:col w:w="5780" w:space="720"/>
            <w:col w:w="4700"/>
          </w:cols>
          <w:pgMar w:left="320" w:top="1292" w:right="379" w:bottom="1440" w:gutter="0" w:footer="0" w:header="0"/>
          <w:type w:val="continuous"/>
        </w:sectPr>
      </w:pPr>
    </w:p>
    <w:p>
      <w:pPr>
        <w:spacing w:after="0" w:line="5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(540) 769-8400</w:t>
      </w:r>
    </w:p>
    <w:p>
      <w:pPr>
        <w:jc w:val="center"/>
        <w:ind w:right="-59"/>
        <w:spacing w:after="0" w:line="193" w:lineRule="auto"/>
        <w:rPr>
          <w:sz w:val="20"/>
          <w:szCs w:val="20"/>
          <w:color w:val="auto"/>
        </w:rPr>
      </w:pPr>
      <w:r>
        <w:rPr>
          <w:rFonts w:ascii="Times New Roman" w:cs="Times New Roman" w:eastAsia="Times New Roman" w:hAnsi="Times New Roman"/>
          <w:sz w:val="18"/>
          <w:szCs w:val="18"/>
          <w:b w:val="1"/>
          <w:bCs w:val="1"/>
          <w:color w:val="auto"/>
        </w:rPr>
        <w:t>N/A</w:t>
      </w:r>
    </w:p>
    <w:p>
      <w:pPr>
        <w:jc w:val="center"/>
        <w:ind w:right="-59"/>
        <w:spacing w:after="0" w:line="227" w:lineRule="auto"/>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ind w:left="4500"/>
        <w:spacing w:after="0" w:line="209" w:lineRule="auto"/>
        <w:rPr>
          <w:sz w:val="20"/>
          <w:szCs w:val="20"/>
          <w:color w:val="auto"/>
        </w:rPr>
      </w:pPr>
      <w:r>
        <w:rPr>
          <w:rFonts w:ascii="Times New Roman" w:cs="Times New Roman" w:eastAsia="Times New Roman" w:hAnsi="Times New Roman"/>
          <w:sz w:val="22"/>
          <w:szCs w:val="22"/>
          <w:b w:val="1"/>
          <w:bCs w:val="1"/>
          <w:color w:val="auto"/>
        </w:rPr>
        <w:t>_____________________</w:t>
      </w:r>
    </w:p>
    <w:p>
      <w:pPr>
        <w:spacing w:after="0" w:line="1" w:lineRule="exact"/>
        <w:rPr>
          <w:sz w:val="24"/>
          <w:szCs w:val="24"/>
          <w:color w:val="auto"/>
        </w:rPr>
      </w:pPr>
    </w:p>
    <w:p>
      <w:pPr>
        <w:ind w:right="160" w:firstLine="486"/>
        <w:spacing w:after="0" w:line="22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7"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7"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73"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5"/>
        </w:trPr>
        <w:tc>
          <w:tcPr>
            <w:tcW w:w="4580" w:type="dxa"/>
            <w:vAlign w:val="bottom"/>
            <w:gridSpan w:val="2"/>
            <w:vMerge w:val="continue"/>
          </w:tcPr>
          <w:p>
            <w:pPr>
              <w:spacing w:after="0"/>
              <w:rPr>
                <w:sz w:val="16"/>
                <w:szCs w:val="16"/>
                <w:color w:val="auto"/>
              </w:rPr>
            </w:pPr>
          </w:p>
        </w:tc>
        <w:tc>
          <w:tcPr>
            <w:tcW w:w="26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3"/>
        </w:trPr>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80" w:type="dxa"/>
            <w:vAlign w:val="bottom"/>
          </w:tcPr>
          <w:p>
            <w:pPr>
              <w:spacing w:after="0"/>
              <w:rPr>
                <w:sz w:val="20"/>
                <w:szCs w:val="20"/>
                <w:color w:val="auto"/>
              </w:rPr>
            </w:pPr>
          </w:p>
        </w:tc>
        <w:tc>
          <w:tcPr>
            <w:tcW w:w="2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LUNA</w:t>
            </w:r>
          </w:p>
        </w:tc>
        <w:tc>
          <w:tcPr>
            <w:tcW w:w="180" w:type="dxa"/>
            <w:vAlign w:val="bottom"/>
          </w:tcPr>
          <w:p>
            <w:pPr>
              <w:spacing w:after="0"/>
              <w:rPr>
                <w:sz w:val="20"/>
                <w:szCs w:val="20"/>
                <w:color w:val="auto"/>
              </w:rPr>
            </w:pPr>
          </w:p>
        </w:tc>
        <w:tc>
          <w:tcPr>
            <w:tcW w:w="3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Stock Market, LLC</w:t>
            </w:r>
          </w:p>
        </w:tc>
        <w:tc>
          <w:tcPr>
            <w:tcW w:w="0" w:type="dxa"/>
            <w:vAlign w:val="bottom"/>
          </w:tcPr>
          <w:p>
            <w:pPr>
              <w:spacing w:after="0"/>
              <w:rPr>
                <w:sz w:val="1"/>
                <w:szCs w:val="1"/>
                <w:color w:val="auto"/>
              </w:rPr>
            </w:pPr>
          </w:p>
        </w:tc>
      </w:tr>
    </w:tbl>
    <w:p>
      <w:pPr>
        <w:spacing w:after="0" w:line="301" w:lineRule="exact"/>
        <w:rPr>
          <w:sz w:val="24"/>
          <w:szCs w:val="24"/>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12" w:lineRule="exact"/>
        <w:rPr>
          <w:sz w:val="24"/>
          <w:szCs w:val="24"/>
          <w:color w:val="auto"/>
        </w:rPr>
      </w:pPr>
    </w:p>
    <w:p>
      <w:pPr>
        <w:ind w:right="120"/>
        <w:spacing w:after="0" w:line="237"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742315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26670</wp:posOffset>
            </wp:positionV>
            <wp:extent cx="70637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0637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ectPr>
          <w:pgSz w:w="11900" w:h="16838" w:orient="portrait"/>
          <w:cols w:equalWidth="0" w:num="1">
            <w:col w:w="11200"/>
          </w:cols>
          <w:pgMar w:left="320" w:top="1292"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4.02. Non-Reliance on Previously Issued Financial Statements or a Related Audit Report or Completed Interim Review.</w:t>
      </w:r>
    </w:p>
    <w:p>
      <w:pPr>
        <w:spacing w:after="0" w:line="256"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As previously reported in the Current Report on Form 8-K (the “Initial 8-K”) filed by Luna Innovations Incorporated (the “Company”) with the Securities and Exchange Commission (the “SEC”) on March 12, 2024, a Special Committee (the “Special Committee”) of the Board of Directors (the “Board”) of the Company has been conducting an independent review, with the assistance of external legal and financial advisors, of certain revenue recognition matters in connection with the Company’s previously issued financial statements. As disclosed in the Initial 8-K, the Audit Committee (the “Audit Committee”) of the Board, based on preliminary findings of the review, and after consultation with the Company’s management and the Special Committee’s external legal and financial advisors, concluded that the Company’s previously issued interim unaudited condensed consolidated financial statements for the quarters ended June 30, 2023 and September 30, 2023 (the “Q2 and Q3 2023 Financial Statements”), as previously filed with the SEC, should no longer be relied upon and should be restated due to the recognition of revenue with respect to certain transactions in those periods that did not qualify for revenue recognition under U.S. generally accepted accounting principles.</w:t>
      </w:r>
    </w:p>
    <w:p>
      <w:pPr>
        <w:spacing w:after="0" w:line="21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While the independent review is continuing, on April 15, 2024, the Audit Committee, based on additional preliminary findings of the review, and after consultation with the Company’s management and the Special Committee’s external legal and financial advisors, concluded that the Company’s previously issued audited consolidated financial statements as of and for the year ended December 31, 2022 (the “2022 Annual Financial Statements”), as well as the Company’s previously issued interim unaudited condensed consolidated financial statements as of and for each of the three months ended March 31, 2022, the three and six months ended June 30, 2022 and the three and nine months ended September 30, 2022 (collectively, the “2022 Interim Financial Statements” and, together with the 2022 Annual Financial Statements, the “2022 Financial Statements”) as well as the interim unaudited condensed consolidated financial statements as of and for the three months ended March 31, 2023 (together with the Q2 and Q3 2023 Financial Statements and the 2022 Financial Statements, the “Affected Financial Statements”), should no longer be relied upon and should be restated due to identified accounting errors in each of the Affected Financial Statements relating to revenue recognition. Similarly, any previously issued or filed reports, press releases, earnings releases, investor presentations or other communications of the Company describing the Company’s financial results or other financial information relating to the periods covered by the Affected Financial Statements should no longer be relied upon. In addition, the report of Ernst &amp; Young LLP included in the previously issued 2022 Annual Financial Statements should no longer be relied upon.</w:t>
      </w:r>
    </w:p>
    <w:p>
      <w:pPr>
        <w:spacing w:after="0" w:line="217"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In addition, the Company is assessing the effect of the matters identified to date on the Company’s internal control over financial reporting and its disclosure controls and procedures. In connection with the review and the identification of the accounting errors described in this report, the Audit Committee identified material weaknesses in the Company’s internal control over financial reporting that existed during the periods covered by each of the Affected Financial Statements, and has re-evaluated the effectiveness of the Company’s disclosure controls and procedures as of each quarter end included in the Affected Financial Statements (the “Affected Balance Sheet Dates”). Based on this assessment, the Audit Committee has determined that the Company’s disclosure controls and procedures were ineffective as of each of the Affected Balance Sheet Dates. The Audit Committee has also concluded that, based on its determination that the Company’s internal control over financial reporting was not effective as of December 31, 2022, Management’s Report on Internal Control over Financial Reporting included in the Company’s Annual Report on Form 10-K for the year ended December 31, 2022 should no longer be relied upon.</w:t>
      </w:r>
    </w:p>
    <w:p>
      <w:pPr>
        <w:spacing w:after="0" w:line="215" w:lineRule="exact"/>
        <w:rPr>
          <w:sz w:val="20"/>
          <w:szCs w:val="20"/>
          <w:color w:val="auto"/>
        </w:rPr>
      </w:pPr>
    </w:p>
    <w:p>
      <w:pPr>
        <w:ind w:firstLine="486"/>
        <w:spacing w:after="0" w:line="277" w:lineRule="auto"/>
        <w:rPr>
          <w:sz w:val="20"/>
          <w:szCs w:val="20"/>
          <w:color w:val="auto"/>
        </w:rPr>
      </w:pPr>
      <w:r>
        <w:rPr>
          <w:rFonts w:ascii="Times New Roman" w:cs="Times New Roman" w:eastAsia="Times New Roman" w:hAnsi="Times New Roman"/>
          <w:sz w:val="17"/>
          <w:szCs w:val="17"/>
          <w:color w:val="auto"/>
        </w:rPr>
        <w:t>The description of the restatements and accounting errors in this report is preliminary, unaudited and subject to further change in connection with the ongoing review and the completion of the restatements of the Affected Financial Statements. Additionally, as the independent review remains ongoing, the Company has not yet determined the full extent of the impact on the Affected Financial Statements and whether and to what extent there may be an impact on financial statements for any other periods. Accordingly, there can be no assurance as to the actual effects of the restatements or that the Company will not determine to restate any financial statements in addition to the Affected Financial Statements or with respect to any additional accounting errors.</w:t>
      </w:r>
    </w:p>
    <w:p>
      <w:pPr>
        <w:spacing w:after="0" w:line="195" w:lineRule="exact"/>
        <w:rPr>
          <w:sz w:val="20"/>
          <w:szCs w:val="20"/>
          <w:color w:val="auto"/>
        </w:rPr>
      </w:pPr>
    </w:p>
    <w:p>
      <w:pPr>
        <w:ind w:right="40" w:firstLine="486"/>
        <w:spacing w:after="0" w:line="312" w:lineRule="auto"/>
        <w:rPr>
          <w:sz w:val="20"/>
          <w:szCs w:val="20"/>
          <w:color w:val="auto"/>
        </w:rPr>
      </w:pPr>
      <w:r>
        <w:rPr>
          <w:rFonts w:ascii="Times New Roman" w:cs="Times New Roman" w:eastAsia="Times New Roman" w:hAnsi="Times New Roman"/>
          <w:sz w:val="17"/>
          <w:szCs w:val="17"/>
          <w:color w:val="auto"/>
        </w:rPr>
        <w:t>Although the Company cannot at this time estimate when it will file its restated financial statements, the Company is diligently pursuing completion of the restatements and intends to make such filings as soon as reasonably practicable following the completion of the review and the restatements.</w:t>
      </w:r>
    </w:p>
    <w:p>
      <w:pPr>
        <w:spacing w:after="0" w:line="167"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The Company’s management and the Audit Committee have discussed the matters disclosed in this Item 4.02 with the Company’s independent registered public accounting firm,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701675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2"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08"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On April 19, 2024, the Company issued a press release announcing the intention to restate the Affected Financial Statements. A copy of the press release is attached hereto as Exhibit 99.1 and incorporated herein by reference.</w:t>
      </w:r>
    </w:p>
    <w:p>
      <w:pPr>
        <w:spacing w:after="0" w:line="4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information furnished in this Item 7.01, including the attached exhibit, shall not be deemed “filed” for purposes of Section 18 of the Securities Exchange Act of 1934, as amended (the “Exchange Act”), or otherwise subject to the liabilities of that section, nor shall it be deemed incorporated by reference into any filings under the Securities Act of 1933, as amended, or the Exchange Act, except as shall be expressly set forth by specific reference in such a filing.</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106"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27A of the Securities Act of 1933, as amended, and Section 21E of the Securities Exchange Act of 1934, as amended. The words “anticipate,” “estimate,” “may,” “will,” “expect” “potential,” and similar terms and phrases are used in this Form 8-K to identify forward-looking statements, including expectations regarding the ongoing review being overseen by the Special Committee, the impacts of the results of the independent review, including the extent of any impact on the Company’s reported historical financial statements, the expected timing of the Company’s filing of its restated financial statements and the determinations with respect to necessary changes in accounting or other policies resulting from the review. These forward-looking statements are only predictions and are subject to a number of both known and unknown risks and uncertainties, and actual results, performance, and/or achievements of the Company may differ materially from the future results, performance, and/or achievements expressed or implied by these forward-looking statements as a result of a number of factors. These factors include, without limitation, the review being overseen by the Special Committee is still ongoing, the determinations with respect to the degree of transactions and relevant financial reporting periods implicated thereby, the potential discovery of additional information relevant to the periods covered by the Affected Financial Statements or other periods, the resulting effects on the Company’s reported financial results and the delay in the Company’s reporting of its financial results and filing of its periodic reports with the SEC, as well as the risks and uncertainties set forth in the sections entitled “Risk Factors” in the Company's Quarterly Reports on Form 10-Q for the quarter ended September 30, 2023, as well as subsequent filings with the SEC. The statements made in this filing are based on information available to the Company as of the date of this filing and the Company undertakes no obligation to update any of the forward-looking statements after the date of this filing.</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6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w w:val="97"/>
              </w:rPr>
              <w:t>(d) Exhibits.</w:t>
            </w:r>
          </w:p>
        </w:tc>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72"/>
        </w:trPr>
        <w:tc>
          <w:tcPr>
            <w:tcW w:w="1880" w:type="dxa"/>
            <w:vAlign w:val="bottom"/>
            <w:tcBorders>
              <w:bottom w:val="single" w:sz="8" w:color="auto"/>
            </w:tcBorders>
          </w:tcPr>
          <w:p>
            <w:pPr>
              <w:jc w:val="right"/>
              <w:ind w:right="886"/>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 w:type="dxa"/>
            <w:vAlign w:val="bottom"/>
          </w:tcPr>
          <w:p>
            <w:pPr>
              <w:spacing w:after="0"/>
              <w:rPr>
                <w:sz w:val="24"/>
                <w:szCs w:val="24"/>
                <w:color w:val="auto"/>
              </w:rPr>
            </w:pPr>
          </w:p>
        </w:tc>
      </w:tr>
      <w:tr>
        <w:trPr>
          <w:trHeight w:val="480"/>
        </w:trPr>
        <w:tc>
          <w:tcPr>
            <w:tcW w:w="1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99.1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Press release dated April 19, 2024.</w:t>
            </w:r>
          </w:p>
        </w:tc>
      </w:tr>
      <w:tr>
        <w:trPr>
          <w:trHeight w:val="20"/>
        </w:trPr>
        <w:tc>
          <w:tcPr>
            <w:tcW w:w="1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6700" w:type="dxa"/>
            <w:vAlign w:val="bottom"/>
            <w:gridSpan w:val="2"/>
          </w:tcPr>
          <w:p>
            <w:pPr>
              <w:spacing w:after="0" w:line="20" w:lineRule="exact"/>
              <w:rPr>
                <w:sz w:val="1"/>
                <w:szCs w:val="1"/>
                <w:color w:val="auto"/>
              </w:rPr>
            </w:pPr>
          </w:p>
        </w:tc>
      </w:tr>
      <w:tr>
        <w:trPr>
          <w:trHeight w:val="277"/>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19"/>
        </w:trPr>
        <w:tc>
          <w:tcPr>
            <w:tcW w:w="18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6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5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Luna Innovations Incorporated</w:t>
      </w:r>
    </w:p>
    <w:p>
      <w:pPr>
        <w:spacing w:after="0" w:line="21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Richard Roedel</w:t>
      </w:r>
    </w:p>
    <w:p>
      <w:pPr>
        <w:spacing w:after="0" w:line="1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Richard Roedel</w:t>
      </w:r>
    </w:p>
    <w:p>
      <w:pPr>
        <w:ind w:left="4300"/>
        <w:spacing w:after="0"/>
        <w:rPr>
          <w:sz w:val="20"/>
          <w:szCs w:val="20"/>
          <w:color w:val="auto"/>
        </w:rPr>
      </w:pPr>
      <w:r>
        <w:rPr>
          <w:rFonts w:ascii="Times New Roman" w:cs="Times New Roman" w:eastAsia="Times New Roman" w:hAnsi="Times New Roman"/>
          <w:sz w:val="22"/>
          <w:szCs w:val="22"/>
          <w:color w:val="auto"/>
        </w:rPr>
        <w:t>Interim President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19, 2024</w:t>
      </w:r>
    </w:p>
    <w:p>
      <w:pPr>
        <w:sectPr>
          <w:pgSz w:w="11900" w:h="16838" w:orient="portrait"/>
          <w:cols w:equalWidth="0" w:num="1">
            <w:col w:w="11200"/>
          </w:cols>
          <w:pgMar w:left="320" w:top="509" w:right="37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2496820</wp:posOffset>
            </wp:positionH>
            <wp:positionV relativeFrom="page">
              <wp:posOffset>1006475</wp:posOffset>
            </wp:positionV>
            <wp:extent cx="2554605" cy="6343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55460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Calibri" w:cs="Calibri" w:eastAsia="Calibri" w:hAnsi="Calibri"/>
          <w:sz w:val="40"/>
          <w:szCs w:val="40"/>
          <w:b w:val="1"/>
          <w:bCs w:val="1"/>
          <w:color w:val="auto"/>
        </w:rPr>
        <w:t>Luna Innovatons Announces Restatement of Financial Statements</w:t>
      </w:r>
    </w:p>
    <w:p>
      <w:pPr>
        <w:spacing w:after="0" w:line="346" w:lineRule="exact"/>
        <w:rPr>
          <w:sz w:val="20"/>
          <w:szCs w:val="20"/>
          <w:color w:val="auto"/>
        </w:rPr>
      </w:pPr>
    </w:p>
    <w:p>
      <w:pPr>
        <w:spacing w:after="0" w:line="242" w:lineRule="auto"/>
        <w:rPr>
          <w:sz w:val="20"/>
          <w:szCs w:val="20"/>
          <w:color w:val="auto"/>
        </w:rPr>
      </w:pPr>
      <w:r>
        <w:rPr>
          <w:rFonts w:ascii="Calibri" w:cs="Calibri" w:eastAsia="Calibri" w:hAnsi="Calibri"/>
          <w:sz w:val="21"/>
          <w:szCs w:val="21"/>
          <w:color w:val="auto"/>
        </w:rPr>
        <w:t>ROANOKE, Va.--(BUSINESS WIRE)—April 19, 2024-- Luna Innovatons Incorporated (NASDAQ: LUNA) (the “Company”), a global leader in advanced fber optc-based technology, today announced that its Audit Commitee of the Board of Directors (the “Audit Commitee”), afer consultaton with the Company’s management and the Special Commitee’s external legal and fnancial advisors, determined that its fnancial statements for the fscal year ended December 31, 2022, and the interim periods ended March 31, 2022, June 30, 2022, and September 30, 2022 and March 31, 2023, cannot be relied upon and need to be restated due to identfed accountng errors relatng to revenue recogniton. Similarly, any previously issued or fled reports, press releases, earnings releases, investor presentatons or other Company communicatons describing the Company’s fnancial results or other fnancial informaton relatng to the fscal year ended December 31, 2022, should no longer be relied upon.</w:t>
      </w:r>
    </w:p>
    <w:p>
      <w:pPr>
        <w:spacing w:after="0" w:line="92" w:lineRule="exact"/>
        <w:rPr>
          <w:sz w:val="20"/>
          <w:szCs w:val="20"/>
          <w:color w:val="auto"/>
        </w:rPr>
      </w:pPr>
    </w:p>
    <w:p>
      <w:pPr>
        <w:spacing w:after="0" w:line="233" w:lineRule="auto"/>
        <w:rPr>
          <w:sz w:val="20"/>
          <w:szCs w:val="20"/>
          <w:color w:val="auto"/>
        </w:rPr>
      </w:pPr>
      <w:r>
        <w:rPr>
          <w:rFonts w:ascii="Calibri" w:cs="Calibri" w:eastAsia="Calibri" w:hAnsi="Calibri"/>
          <w:sz w:val="22"/>
          <w:szCs w:val="22"/>
          <w:color w:val="auto"/>
        </w:rPr>
        <w:t>As disclosed on March 12, a Special Commitee of the Company’s Board of Directors has been conductng an independent review, with the assistance of external legal and fnancial advisors, of certain revenue recogniton maters in connecton with the Company’s previously issued fnancial statements.</w:t>
      </w:r>
    </w:p>
    <w:p>
      <w:pPr>
        <w:spacing w:after="0" w:line="95" w:lineRule="exact"/>
        <w:rPr>
          <w:sz w:val="20"/>
          <w:szCs w:val="20"/>
          <w:color w:val="auto"/>
        </w:rPr>
      </w:pPr>
    </w:p>
    <w:p>
      <w:pPr>
        <w:ind w:right="140"/>
        <w:spacing w:after="0" w:line="229" w:lineRule="auto"/>
        <w:rPr>
          <w:sz w:val="20"/>
          <w:szCs w:val="20"/>
          <w:color w:val="auto"/>
        </w:rPr>
      </w:pPr>
      <w:r>
        <w:rPr>
          <w:rFonts w:ascii="Calibri" w:cs="Calibri" w:eastAsia="Calibri" w:hAnsi="Calibri"/>
          <w:sz w:val="22"/>
          <w:szCs w:val="22"/>
          <w:color w:val="auto"/>
        </w:rPr>
        <w:t>As the independent review remains ongoing and the full extent of this impact is stll being determined, the Company cannot at this tme estmate when it will fle its restated fnancial statements. The Company is working diligently on this mater and will provide updated informaton as appropriate.</w:t>
      </w:r>
    </w:p>
    <w:p>
      <w:pPr>
        <w:spacing w:after="0" w:line="8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About Luna</w:t>
      </w:r>
    </w:p>
    <w:p>
      <w:pPr>
        <w:spacing w:after="0" w:line="93" w:lineRule="exact"/>
        <w:rPr>
          <w:sz w:val="20"/>
          <w:szCs w:val="20"/>
          <w:color w:val="auto"/>
        </w:rPr>
      </w:pPr>
    </w:p>
    <w:p>
      <w:pPr>
        <w:ind w:right="60"/>
        <w:spacing w:after="0" w:line="229" w:lineRule="auto"/>
        <w:rPr>
          <w:sz w:val="20"/>
          <w:szCs w:val="20"/>
          <w:color w:val="auto"/>
        </w:rPr>
      </w:pPr>
      <w:r>
        <w:rPr>
          <w:rFonts w:ascii="Calibri" w:cs="Calibri" w:eastAsia="Calibri" w:hAnsi="Calibri"/>
          <w:sz w:val="22"/>
          <w:szCs w:val="22"/>
          <w:color w:val="auto"/>
        </w:rPr>
        <w:t>Luna Innovatons Incorporated (</w:t>
      </w:r>
      <w:r>
        <w:rPr>
          <w:rFonts w:ascii="Calibri" w:cs="Calibri" w:eastAsia="Calibri" w:hAnsi="Calibri"/>
          <w:sz w:val="22"/>
          <w:szCs w:val="22"/>
          <w:u w:val="single" w:color="auto"/>
          <w:color w:val="auto"/>
        </w:rPr>
        <w:t>www.lunainc.com</w:t>
      </w:r>
      <w:r>
        <w:rPr>
          <w:rFonts w:ascii="Calibri" w:cs="Calibri" w:eastAsia="Calibri" w:hAnsi="Calibri"/>
          <w:sz w:val="22"/>
          <w:szCs w:val="22"/>
          <w:color w:val="auto"/>
          <w:highlight w:val="white"/>
        </w:rPr>
        <w:t>) is a leader in optcal technology, providing unique capabilites in high-</w:t>
      </w:r>
      <w:r>
        <w:rPr>
          <w:rFonts w:ascii="Calibri" w:cs="Calibri" w:eastAsia="Calibri" w:hAnsi="Calibri"/>
          <w:sz w:val="22"/>
          <w:szCs w:val="22"/>
          <w:color w:val="auto"/>
        </w:rPr>
        <w:t>performance, fber optc-based, test products for the telecommunicatons industry and distributed fber optc-based sensing for a multtude of industries. Luna’s business model is designed to accelerate the process of bringing new and innovatve technologies to market.</w:t>
      </w:r>
    </w:p>
    <w:p>
      <w:pPr>
        <w:spacing w:after="0" w:line="8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Forward-Looking Statement</w:t>
      </w:r>
    </w:p>
    <w:p>
      <w:pPr>
        <w:spacing w:after="0" w:line="95" w:lineRule="exact"/>
        <w:rPr>
          <w:sz w:val="20"/>
          <w:szCs w:val="20"/>
          <w:color w:val="auto"/>
        </w:rPr>
      </w:pPr>
    </w:p>
    <w:p>
      <w:pPr>
        <w:ind w:right="40"/>
        <w:spacing w:after="0" w:line="231" w:lineRule="auto"/>
        <w:rPr>
          <w:sz w:val="20"/>
          <w:szCs w:val="20"/>
          <w:color w:val="auto"/>
        </w:rPr>
      </w:pPr>
      <w:r>
        <w:rPr>
          <w:rFonts w:ascii="Calibri" w:cs="Calibri" w:eastAsia="Calibri" w:hAnsi="Calibri"/>
          <w:sz w:val="22"/>
          <w:szCs w:val="22"/>
          <w:color w:val="auto"/>
        </w:rPr>
        <w:t>This press release contains statements that consttute “forward looking informaton” and “forward-looking statements” within the meaning of U.S. securites laws. All statements other than statements of historical facts contained in this press release, including statements regarding the impact of the required adjustments in the Company’s previously issued fnancial statements and the tming of the Company’s flings with the U.S. Securites and Exchange Commission and the issuance of restated fnancial statements, are forward-looking statements.</w:t>
      </w:r>
    </w:p>
    <w:p>
      <w:pPr>
        <w:sectPr>
          <w:pgSz w:w="11900" w:h="16838" w:orient="portrait"/>
          <w:cols w:equalWidth="0" w:num="1">
            <w:col w:w="11220"/>
          </w:cols>
          <w:pgMar w:left="320" w:top="1440" w:right="359" w:bottom="1440" w:gutter="0" w:footer="0" w:header="0"/>
        </w:sectPr>
      </w:pPr>
    </w:p>
    <w:bookmarkStart w:id="5" w:name="page6"/>
    <w:bookmarkEnd w:id="5"/>
    <w:p>
      <w:pPr>
        <w:spacing w:after="0" w:line="116" w:lineRule="exact"/>
        <w:rPr>
          <w:sz w:val="20"/>
          <w:szCs w:val="20"/>
          <w:color w:val="auto"/>
        </w:rPr>
      </w:pPr>
    </w:p>
    <w:p>
      <w:pPr>
        <w:spacing w:after="0" w:line="242" w:lineRule="auto"/>
        <w:rPr>
          <w:sz w:val="20"/>
          <w:szCs w:val="20"/>
          <w:color w:val="auto"/>
        </w:rPr>
      </w:pPr>
      <w:r>
        <w:rPr>
          <w:rFonts w:ascii="Calibri" w:cs="Calibri" w:eastAsia="Calibri" w:hAnsi="Calibri"/>
          <w:sz w:val="21"/>
          <w:szCs w:val="21"/>
          <w:color w:val="auto"/>
        </w:rPr>
        <w:t>Forward-looking statements are based on management’s beliefs and assumptons and on informaton currently available to management. Such statements are subject to risks and uncertaintes, and actual results may difer materially from those expressed or implied in the forward-looking statements, and such other risks and uncertaintes described in our flings with the U.S. Securites and Exchange Commission. The Company expressly disclaims any obligaton or undertaking to update the forward-looking statements contained in this press release to refect any change in its expectatons or any change in events, conditons, or circumstances on which such statements are based unless required to do so by applicable law. No assurance can be given that such future results will be achieved. Forward-looking statements speak only as of the date of this press release.</w:t>
      </w:r>
    </w:p>
    <w:p>
      <w:pPr>
        <w:spacing w:after="0" w:line="8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Investor Contact:</w:t>
      </w:r>
    </w:p>
    <w:p>
      <w:pPr>
        <w:spacing w:after="0" w:line="229" w:lineRule="auto"/>
        <w:rPr>
          <w:sz w:val="20"/>
          <w:szCs w:val="20"/>
          <w:color w:val="auto"/>
        </w:rPr>
      </w:pPr>
      <w:r>
        <w:rPr>
          <w:rFonts w:ascii="Calibri" w:cs="Calibri" w:eastAsia="Calibri" w:hAnsi="Calibri"/>
          <w:sz w:val="22"/>
          <w:szCs w:val="22"/>
          <w:color w:val="auto"/>
        </w:rPr>
        <w:t>Allison Woody</w:t>
      </w:r>
    </w:p>
    <w:p>
      <w:pPr>
        <w:spacing w:after="0" w:line="229" w:lineRule="auto"/>
        <w:rPr>
          <w:sz w:val="20"/>
          <w:szCs w:val="20"/>
          <w:color w:val="auto"/>
        </w:rPr>
      </w:pPr>
      <w:r>
        <w:rPr>
          <w:rFonts w:ascii="Calibri" w:cs="Calibri" w:eastAsia="Calibri" w:hAnsi="Calibri"/>
          <w:sz w:val="22"/>
          <w:szCs w:val="22"/>
          <w:color w:val="auto"/>
        </w:rPr>
        <w:t>Luna Innovatons Incorporated</w:t>
      </w:r>
    </w:p>
    <w:p>
      <w:pPr>
        <w:spacing w:after="0" w:line="227" w:lineRule="auto"/>
        <w:rPr>
          <w:sz w:val="20"/>
          <w:szCs w:val="20"/>
          <w:color w:val="auto"/>
        </w:rPr>
      </w:pPr>
      <w:r>
        <w:rPr>
          <w:rFonts w:ascii="Calibri" w:cs="Calibri" w:eastAsia="Calibri" w:hAnsi="Calibri"/>
          <w:sz w:val="22"/>
          <w:szCs w:val="22"/>
          <w:color w:val="auto"/>
        </w:rPr>
        <w:t>Phone: 540.769.8465</w:t>
      </w:r>
    </w:p>
    <w:p>
      <w:pPr>
        <w:spacing w:after="0" w:line="231" w:lineRule="auto"/>
        <w:rPr>
          <w:sz w:val="20"/>
          <w:szCs w:val="20"/>
          <w:color w:val="auto"/>
        </w:rPr>
      </w:pPr>
      <w:r>
        <w:rPr>
          <w:rFonts w:ascii="Calibri" w:cs="Calibri" w:eastAsia="Calibri" w:hAnsi="Calibri"/>
          <w:sz w:val="22"/>
          <w:szCs w:val="22"/>
          <w:color w:val="auto"/>
        </w:rPr>
        <w:t>Email: woodya@lunainc.com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-24130</wp:posOffset>
            </wp:positionV>
            <wp:extent cx="12382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38250" cy="825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Media Contact:</w:t>
      </w:r>
    </w:p>
    <w:p>
      <w:pPr>
        <w:spacing w:after="0" w:line="231" w:lineRule="auto"/>
        <w:rPr>
          <w:sz w:val="20"/>
          <w:szCs w:val="20"/>
          <w:color w:val="auto"/>
        </w:rPr>
      </w:pPr>
      <w:r>
        <w:rPr>
          <w:rFonts w:ascii="Calibri" w:cs="Calibri" w:eastAsia="Calibri" w:hAnsi="Calibri"/>
          <w:sz w:val="22"/>
          <w:szCs w:val="22"/>
          <w:color w:val="auto"/>
        </w:rPr>
        <w:t>Chris Kitredge/Stephen Petbone</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FGS Global</w:t>
      </w:r>
    </w:p>
    <w:p>
      <w:pPr>
        <w:spacing w:after="0" w:line="229" w:lineRule="auto"/>
        <w:rPr>
          <w:sz w:val="20"/>
          <w:szCs w:val="20"/>
          <w:color w:val="auto"/>
        </w:rPr>
      </w:pPr>
      <w:r>
        <w:rPr>
          <w:rFonts w:ascii="Calibri" w:cs="Calibri" w:eastAsia="Calibri" w:hAnsi="Calibri"/>
          <w:sz w:val="22"/>
          <w:szCs w:val="22"/>
          <w:color w:val="auto"/>
        </w:rPr>
        <w:t>Email: luna@fgsglobal.com</w:t>
      </w:r>
    </w:p>
    <w:p>
      <w:pPr>
        <w:spacing w:after="0" w:line="231" w:lineRule="exact"/>
        <w:rPr>
          <w:sz w:val="20"/>
          <w:szCs w:val="20"/>
          <w:color w:val="auto"/>
        </w:rPr>
      </w:pPr>
    </w:p>
    <w:p>
      <w:pPr>
        <w:spacing w:after="0"/>
        <w:rPr>
          <w:sz w:val="20"/>
          <w:szCs w:val="20"/>
          <w:color w:val="auto"/>
        </w:rPr>
      </w:pPr>
      <w:r>
        <w:rPr>
          <w:rFonts w:ascii="Calibri" w:cs="Calibri" w:eastAsia="Calibri" w:hAnsi="Calibri"/>
          <w:sz w:val="22"/>
          <w:szCs w:val="22"/>
          <w:color w:val="auto"/>
        </w:rPr>
        <w:t>Source: Luna Innovatons Incorporated</w:t>
      </w:r>
    </w:p>
    <w:sectPr>
      <w:pgSz w:w="11900" w:h="16838" w:orient="portrait"/>
      <w:cols w:equalWidth="0" w:num="1">
        <w:col w:w="11100"/>
      </w:cols>
      <w:pgMar w:left="32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2024-04-19T07:42:37Z</dcterms:created>
  <dcterms:modified xsi:type="dcterms:W3CDTF">2024-04-19T07:42:37Z</dcterms:modified>
</cp:coreProperties>
</file>