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063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890"/>
                    </a:xfrm>
                    <a:prstGeom prst="rect">
                      <a:avLst/>
                    </a:prstGeom>
                    <a:noFill/>
                  </pic:spPr>
                </pic:pic>
              </a:graphicData>
            </a:graphic>
          </wp:anchor>
        </w:drawing>
        <w:t>UNITED STATES</w:t>
      </w:r>
    </w:p>
    <w:p>
      <w:pPr>
        <w:jc w:val="center"/>
        <w:ind w:right="-3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line="205"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500"/>
        <w:spacing w:after="0" w:line="203" w:lineRule="auto"/>
        <w:rPr>
          <w:sz w:val="20"/>
          <w:szCs w:val="20"/>
          <w:color w:val="auto"/>
        </w:rPr>
      </w:pPr>
      <w:r>
        <w:rPr>
          <w:rFonts w:ascii="Times New Roman" w:cs="Times New Roman" w:eastAsia="Times New Roman" w:hAnsi="Times New Roman"/>
          <w:sz w:val="22"/>
          <w:szCs w:val="22"/>
          <w:b w:val="1"/>
          <w:bCs w:val="1"/>
          <w:color w:val="auto"/>
        </w:rPr>
        <w:t>_____________________</w:t>
      </w:r>
    </w:p>
    <w:p>
      <w:pPr>
        <w:jc w:val="center"/>
        <w:ind w:right="-39"/>
        <w:spacing w:after="0" w:line="213" w:lineRule="auto"/>
        <w:rPr>
          <w:sz w:val="20"/>
          <w:szCs w:val="20"/>
          <w:color w:val="auto"/>
        </w:rPr>
      </w:pPr>
      <w:r>
        <w:rPr>
          <w:rFonts w:ascii="Times New Roman" w:cs="Times New Roman" w:eastAsia="Times New Roman" w:hAnsi="Times New Roman"/>
          <w:sz w:val="32"/>
          <w:szCs w:val="32"/>
          <w:b w:val="1"/>
          <w:bCs w:val="1"/>
          <w:color w:val="auto"/>
        </w:rPr>
        <w:t>FORM 8-K</w:t>
      </w:r>
    </w:p>
    <w:p>
      <w:pPr>
        <w:ind w:left="4500"/>
        <w:spacing w:after="0" w:line="204" w:lineRule="auto"/>
        <w:rPr>
          <w:sz w:val="20"/>
          <w:szCs w:val="20"/>
          <w:color w:val="auto"/>
        </w:rPr>
      </w:pPr>
      <w:r>
        <w:rPr>
          <w:rFonts w:ascii="Times New Roman" w:cs="Times New Roman" w:eastAsia="Times New Roman" w:hAnsi="Times New Roman"/>
          <w:sz w:val="22"/>
          <w:szCs w:val="22"/>
          <w:b w:val="1"/>
          <w:bCs w:val="1"/>
          <w:color w:val="auto"/>
        </w:rPr>
        <w:t>_____________________</w:t>
      </w:r>
    </w:p>
    <w:p>
      <w:pPr>
        <w:jc w:val="center"/>
        <w:ind w:right="-39"/>
        <w:spacing w:after="0" w:line="205" w:lineRule="auto"/>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9"/>
        <w:spacing w:after="0" w:line="205"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9"/>
        <w:spacing w:after="0" w:line="205" w:lineRule="auto"/>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ind w:right="-39"/>
        <w:spacing w:after="0" w:line="205" w:lineRule="auto"/>
        <w:rPr>
          <w:sz w:val="20"/>
          <w:szCs w:val="20"/>
          <w:color w:val="auto"/>
        </w:rPr>
      </w:pPr>
      <w:r>
        <w:rPr>
          <w:rFonts w:ascii="Times New Roman" w:cs="Times New Roman" w:eastAsia="Times New Roman" w:hAnsi="Times New Roman"/>
          <w:sz w:val="22"/>
          <w:szCs w:val="22"/>
          <w:b w:val="1"/>
          <w:bCs w:val="1"/>
          <w:color w:val="auto"/>
        </w:rPr>
        <w:t>Date of Report (Date of earliest event reported): May 17, 2024</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_____________________</w:t>
      </w:r>
    </w:p>
    <w:p>
      <w:pPr>
        <w:spacing w:after="0" w:line="1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2"/>
          <w:szCs w:val="42"/>
          <w:b w:val="1"/>
          <w:bCs w:val="1"/>
          <w:color w:val="auto"/>
        </w:rPr>
        <w:t>LUNA INNOVATIONS INCORPORATED</w:t>
      </w:r>
    </w:p>
    <w:p>
      <w:pPr>
        <w:jc w:val="center"/>
        <w:ind w:right="-39"/>
        <w:spacing w:after="0" w:line="215"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_____________________</w:t>
      </w:r>
    </w:p>
    <w:p>
      <w:pPr>
        <w:sectPr>
          <w:pgSz w:w="11900" w:h="16838" w:orient="portrait"/>
          <w:cols w:equalWidth="0" w:num="1">
            <w:col w:w="11200"/>
          </w:cols>
          <w:pgMar w:left="320" w:top="1292" w:right="379" w:bottom="1440" w:gutter="0" w:footer="0" w:header="0"/>
        </w:sectPr>
      </w:pPr>
    </w:p>
    <w:p>
      <w:pPr>
        <w:spacing w:after="0" w:line="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000-52008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54-1560050</w:t>
      </w:r>
    </w:p>
    <w:p>
      <w:pPr>
        <w:spacing w:after="0" w:line="40" w:lineRule="exact"/>
        <w:rPr>
          <w:sz w:val="24"/>
          <w:szCs w:val="24"/>
          <w:color w:val="auto"/>
        </w:rPr>
      </w:pPr>
    </w:p>
    <w:p>
      <w:pPr>
        <w:sectPr>
          <w:pgSz w:w="11900" w:h="16838" w:orient="portrait"/>
          <w:cols w:equalWidth="0" w:num="3">
            <w:col w:w="4440" w:space="720"/>
            <w:col w:w="2960" w:space="720"/>
            <w:col w:w="2360"/>
          </w:cols>
          <w:pgMar w:left="320" w:top="1292" w:right="37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80" w:space="720"/>
            <w:col w:w="2480"/>
          </w:cols>
          <w:pgMar w:left="320" w:top="1292" w:right="379" w:bottom="1440" w:gutter="0" w:footer="0" w:header="0"/>
          <w:type w:val="continuous"/>
        </w:sectPr>
      </w:pPr>
    </w:p>
    <w:p>
      <w:pPr>
        <w:spacing w:after="0" w:line="168"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7"/>
          <w:szCs w:val="17"/>
          <w:b w:val="1"/>
          <w:bCs w:val="1"/>
          <w:color w:val="auto"/>
        </w:rPr>
        <w:t>301 1st Street SW</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7"/>
          <w:szCs w:val="17"/>
          <w:b w:val="1"/>
          <w:bCs w:val="1"/>
          <w:color w:val="auto"/>
        </w:rPr>
        <w:t xml:space="preserve"> Suite 200</w:t>
      </w:r>
    </w:p>
    <w:p>
      <w:pPr>
        <w:spacing w:after="0" w:line="31"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8"/>
          <w:szCs w:val="18"/>
          <w:b w:val="1"/>
          <w:bCs w:val="1"/>
          <w:color w:val="auto"/>
        </w:rPr>
        <w:t>Roanoke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VA</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24011</w:t>
      </w:r>
    </w:p>
    <w:p>
      <w:pPr>
        <w:spacing w:after="0" w:line="497" w:lineRule="exact"/>
        <w:rPr>
          <w:sz w:val="24"/>
          <w:szCs w:val="24"/>
          <w:color w:val="auto"/>
        </w:rPr>
      </w:pPr>
    </w:p>
    <w:p>
      <w:pPr>
        <w:sectPr>
          <w:pgSz w:w="11900" w:h="16838" w:orient="portrait"/>
          <w:cols w:equalWidth="0" w:num="2">
            <w:col w:w="5780" w:space="720"/>
            <w:col w:w="4700"/>
          </w:cols>
          <w:pgMar w:left="320" w:top="1292" w:right="379" w:bottom="1440" w:gutter="0" w:footer="0" w:header="0"/>
          <w:type w:val="continuous"/>
        </w:sectPr>
      </w:pPr>
    </w:p>
    <w:p>
      <w:pPr>
        <w:spacing w:after="0" w:line="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(540) 769-8400</w:t>
      </w:r>
    </w:p>
    <w:p>
      <w:pPr>
        <w:jc w:val="center"/>
        <w:ind w:right="-59"/>
        <w:spacing w:after="0" w:line="193" w:lineRule="auto"/>
        <w:rPr>
          <w:sz w:val="20"/>
          <w:szCs w:val="20"/>
          <w:color w:val="auto"/>
        </w:rPr>
      </w:pPr>
      <w:r>
        <w:rPr>
          <w:rFonts w:ascii="Times New Roman" w:cs="Times New Roman" w:eastAsia="Times New Roman" w:hAnsi="Times New Roman"/>
          <w:sz w:val="18"/>
          <w:szCs w:val="18"/>
          <w:b w:val="1"/>
          <w:bCs w:val="1"/>
          <w:color w:val="auto"/>
        </w:rPr>
        <w:t>N/A</w:t>
      </w:r>
    </w:p>
    <w:p>
      <w:pPr>
        <w:jc w:val="center"/>
        <w:ind w:right="-59"/>
        <w:spacing w:after="0" w:line="227" w:lineRule="auto"/>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ind w:left="4500"/>
        <w:spacing w:after="0" w:line="209" w:lineRule="auto"/>
        <w:rPr>
          <w:sz w:val="20"/>
          <w:szCs w:val="20"/>
          <w:color w:val="auto"/>
        </w:rPr>
      </w:pPr>
      <w:r>
        <w:rPr>
          <w:rFonts w:ascii="Times New Roman" w:cs="Times New Roman" w:eastAsia="Times New Roman" w:hAnsi="Times New Roman"/>
          <w:sz w:val="22"/>
          <w:szCs w:val="22"/>
          <w:b w:val="1"/>
          <w:bCs w:val="1"/>
          <w:color w:val="auto"/>
        </w:rPr>
        <w:t>_____________________</w:t>
      </w:r>
    </w:p>
    <w:p>
      <w:pPr>
        <w:spacing w:after="0" w:line="1" w:lineRule="exact"/>
        <w:rPr>
          <w:sz w:val="24"/>
          <w:szCs w:val="24"/>
          <w:color w:val="auto"/>
        </w:rPr>
      </w:pPr>
    </w:p>
    <w:p>
      <w:pPr>
        <w:ind w:right="160" w:firstLine="486"/>
        <w:spacing w:after="0" w:line="22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73"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4580" w:type="dxa"/>
            <w:vAlign w:val="bottom"/>
            <w:gridSpan w:val="2"/>
            <w:vMerge w:val="continue"/>
          </w:tcPr>
          <w:p>
            <w:pPr>
              <w:spacing w:after="0"/>
              <w:rPr>
                <w:sz w:val="16"/>
                <w:szCs w:val="16"/>
                <w:color w:val="auto"/>
              </w:rPr>
            </w:pPr>
          </w:p>
        </w:tc>
        <w:tc>
          <w:tcPr>
            <w:tcW w:w="2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3"/>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80" w:type="dxa"/>
            <w:vAlign w:val="bottom"/>
          </w:tcPr>
          <w:p>
            <w:pPr>
              <w:spacing w:after="0"/>
              <w:rPr>
                <w:sz w:val="20"/>
                <w:szCs w:val="20"/>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LUNA</w:t>
            </w:r>
          </w:p>
        </w:tc>
        <w:tc>
          <w:tcPr>
            <w:tcW w:w="180" w:type="dxa"/>
            <w:vAlign w:val="bottom"/>
          </w:tcPr>
          <w:p>
            <w:pPr>
              <w:spacing w:after="0"/>
              <w:rPr>
                <w:sz w:val="20"/>
                <w:szCs w:val="20"/>
                <w:color w:val="auto"/>
              </w:rPr>
            </w:pPr>
          </w:p>
        </w:tc>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c>
          <w:tcPr>
            <w:tcW w:w="0" w:type="dxa"/>
            <w:vAlign w:val="bottom"/>
          </w:tcPr>
          <w:p>
            <w:pPr>
              <w:spacing w:after="0"/>
              <w:rPr>
                <w:sz w:val="1"/>
                <w:szCs w:val="1"/>
                <w:color w:val="auto"/>
              </w:rPr>
            </w:pPr>
          </w:p>
        </w:tc>
      </w:tr>
    </w:tbl>
    <w:p>
      <w:pPr>
        <w:spacing w:after="0" w:line="30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12" w:lineRule="exact"/>
        <w:rPr>
          <w:sz w:val="24"/>
          <w:szCs w:val="24"/>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063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063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17, 2024 Luna Innovations Incorporated (the “Company”) received a delinquency notification letter (the “Notice”) from the Listing Qualifications Department of The Nasdaq Stock Market LLC (“Nasdaq”) notifying the Company that because the Company has not yet filed its Form 10-Q for the quarter ended March 31, 2024 (the “Form 10-Q”) and because the Company remains delinquent in filing its Form 10-K for the year ended December 31, 2023 (the "Form 10-K"), the Company is not in compliance with Nasdaq Listing Rule 5250(c)(1) (the “Rule”), which requires listed companies to timely file all periodic financial reports with the Securities and Exchange Commission (the “SEC”).</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Notice provides that the Company has until June 3, 2024 to submit to Nasdaq a plan to regain compliance with the Rule. If Nasdaq accepts the plan, Nasdaq may grant the Company an exception of up to 180 calendar days from the due date of the Form 10-K, or until September 30, 2024, to regain compliance. The Company may be able to regain compliance with the Rule by filing the Form 10-K and Form 10-Q with the SEC (and any other reports required to be filed) before the end of any such exception period. If the Company fails to regain compliance prior to the expiration of any such exception period or if Nasdaq does not accept the plan of compliance, Nasdaq will issue a determination indicating that the Company is subject to delisting. If that occurs, the Company may request a hearing before a Hearing Panel to review the determination. However, there can be no assurance that Nasdaq will accept such plan or grant an exception period, that any hearing would be successful, or that the Company will be able to regain compliance within the deadline or any exception period that may be granted or maintain compliance with the other continued listing requirements set forth in the Nasdaq Listing Rules.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21, 2024, the Company issued a press release announcing the Company’s receipt of the Notice. A copy of the press release is furnished as Exhibit 99.1 to this Current Report on Form 8-K.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5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as amended, and other securities law. Forward-looking statements are statements that are not historical facts. Words and phrases such as “anticipated,” “forward,” “will,” “would,” “could,” “may,” “remain,” “potential,” “prepare,” “expected,” “believe,” “plan,” “and similar expressions are intended to identify forward-looking statements. These statements include, but are not limited to, statements relating to the Company’s SEC filings and the timing thereof, the potential submission of a plan to Nasdaq and the potential for Nasdaq to accept such plan or grant the Company an exception period or the success of any hearing process, and the Company’s ability to regain compliance with the Nasdaq continued listing standards. All of such statements are subject to certain risks and uncertainties, many of which are difficult to predict and generally beyond the Company’s control, that could cause actual results to differ materially from those expressed in, or implied or projected by, the forward-looking information and statements. Such risks and uncertainties include, but are not limited to: the completion of the review and preparation of the Company’s financial statements and the timing thereof, the discovery of additional information, further delays in the Company’s financial reporting, including as a result of unanticipated factors, the possibility that the Company is unable to regain compliance with, or thereafter continue to comply with, the Nasdaq Listing Rules, or experience violations of additional Nasdaq Listing Rules, the possibility that the Nasdaq may delist the Company’s securities and the risks and uncertainties set forth in the sections entitled “Risk Factors” in the Company's Quarterly Report on Form 10-Q for the quarter ended September 30, 2023, as well as subsequent filings with the SEC. The Company does not give any assurance that it will achieve its expectations. Readers are cautioned not to place undue reliance on forward-looking statements. All forward-looking statements contained in this current report on Form 8-K speak only as of the date on which they were made. Except to the extent required by law,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1"/>
        </w:trPr>
        <w:tc>
          <w:tcPr>
            <w:tcW w:w="184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445"/>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24"/>
                <w:szCs w:val="24"/>
                <w:color w:val="auto"/>
              </w:rPr>
            </w:pPr>
          </w:p>
        </w:tc>
        <w:tc>
          <w:tcPr>
            <w:tcW w:w="24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Press Release dated May 21, 2024</w:t>
            </w:r>
          </w:p>
        </w:tc>
        <w:tc>
          <w:tcPr>
            <w:tcW w:w="6260" w:type="dxa"/>
            <w:vAlign w:val="bottom"/>
          </w:tcPr>
          <w:p>
            <w:pPr>
              <w:spacing w:after="0"/>
              <w:rPr>
                <w:sz w:val="24"/>
                <w:szCs w:val="24"/>
                <w:color w:val="auto"/>
              </w:rPr>
            </w:pPr>
          </w:p>
        </w:tc>
      </w:tr>
      <w:tr>
        <w:trPr>
          <w:trHeight w:val="250"/>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1"/>
                <w:szCs w:val="21"/>
                <w:color w:val="auto"/>
              </w:rPr>
            </w:pPr>
          </w:p>
        </w:tc>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20"/>
        </w:trPr>
        <w:tc>
          <w:tcPr>
            <w:tcW w:w="1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5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Luna Innovations Incorporated</w:t>
      </w:r>
    </w:p>
    <w:p>
      <w:pPr>
        <w:spacing w:after="0" w:line="21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Richard Roedel</w:t>
      </w:r>
    </w:p>
    <w:p>
      <w:pPr>
        <w:spacing w:after="0" w:line="1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Richard Roedel</w:t>
      </w:r>
    </w:p>
    <w:p>
      <w:pPr>
        <w:ind w:left="4300"/>
        <w:spacing w:after="0"/>
        <w:rPr>
          <w:sz w:val="20"/>
          <w:szCs w:val="20"/>
          <w:color w:val="auto"/>
        </w:rPr>
      </w:pPr>
      <w:r>
        <w:rPr>
          <w:rFonts w:ascii="Times New Roman" w:cs="Times New Roman" w:eastAsia="Times New Roman" w:hAnsi="Times New Roman"/>
          <w:sz w:val="22"/>
          <w:szCs w:val="22"/>
          <w:color w:val="auto"/>
        </w:rPr>
        <w:t>Interim President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21, 2024</w:t>
      </w:r>
    </w:p>
    <w:p>
      <w:pPr>
        <w:sectPr>
          <w:pgSz w:w="11900" w:h="16838" w:orient="portrait"/>
          <w:cols w:equalWidth="0" w:num="1">
            <w:col w:w="11200"/>
          </w:cols>
          <w:pgMar w:left="320" w:top="509"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1006475</wp:posOffset>
            </wp:positionV>
            <wp:extent cx="2554605" cy="634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5546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380" w:right="120"/>
        <w:spacing w:after="0" w:line="239" w:lineRule="auto"/>
        <w:rPr>
          <w:sz w:val="20"/>
          <w:szCs w:val="20"/>
          <w:color w:val="auto"/>
        </w:rPr>
      </w:pPr>
      <w:r>
        <w:rPr>
          <w:rFonts w:ascii="Calibri" w:cs="Calibri" w:eastAsia="Calibri" w:hAnsi="Calibri"/>
          <w:sz w:val="32"/>
          <w:szCs w:val="32"/>
          <w:b w:val="1"/>
          <w:bCs w:val="1"/>
          <w:color w:val="auto"/>
        </w:rPr>
        <w:t>Luna Innovatons Announces Receipt of Notce from Nasdaq Regarding Late Filing of Quarterly Report on Form 10-Q</w:t>
      </w:r>
    </w:p>
    <w:p>
      <w:pPr>
        <w:spacing w:after="0" w:line="200" w:lineRule="exact"/>
        <w:rPr>
          <w:sz w:val="20"/>
          <w:szCs w:val="20"/>
          <w:color w:val="auto"/>
        </w:rPr>
      </w:pPr>
    </w:p>
    <w:p>
      <w:pPr>
        <w:spacing w:after="0" w:line="300" w:lineRule="exact"/>
        <w:rPr>
          <w:sz w:val="20"/>
          <w:szCs w:val="20"/>
          <w:color w:val="auto"/>
        </w:rPr>
      </w:pPr>
    </w:p>
    <w:p>
      <w:pPr>
        <w:ind w:right="60"/>
        <w:spacing w:after="0" w:line="231" w:lineRule="auto"/>
        <w:rPr>
          <w:sz w:val="20"/>
          <w:szCs w:val="20"/>
          <w:color w:val="auto"/>
        </w:rPr>
      </w:pPr>
      <w:r>
        <w:rPr>
          <w:rFonts w:ascii="Calibri" w:cs="Calibri" w:eastAsia="Calibri" w:hAnsi="Calibri"/>
          <w:sz w:val="22"/>
          <w:szCs w:val="22"/>
          <w:i w:val="1"/>
          <w:iCs w:val="1"/>
          <w:color w:val="auto"/>
        </w:rPr>
        <w:t xml:space="preserve">ROANOKE, VA, (May 21, 2024) </w:t>
      </w:r>
      <w:r>
        <w:rPr>
          <w:rFonts w:ascii="Calibri" w:cs="Calibri" w:eastAsia="Calibri" w:hAnsi="Calibri"/>
          <w:sz w:val="22"/>
          <w:szCs w:val="22"/>
          <w:color w:val="auto"/>
        </w:rPr>
        <w:t>– Luna Innovatons Incorporated (NASDAQ: LUNA) (the “Company”), a global leader in advanced</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fber optc-based technology, today announced that it has received a writen notce (the “Notce”) on May 17, 2024, from the Listng Qualifcatons Department of The Nasdaq Stock Market LLC (“Nasdaq”) statng that because the Company has not yet fled its Form 10-Q for the quarter ended March 31, 2024 (the “Form 10-Q”) and because the Company remains delinquent in fling its Form 10-K for the year ended December 31, 2023 (the "Form 10-K"), it is not in compliance with Nasdaq Listng Rule 5250(c)(1) (the “Rule”), which requires listed companies to tmely fle all required periodic fnancial reports with the Securites and Exchange Commission (the "SEC").</w:t>
      </w:r>
    </w:p>
    <w:p>
      <w:pPr>
        <w:spacing w:after="0" w:line="94" w:lineRule="exact"/>
        <w:rPr>
          <w:sz w:val="20"/>
          <w:szCs w:val="20"/>
          <w:color w:val="auto"/>
        </w:rPr>
      </w:pPr>
    </w:p>
    <w:p>
      <w:pPr>
        <w:ind w:right="140"/>
        <w:spacing w:after="0" w:line="229" w:lineRule="auto"/>
        <w:rPr>
          <w:sz w:val="20"/>
          <w:szCs w:val="20"/>
          <w:color w:val="auto"/>
        </w:rPr>
      </w:pPr>
      <w:r>
        <w:rPr>
          <w:rFonts w:ascii="Calibri" w:cs="Calibri" w:eastAsia="Calibri" w:hAnsi="Calibri"/>
          <w:sz w:val="22"/>
          <w:szCs w:val="22"/>
          <w:color w:val="auto"/>
        </w:rPr>
        <w:t>This Notce has no immediate efect on the listng of the Company's shares on Nasdaq. However, if the Company fails to tmely regain compliance with the Rule, the Company's common stock will be subject to delistng from Nasdaq.</w:t>
      </w:r>
    </w:p>
    <w:p>
      <w:pPr>
        <w:spacing w:after="0" w:line="95" w:lineRule="exact"/>
        <w:rPr>
          <w:sz w:val="20"/>
          <w:szCs w:val="20"/>
          <w:color w:val="auto"/>
        </w:rPr>
      </w:pPr>
    </w:p>
    <w:p>
      <w:pPr>
        <w:spacing w:after="0" w:line="229" w:lineRule="auto"/>
        <w:rPr>
          <w:sz w:val="20"/>
          <w:szCs w:val="20"/>
          <w:color w:val="auto"/>
        </w:rPr>
      </w:pPr>
      <w:r>
        <w:rPr>
          <w:rFonts w:ascii="Calibri" w:cs="Calibri" w:eastAsia="Calibri" w:hAnsi="Calibri"/>
          <w:sz w:val="22"/>
          <w:szCs w:val="22"/>
          <w:color w:val="auto"/>
        </w:rPr>
        <w:t>As previously disclosed, the Company has untl June 3, 2024 to submit to Nasdaq a plan to regain compliance with the Nasdaq Listng Rule. If Nasdaq accepts the Company's plan, then Nasdaq may grant the Company up to 180 days, or untl September 30, 2024, from the prescribed due date for fling the Form 10-K to regain compliance. If Nasdaq does not accept the Company's plan, then the Company will have the opportunity to appeal that decision to a Nasdaq Hearings Panel.</w:t>
      </w:r>
    </w:p>
    <w:p>
      <w:pPr>
        <w:spacing w:after="0" w:line="96" w:lineRule="exact"/>
        <w:rPr>
          <w:sz w:val="20"/>
          <w:szCs w:val="20"/>
          <w:color w:val="auto"/>
        </w:rPr>
      </w:pPr>
    </w:p>
    <w:p>
      <w:pPr>
        <w:ind w:right="60"/>
        <w:spacing w:after="0" w:line="235" w:lineRule="auto"/>
        <w:rPr>
          <w:sz w:val="20"/>
          <w:szCs w:val="20"/>
          <w:color w:val="auto"/>
        </w:rPr>
      </w:pPr>
      <w:r>
        <w:rPr>
          <w:rFonts w:ascii="Calibri" w:cs="Calibri" w:eastAsia="Calibri" w:hAnsi="Calibri"/>
          <w:sz w:val="22"/>
          <w:szCs w:val="22"/>
          <w:color w:val="auto"/>
        </w:rPr>
        <w:t>The Company is working diligently to complete its Form 10-K and Form 10-Q and will provide an update once more informaton is available.</w:t>
      </w:r>
    </w:p>
    <w:p>
      <w:pPr>
        <w:spacing w:after="0" w:line="6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Luna</w:t>
      </w:r>
    </w:p>
    <w:p>
      <w:pPr>
        <w:spacing w:after="0" w:line="95" w:lineRule="exact"/>
        <w:rPr>
          <w:sz w:val="20"/>
          <w:szCs w:val="20"/>
          <w:color w:val="auto"/>
        </w:rPr>
      </w:pPr>
    </w:p>
    <w:p>
      <w:pPr>
        <w:ind w:right="20"/>
        <w:spacing w:after="0" w:line="232" w:lineRule="auto"/>
        <w:rPr>
          <w:sz w:val="20"/>
          <w:szCs w:val="20"/>
          <w:color w:val="auto"/>
        </w:rPr>
      </w:pPr>
      <w:r>
        <w:rPr>
          <w:rFonts w:ascii="Calibri" w:cs="Calibri" w:eastAsia="Calibri" w:hAnsi="Calibri"/>
          <w:sz w:val="22"/>
          <w:szCs w:val="22"/>
          <w:color w:val="auto"/>
        </w:rPr>
        <w:t>Luna Innovatons Incorporated (</w:t>
      </w:r>
      <w:r>
        <w:rPr>
          <w:rFonts w:ascii="Calibri" w:cs="Calibri" w:eastAsia="Calibri" w:hAnsi="Calibri"/>
          <w:sz w:val="22"/>
          <w:szCs w:val="22"/>
          <w:u w:val="single" w:color="auto"/>
          <w:color w:val="auto"/>
        </w:rPr>
        <w:t>www.lunainc.com</w:t>
      </w:r>
      <w:r>
        <w:rPr>
          <w:rFonts w:ascii="Calibri" w:cs="Calibri" w:eastAsia="Calibri" w:hAnsi="Calibri"/>
          <w:sz w:val="22"/>
          <w:szCs w:val="22"/>
          <w:color w:val="auto"/>
          <w:highlight w:val="white"/>
        </w:rPr>
        <w:t>) is a leader in optcal technology, providing unique capabilites in high-</w:t>
      </w:r>
      <w:r>
        <w:rPr>
          <w:rFonts w:ascii="Calibri" w:cs="Calibri" w:eastAsia="Calibri" w:hAnsi="Calibri"/>
          <w:sz w:val="22"/>
          <w:szCs w:val="22"/>
          <w:color w:val="auto"/>
        </w:rPr>
        <w:t>performance, fber optc-based, test products for the telecommunicatons industry and distributed fber optc-based sensing for a multtude of industries. Luna’s business model is designed to accelerate the process of bringing new and innovatve technologies to market.</w:t>
      </w:r>
    </w:p>
    <w:p>
      <w:pPr>
        <w:spacing w:after="0" w:line="8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w:t>
      </w:r>
    </w:p>
    <w:p>
      <w:pPr>
        <w:spacing w:after="0" w:line="80" w:lineRule="exact"/>
        <w:rPr>
          <w:sz w:val="20"/>
          <w:szCs w:val="20"/>
          <w:color w:val="auto"/>
        </w:rPr>
      </w:pPr>
    </w:p>
    <w:p>
      <w:pPr>
        <w:jc w:val="both"/>
        <w:ind w:right="220"/>
        <w:spacing w:after="0" w:line="232" w:lineRule="auto"/>
        <w:rPr>
          <w:sz w:val="20"/>
          <w:szCs w:val="20"/>
          <w:color w:val="auto"/>
        </w:rPr>
      </w:pPr>
      <w:r>
        <w:rPr>
          <w:rFonts w:ascii="Calibri" w:cs="Calibri" w:eastAsia="Calibri" w:hAnsi="Calibri"/>
          <w:sz w:val="22"/>
          <w:szCs w:val="22"/>
          <w:color w:val="auto"/>
        </w:rPr>
        <w:t>The statements in this release that are not historical facts consttute “forward-looking statements” made pursuant to the safe harbor provision of the Private Securites Litgaton Reform Act of 1995 that involve risks and uncertaintes. These statements include the expected tming of the Company’s fling of its Annual Report on Form 10-K for the year ended December 31, 2023 and its Quarterly Report on Form 10-Q for the quarter ended March 31, 2024, the</w:t>
      </w:r>
    </w:p>
    <w:p>
      <w:pPr>
        <w:sectPr>
          <w:pgSz w:w="11900" w:h="16838" w:orient="portrait"/>
          <w:cols w:equalWidth="0" w:num="1">
            <w:col w:w="11180"/>
          </w:cols>
          <w:pgMar w:left="320" w:top="1440" w:right="399" w:bottom="1440" w:gutter="0" w:footer="0" w:header="0"/>
        </w:sectPr>
      </w:pPr>
    </w:p>
    <w:bookmarkStart w:id="5" w:name="page6"/>
    <w:bookmarkEnd w:id="5"/>
    <w:p>
      <w:pPr>
        <w:spacing w:after="0" w:line="116" w:lineRule="exact"/>
        <w:rPr>
          <w:sz w:val="20"/>
          <w:szCs w:val="20"/>
          <w:color w:val="auto"/>
        </w:rPr>
      </w:pPr>
    </w:p>
    <w:p>
      <w:pPr>
        <w:spacing w:after="0" w:line="241" w:lineRule="auto"/>
        <w:rPr>
          <w:sz w:val="20"/>
          <w:szCs w:val="20"/>
          <w:color w:val="auto"/>
        </w:rPr>
      </w:pPr>
      <w:r>
        <w:rPr>
          <w:rFonts w:ascii="Calibri" w:cs="Calibri" w:eastAsia="Calibri" w:hAnsi="Calibri"/>
          <w:sz w:val="21"/>
          <w:szCs w:val="21"/>
          <w:color w:val="auto"/>
        </w:rPr>
        <w:t>potental submission of a plan to Nasdaq and the potental for Nasdaq to accept such plan or grant the Company an excepton period or the success of any hearing process, and the Company’s ability to regain compliance with the Nasdaq contnued listng standards. Management cautons the reader that these forward-looking statements are only predictons and are subject to a number of both known and unknown risks and uncertaintes, and actual results, performance, and/or achievements of Luna may difer materially from the future results, performance, and/or achievements expressed or implied by these forward-looking statements as a result of a number of factors. These factors include, without limitaton, the investgaton being overseen by the Special Commitee of the Board is stll ongoing, the determinatons with respect to the degree of transactons and relevant fnancial reportng periods implicated thereby, the resultng efects on the Company’s reported fnancial results and the delay in the Company’s reportng of its fnancial results and fling of its Annual Report on Form 10-K and its Quarterly Report on Form</w:t>
      </w:r>
    </w:p>
    <w:p>
      <w:pPr>
        <w:spacing w:after="0" w:line="7" w:lineRule="exact"/>
        <w:rPr>
          <w:sz w:val="20"/>
          <w:szCs w:val="20"/>
          <w:color w:val="auto"/>
        </w:rPr>
      </w:pPr>
    </w:p>
    <w:p>
      <w:pPr>
        <w:ind w:right="40"/>
        <w:spacing w:after="0" w:line="242" w:lineRule="auto"/>
        <w:rPr>
          <w:sz w:val="20"/>
          <w:szCs w:val="20"/>
          <w:color w:val="auto"/>
        </w:rPr>
      </w:pPr>
      <w:r>
        <w:rPr>
          <w:rFonts w:ascii="Calibri" w:cs="Calibri" w:eastAsia="Calibri" w:hAnsi="Calibri"/>
          <w:sz w:val="21"/>
          <w:szCs w:val="21"/>
          <w:color w:val="auto"/>
        </w:rPr>
        <w:t xml:space="preserve">10-Q with the SEC, the possibility that the Company is unable to regain compliance with, or thereafer contnue to comply with, the Nasdaq Listng Rules, or experience violatons of additonal Nasdaq Listng Rules, the possibility that the Nasdaq may delist the Company’s securites, as well as the other risks and uncertaintes set forth in the sectons enttled “Risk Factors” in the Company’s Quarterly Report on Form 10-Q for the quarter ended September 30, 2023, as well as in subsequent flings with the Securites and Exchange Commission (“SEC”). Such flings are available on the SEC’s website at </w:t>
      </w:r>
      <w:r>
        <w:rPr>
          <w:rFonts w:ascii="Calibri" w:cs="Calibri" w:eastAsia="Calibri" w:hAnsi="Calibri"/>
          <w:sz w:val="21"/>
          <w:szCs w:val="21"/>
          <w:u w:val="single" w:color="auto"/>
          <w:color w:val="auto"/>
        </w:rPr>
        <w:t>www.sec.gov</w:t>
      </w:r>
      <w:r>
        <w:rPr>
          <w:rFonts w:ascii="Calibri" w:cs="Calibri" w:eastAsia="Calibri" w:hAnsi="Calibri"/>
          <w:sz w:val="21"/>
          <w:szCs w:val="21"/>
          <w:color w:val="auto"/>
        </w:rPr>
        <w:t xml:space="preserve"> and on Luna’s website at </w:t>
      </w:r>
      <w:r>
        <w:rPr>
          <w:rFonts w:ascii="Calibri" w:cs="Calibri" w:eastAsia="Calibri" w:hAnsi="Calibri"/>
          <w:sz w:val="21"/>
          <w:szCs w:val="21"/>
          <w:u w:val="single" w:color="auto"/>
          <w:color w:val="auto"/>
        </w:rPr>
        <w:t>www.lunainc.com</w:t>
      </w:r>
      <w:r>
        <w:rPr>
          <w:rFonts w:ascii="Calibri" w:cs="Calibri" w:eastAsia="Calibri" w:hAnsi="Calibri"/>
          <w:sz w:val="21"/>
          <w:szCs w:val="21"/>
          <w:color w:val="auto"/>
          <w:highlight w:val="white"/>
        </w:rPr>
        <w:t>. The statements made in this release are based on informaton available to Luna as of the date of</w:t>
      </w:r>
      <w:r>
        <w:rPr>
          <w:rFonts w:ascii="Calibri" w:cs="Calibri" w:eastAsia="Calibri" w:hAnsi="Calibri"/>
          <w:sz w:val="21"/>
          <w:szCs w:val="21"/>
          <w:color w:val="auto"/>
        </w:rPr>
        <w:t xml:space="preserve"> this release and Luna undertakes no obligaton to update any of the forward-looking statements afer the date of this release.</w:t>
      </w:r>
    </w:p>
    <w:p>
      <w:pPr>
        <w:spacing w:after="0" w:line="8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Investor Contact:</w:t>
      </w:r>
    </w:p>
    <w:p>
      <w:pPr>
        <w:spacing w:after="0" w:line="3" w:lineRule="exact"/>
        <w:rPr>
          <w:sz w:val="20"/>
          <w:szCs w:val="20"/>
          <w:color w:val="auto"/>
        </w:rPr>
      </w:pPr>
    </w:p>
    <w:p>
      <w:pPr>
        <w:spacing w:after="0"/>
        <w:rPr>
          <w:sz w:val="20"/>
          <w:szCs w:val="20"/>
          <w:color w:val="auto"/>
        </w:rPr>
      </w:pPr>
      <w:r>
        <w:rPr>
          <w:rFonts w:ascii="Calibri" w:cs="Calibri" w:eastAsia="Calibri" w:hAnsi="Calibri"/>
          <w:sz w:val="22"/>
          <w:szCs w:val="22"/>
          <w:color w:val="auto"/>
        </w:rPr>
        <w:t>Allison Woody</w:t>
      </w:r>
    </w:p>
    <w:p>
      <w:pPr>
        <w:spacing w:after="0" w:line="229" w:lineRule="auto"/>
        <w:rPr>
          <w:sz w:val="20"/>
          <w:szCs w:val="20"/>
          <w:color w:val="auto"/>
        </w:rPr>
      </w:pPr>
      <w:r>
        <w:rPr>
          <w:rFonts w:ascii="Calibri" w:cs="Calibri" w:eastAsia="Calibri" w:hAnsi="Calibri"/>
          <w:sz w:val="22"/>
          <w:szCs w:val="22"/>
          <w:color w:val="auto"/>
        </w:rPr>
        <w:t>Luna Innovatons Incorporated</w:t>
      </w:r>
    </w:p>
    <w:p>
      <w:pPr>
        <w:spacing w:after="0" w:line="229" w:lineRule="auto"/>
        <w:rPr>
          <w:sz w:val="20"/>
          <w:szCs w:val="20"/>
          <w:color w:val="auto"/>
        </w:rPr>
      </w:pPr>
      <w:r>
        <w:rPr>
          <w:rFonts w:ascii="Calibri" w:cs="Calibri" w:eastAsia="Calibri" w:hAnsi="Calibri"/>
          <w:sz w:val="22"/>
          <w:szCs w:val="22"/>
          <w:color w:val="auto"/>
        </w:rPr>
        <w:t>Phone: 540.769.8465</w:t>
      </w:r>
    </w:p>
    <w:p>
      <w:pPr>
        <w:spacing w:after="0" w:line="227" w:lineRule="auto"/>
        <w:rPr>
          <w:sz w:val="20"/>
          <w:szCs w:val="20"/>
          <w:color w:val="auto"/>
        </w:rPr>
      </w:pPr>
      <w:r>
        <w:rPr>
          <w:rFonts w:ascii="Calibri" w:cs="Calibri" w:eastAsia="Calibri" w:hAnsi="Calibri"/>
          <w:sz w:val="22"/>
          <w:szCs w:val="22"/>
          <w:color w:val="auto"/>
        </w:rPr>
        <w:t>Email: woodya@lunainc.com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-22860</wp:posOffset>
            </wp:positionV>
            <wp:extent cx="12382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Media Contact:</w:t>
      </w:r>
    </w:p>
    <w:p>
      <w:pPr>
        <w:spacing w:after="0" w:line="227" w:lineRule="auto"/>
        <w:rPr>
          <w:sz w:val="20"/>
          <w:szCs w:val="20"/>
          <w:color w:val="auto"/>
        </w:rPr>
      </w:pPr>
      <w:r>
        <w:rPr>
          <w:rFonts w:ascii="Calibri" w:cs="Calibri" w:eastAsia="Calibri" w:hAnsi="Calibri"/>
          <w:sz w:val="22"/>
          <w:szCs w:val="22"/>
          <w:color w:val="auto"/>
        </w:rPr>
        <w:t>Chris Kitredge/Stephen Petbone</w:t>
      </w:r>
    </w:p>
    <w:p>
      <w:pPr>
        <w:spacing w:after="0" w:line="231" w:lineRule="auto"/>
        <w:rPr>
          <w:sz w:val="20"/>
          <w:szCs w:val="20"/>
          <w:color w:val="auto"/>
        </w:rPr>
      </w:pPr>
      <w:r>
        <w:rPr>
          <w:rFonts w:ascii="Calibri" w:cs="Calibri" w:eastAsia="Calibri" w:hAnsi="Calibri"/>
          <w:sz w:val="22"/>
          <w:szCs w:val="22"/>
          <w:color w:val="auto"/>
        </w:rPr>
        <w:t>FGS Global</w:t>
      </w:r>
    </w:p>
    <w:p>
      <w:pPr>
        <w:spacing w:after="0" w:line="227" w:lineRule="auto"/>
        <w:rPr>
          <w:sz w:val="20"/>
          <w:szCs w:val="20"/>
          <w:color w:val="auto"/>
        </w:rPr>
      </w:pPr>
      <w:r>
        <w:rPr>
          <w:rFonts w:ascii="Calibri" w:cs="Calibri" w:eastAsia="Calibri" w:hAnsi="Calibri"/>
          <w:sz w:val="22"/>
          <w:szCs w:val="22"/>
          <w:color w:val="auto"/>
        </w:rPr>
        <w:t>Email: luna@fgsglobal.com</w:t>
      </w:r>
    </w:p>
    <w:p>
      <w:pPr>
        <w:spacing w:after="0" w:line="245" w:lineRule="exact"/>
        <w:rPr>
          <w:sz w:val="20"/>
          <w:szCs w:val="20"/>
          <w:color w:val="auto"/>
        </w:rPr>
      </w:pPr>
    </w:p>
    <w:p>
      <w:pPr>
        <w:spacing w:after="0"/>
        <w:rPr>
          <w:sz w:val="20"/>
          <w:szCs w:val="20"/>
          <w:color w:val="auto"/>
        </w:rPr>
      </w:pPr>
      <w:r>
        <w:rPr>
          <w:rFonts w:ascii="Calibri" w:cs="Calibri" w:eastAsia="Calibri" w:hAnsi="Calibri"/>
          <w:sz w:val="22"/>
          <w:szCs w:val="22"/>
          <w:color w:val="auto"/>
        </w:rPr>
        <w:t>Source: Luna Innovatons Incorporated</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2024-05-22T05:37:37Z</dcterms:created>
  <dcterms:modified xsi:type="dcterms:W3CDTF">2024-05-22T05:37:37Z</dcterms:modified>
</cp:coreProperties>
</file>