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378460</wp:posOffset>
            </wp:positionV>
            <wp:extent cx="70338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38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398780</wp:posOffset>
            </wp:positionV>
            <wp:extent cx="70338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3895" cy="6985"/>
                    </a:xfrm>
                    <a:prstGeom prst="rect">
                      <a:avLst/>
                    </a:prstGeom>
                    <a:noFill/>
                  </pic:spPr>
                </pic:pic>
              </a:graphicData>
            </a:graphic>
          </wp:anchor>
        </w:drawing>
        <w:t>UNITED STATES</w:t>
      </w:r>
    </w:p>
    <w:p>
      <w:pPr>
        <w:jc w:val="center"/>
        <w:ind w:right="-219"/>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Washington, D.C. 20549</w:t>
      </w:r>
    </w:p>
    <w:p>
      <w:pPr>
        <w:ind w:left="4760"/>
        <w:spacing w:after="0" w:line="207"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jc w:val="center"/>
        <w:ind w:right="-219"/>
        <w:spacing w:after="0" w:line="213" w:lineRule="auto"/>
        <w:rPr>
          <w:sz w:val="20"/>
          <w:szCs w:val="20"/>
          <w:color w:val="auto"/>
        </w:rPr>
      </w:pPr>
      <w:r>
        <w:rPr>
          <w:rFonts w:ascii="Times New Roman" w:cs="Times New Roman" w:eastAsia="Times New Roman" w:hAnsi="Times New Roman"/>
          <w:sz w:val="25"/>
          <w:szCs w:val="25"/>
          <w:b w:val="1"/>
          <w:bCs w:val="1"/>
          <w:color w:val="auto"/>
        </w:rPr>
        <w:t>FORM 8-K</w:t>
      </w:r>
    </w:p>
    <w:p>
      <w:pPr>
        <w:ind w:left="4760"/>
        <w:spacing w:after="0" w:line="209"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219"/>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219"/>
        <w:spacing w:after="0" w:line="208" w:lineRule="auto"/>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23, 2024</w:t>
      </w:r>
    </w:p>
    <w:p>
      <w:pPr>
        <w:ind w:left="476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LUNA INNOVATIONS INCORPORATED</w:t>
      </w:r>
    </w:p>
    <w:p>
      <w:pPr>
        <w:jc w:val="center"/>
        <w:ind w:right="-219"/>
        <w:spacing w:after="0" w:line="215" w:lineRule="auto"/>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ind w:left="476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6" w:lineRule="exact"/>
        <w:rPr>
          <w:sz w:val="24"/>
          <w:szCs w:val="24"/>
          <w:color w:val="auto"/>
        </w:rPr>
      </w:pPr>
    </w:p>
    <w:tbl>
      <w:tblPr>
        <w:tblLayout w:type="fixed"/>
        <w:tblInd w:w="1280" w:type="dxa"/>
        <w:tblCellMar>
          <w:top w:w="0" w:type="dxa"/>
          <w:left w:w="0" w:type="dxa"/>
          <w:bottom w:w="0" w:type="dxa"/>
          <w:right w:w="0" w:type="dxa"/>
        </w:tblCellMar>
      </w:tblPr>
      <w:tr>
        <w:trPr>
          <w:trHeight w:val="186"/>
        </w:trPr>
        <w:tc>
          <w:tcPr>
            <w:tcW w:w="3740" w:type="dxa"/>
            <w:vAlign w:val="bottom"/>
          </w:tcPr>
          <w:p>
            <w:pPr>
              <w:jc w:val="center"/>
              <w:ind w:right="237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000-52008</w:t>
            </w:r>
          </w:p>
        </w:tc>
        <w:tc>
          <w:tcPr>
            <w:tcW w:w="3220" w:type="dxa"/>
            <w:vAlign w:val="bottom"/>
          </w:tcPr>
          <w:p>
            <w:pPr>
              <w:jc w:val="center"/>
              <w:ind w:left="2278"/>
              <w:spacing w:after="0"/>
              <w:rPr>
                <w:sz w:val="20"/>
                <w:szCs w:val="20"/>
                <w:color w:val="auto"/>
              </w:rPr>
            </w:pPr>
            <w:r>
              <w:rPr>
                <w:rFonts w:ascii="Times New Roman" w:cs="Times New Roman" w:eastAsia="Times New Roman" w:hAnsi="Times New Roman"/>
                <w:sz w:val="14"/>
                <w:szCs w:val="14"/>
                <w:b w:val="1"/>
                <w:bCs w:val="1"/>
                <w:color w:val="auto"/>
              </w:rPr>
              <w:t>54-1560050</w:t>
            </w:r>
          </w:p>
        </w:tc>
      </w:tr>
      <w:tr>
        <w:trPr>
          <w:trHeight w:val="125"/>
        </w:trPr>
        <w:tc>
          <w:tcPr>
            <w:tcW w:w="3740" w:type="dxa"/>
            <w:vAlign w:val="bottom"/>
          </w:tcPr>
          <w:p>
            <w:pPr>
              <w:jc w:val="center"/>
              <w:ind w:right="2376"/>
              <w:spacing w:after="0" w:line="125"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1560" w:type="dxa"/>
            <w:vAlign w:val="bottom"/>
          </w:tcPr>
          <w:p>
            <w:pPr>
              <w:jc w:val="center"/>
              <w:ind w:right="255"/>
              <w:spacing w:after="0" w:line="125"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3220" w:type="dxa"/>
            <w:vAlign w:val="bottom"/>
          </w:tcPr>
          <w:p>
            <w:pPr>
              <w:jc w:val="center"/>
              <w:ind w:left="2258"/>
              <w:spacing w:after="0" w:line="12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740" w:type="dxa"/>
            <w:vAlign w:val="bottom"/>
          </w:tcPr>
          <w:p>
            <w:pPr>
              <w:jc w:val="center"/>
              <w:ind w:right="2376"/>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1560" w:type="dxa"/>
            <w:vAlign w:val="bottom"/>
          </w:tcPr>
          <w:p>
            <w:pPr>
              <w:jc w:val="center"/>
              <w:ind w:right="275"/>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3220" w:type="dxa"/>
            <w:vAlign w:val="bottom"/>
          </w:tcPr>
          <w:p>
            <w:pPr>
              <w:jc w:val="center"/>
              <w:ind w:left="225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492"/>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4"/>
                <w:szCs w:val="14"/>
                <w:b w:val="1"/>
                <w:bCs w:val="1"/>
                <w:color w:val="auto"/>
                <w:w w:val="99"/>
              </w:rPr>
              <w:t>301 1st Street SW</w:t>
            </w:r>
            <w:r>
              <w:rPr>
                <w:rFonts w:ascii="Times New Roman" w:cs="Times New Roman" w:eastAsia="Times New Roman" w:hAnsi="Times New Roman"/>
                <w:sz w:val="16"/>
                <w:szCs w:val="16"/>
                <w:color w:val="auto"/>
                <w:w w:val="99"/>
              </w:rPr>
              <w:t>,</w:t>
            </w:r>
          </w:p>
        </w:tc>
        <w:tc>
          <w:tcPr>
            <w:tcW w:w="156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Suite 200</w:t>
            </w:r>
          </w:p>
        </w:tc>
        <w:tc>
          <w:tcPr>
            <w:tcW w:w="3220" w:type="dxa"/>
            <w:vAlign w:val="bottom"/>
          </w:tcPr>
          <w:p>
            <w:pPr>
              <w:jc w:val="right"/>
              <w:ind w:right="2078"/>
              <w:spacing w:after="0"/>
              <w:rPr>
                <w:sz w:val="20"/>
                <w:szCs w:val="20"/>
                <w:color w:val="auto"/>
              </w:rPr>
            </w:pPr>
            <w:r>
              <w:rPr>
                <w:rFonts w:ascii="Times New Roman" w:cs="Times New Roman" w:eastAsia="Times New Roman" w:hAnsi="Times New Roman"/>
                <w:sz w:val="14"/>
                <w:szCs w:val="14"/>
                <w:b w:val="1"/>
                <w:bCs w:val="1"/>
                <w:color w:val="auto"/>
              </w:rPr>
              <w:t>24011</w:t>
            </w:r>
          </w:p>
        </w:tc>
      </w:tr>
      <w:tr>
        <w:trPr>
          <w:trHeight w:val="178"/>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4"/>
                <w:szCs w:val="14"/>
                <w:b w:val="1"/>
                <w:bCs w:val="1"/>
                <w:color w:val="auto"/>
              </w:rPr>
              <w:t>Roanoke,</w:t>
            </w:r>
          </w:p>
        </w:tc>
        <w:tc>
          <w:tcPr>
            <w:tcW w:w="15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88"/>
              </w:rPr>
              <w:t>VA</w:t>
            </w:r>
          </w:p>
        </w:tc>
        <w:tc>
          <w:tcPr>
            <w:tcW w:w="3220" w:type="dxa"/>
            <w:vAlign w:val="bottom"/>
          </w:tcPr>
          <w:p>
            <w:pPr>
              <w:spacing w:after="0"/>
              <w:rPr>
                <w:sz w:val="15"/>
                <w:szCs w:val="15"/>
                <w:color w:val="auto"/>
              </w:rPr>
            </w:pPr>
          </w:p>
        </w:tc>
      </w:tr>
      <w:tr>
        <w:trPr>
          <w:trHeight w:val="149"/>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560" w:type="dxa"/>
            <w:vAlign w:val="bottom"/>
          </w:tcPr>
          <w:p>
            <w:pPr>
              <w:spacing w:after="0"/>
              <w:rPr>
                <w:sz w:val="12"/>
                <w:szCs w:val="12"/>
                <w:color w:val="auto"/>
              </w:rPr>
            </w:pPr>
          </w:p>
        </w:tc>
        <w:tc>
          <w:tcPr>
            <w:tcW w:w="3220" w:type="dxa"/>
            <w:vAlign w:val="bottom"/>
          </w:tcPr>
          <w:p>
            <w:pPr>
              <w:jc w:val="center"/>
              <w:ind w:right="1358"/>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6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(540) 769-8400</w:t>
      </w:r>
    </w:p>
    <w:p>
      <w:pPr>
        <w:jc w:val="center"/>
        <w:ind w:right="-219"/>
        <w:spacing w:after="0" w:line="211" w:lineRule="auto"/>
        <w:rPr>
          <w:sz w:val="20"/>
          <w:szCs w:val="20"/>
          <w:color w:val="auto"/>
        </w:rPr>
      </w:pPr>
      <w:r>
        <w:rPr>
          <w:rFonts w:ascii="Times New Roman" w:cs="Times New Roman" w:eastAsia="Times New Roman" w:hAnsi="Times New Roman"/>
          <w:sz w:val="14"/>
          <w:szCs w:val="14"/>
          <w:b w:val="1"/>
          <w:bCs w:val="1"/>
          <w:color w:val="auto"/>
        </w:rPr>
        <w:t>N/A</w:t>
      </w:r>
    </w:p>
    <w:p>
      <w:pPr>
        <w:jc w:val="center"/>
        <w:ind w:right="-219"/>
        <w:spacing w:after="0" w:line="206" w:lineRule="auto"/>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ind w:left="4760"/>
        <w:spacing w:after="0" w:line="213"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6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54"/>
        </w:trPr>
        <w:tc>
          <w:tcPr>
            <w:tcW w:w="4560" w:type="dxa"/>
            <w:vAlign w:val="bottom"/>
            <w:gridSpan w:val="2"/>
            <w:vMerge w:val="continue"/>
          </w:tcPr>
          <w:p>
            <w:pPr>
              <w:spacing w:after="0"/>
              <w:rPr>
                <w:sz w:val="13"/>
                <w:szCs w:val="13"/>
                <w:color w:val="auto"/>
              </w:rPr>
            </w:pPr>
          </w:p>
        </w:tc>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80"/>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80" w:type="dxa"/>
            <w:vAlign w:val="bottom"/>
          </w:tcPr>
          <w:p>
            <w:pPr>
              <w:spacing w:after="0"/>
              <w:rPr>
                <w:sz w:val="15"/>
                <w:szCs w:val="15"/>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LUNA</w:t>
            </w:r>
          </w:p>
        </w:tc>
        <w:tc>
          <w:tcPr>
            <w:tcW w:w="180" w:type="dxa"/>
            <w:vAlign w:val="bottom"/>
          </w:tcPr>
          <w:p>
            <w:pPr>
              <w:spacing w:after="0"/>
              <w:rPr>
                <w:sz w:val="15"/>
                <w:szCs w:val="15"/>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bl>
    <w:p>
      <w:pPr>
        <w:spacing w:after="0" w:line="226" w:lineRule="exact"/>
        <w:rPr>
          <w:sz w:val="24"/>
          <w:szCs w:val="24"/>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68"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7620</wp:posOffset>
            </wp:positionV>
            <wp:extent cx="70338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38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70338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3895" cy="6985"/>
                    </a:xfrm>
                    <a:prstGeom prst="rect">
                      <a:avLst/>
                    </a:prstGeom>
                    <a:noFill/>
                  </pic:spPr>
                </pic:pic>
              </a:graphicData>
            </a:graphic>
          </wp:anchor>
        </w:drawing>
      </w:r>
    </w:p>
    <w:p>
      <w:pPr>
        <w:sectPr>
          <w:pgSz w:w="11900" w:h="16838" w:orient="portrait"/>
          <w:cols w:equalWidth="0" w:num="1">
            <w:col w:w="11060"/>
          </w:cols>
          <w:pgMar w:left="300" w:top="653"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Resignation of Pamela Coe as Member of the Board</w:t>
      </w:r>
    </w:p>
    <w:p>
      <w:pPr>
        <w:spacing w:after="0" w:line="192" w:lineRule="exact"/>
        <w:rPr>
          <w:sz w:val="20"/>
          <w:szCs w:val="20"/>
          <w:color w:val="auto"/>
        </w:rPr>
      </w:pPr>
    </w:p>
    <w:p>
      <w:pPr>
        <w:ind w:right="300"/>
        <w:spacing w:after="0" w:line="299" w:lineRule="auto"/>
        <w:rPr>
          <w:sz w:val="20"/>
          <w:szCs w:val="20"/>
          <w:color w:val="auto"/>
        </w:rPr>
      </w:pPr>
      <w:r>
        <w:rPr>
          <w:rFonts w:ascii="Times New Roman" w:cs="Times New Roman" w:eastAsia="Times New Roman" w:hAnsi="Times New Roman"/>
          <w:sz w:val="14"/>
          <w:szCs w:val="14"/>
          <w:color w:val="auto"/>
        </w:rPr>
        <w:t xml:space="preserve">On December 23, 2024, </w:t>
      </w:r>
      <w:r>
        <w:rPr>
          <w:rFonts w:ascii="Times New Roman" w:cs="Times New Roman" w:eastAsia="Times New Roman" w:hAnsi="Times New Roman"/>
          <w:sz w:val="16"/>
          <w:szCs w:val="16"/>
          <w:i w:val="1"/>
          <w:iCs w:val="1"/>
          <w:color w:val="auto"/>
        </w:rPr>
        <w:t>Pamela Coe</w:t>
      </w:r>
      <w:r>
        <w:rPr>
          <w:rFonts w:ascii="Times New Roman" w:cs="Times New Roman" w:eastAsia="Times New Roman" w:hAnsi="Times New Roman"/>
          <w:sz w:val="14"/>
          <w:szCs w:val="14"/>
          <w:color w:val="auto"/>
        </w:rPr>
        <w:t>, a member of the Board of Directors (the “Board”) of Luna Innovations Incorporated (the “Company”), notified the Company of her resignation, effective December 27, 2024. Ms. Coe’s resignation is the result of her desire to retire from the board.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December 27, 2024, the Company issued a press release with respect to certain of the matters described in this report (the “Press Release”). A copy of the Press Release is furnished as Exhibit 99.1 to this report.</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information furnished under this Item 7.01, including Exhibit 99.1, shall not be deemed “filed” for purposes of Section 18 of the Exchange Act, or otherwise subject to the liabilities of that section, and shall not be deemed incorporated by reference into any of the Company’s filings under the Securities Act of 1933, as amended, or the Securities Act, or the Exchange Act, whether made before or after the date hereof, regardless of any general incorporation language in such filing, except as shall be expressly set forth by specific reference in such filing.</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00" w:type="dxa"/>
            <w:vAlign w:val="bottom"/>
            <w:gridSpan w:val="2"/>
          </w:tcPr>
          <w:p>
            <w:pPr>
              <w:ind w:left="7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4"/>
                <w:szCs w:val="1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350"/>
        </w:trPr>
        <w:tc>
          <w:tcPr>
            <w:tcW w:w="1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6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Press Release dated December 27, 2024</w:t>
            </w:r>
          </w:p>
        </w:tc>
        <w:tc>
          <w:tcPr>
            <w:tcW w:w="6500" w:type="dxa"/>
            <w:vAlign w:val="bottom"/>
            <w:tcBorders>
              <w:top w:val="single" w:sz="8" w:color="auto"/>
            </w:tcBorders>
          </w:tcPr>
          <w:p>
            <w:pPr>
              <w:spacing w:after="0"/>
              <w:rPr>
                <w:sz w:val="24"/>
                <w:szCs w:val="24"/>
                <w:color w:val="auto"/>
              </w:rPr>
            </w:pPr>
          </w:p>
        </w:tc>
      </w:tr>
      <w:tr>
        <w:trPr>
          <w:trHeight w:val="192"/>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88"/>
        </w:trPr>
        <w:tc>
          <w:tcPr>
            <w:tcW w:w="1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30"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Luna Innovations Incorporated</w:t>
      </w:r>
    </w:p>
    <w:p>
      <w:pPr>
        <w:spacing w:after="0" w:line="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Ryan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-6985</wp:posOffset>
            </wp:positionV>
            <wp:extent cx="61214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140" cy="6985"/>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Name: Ryan Stewart</w:t>
      </w:r>
    </w:p>
    <w:p>
      <w:pPr>
        <w:spacing w:after="0" w:line="1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SVP, General Counsel and Corporate Secretary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December 27, 2024</w:t>
      </w:r>
    </w:p>
    <w:p>
      <w:pPr>
        <w:sectPr>
          <w:pgSz w:w="11900" w:h="16838" w:orient="portrait"/>
          <w:cols w:equalWidth="0" w:num="1">
            <w:col w:w="10280"/>
          </w:cols>
          <w:pgMar w:left="300" w:top="430" w:right="1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2024-12-27T15:50:33Z</dcterms:created>
  <dcterms:modified xsi:type="dcterms:W3CDTF">2024-12-27T15:50:33Z</dcterms:modified>
</cp:coreProperties>
</file>