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40" w:right="14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-224155</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3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3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3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5206365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3925570</wp:posOffset>
            </wp:positionH>
            <wp:positionV relativeFrom="paragraph">
              <wp:posOffset>-608965</wp:posOffset>
            </wp:positionV>
            <wp:extent cx="57150" cy="62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640715</wp:posOffset>
            </wp:positionV>
            <wp:extent cx="7048500" cy="4673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8500" cy="4673600"/>
                    </a:xfrm>
                    <a:prstGeom prst="rect">
                      <a:avLst/>
                    </a:prstGeom>
                    <a:noFill/>
                  </pic:spPr>
                </pic:pic>
              </a:graphicData>
            </a:graphic>
          </wp:anchor>
        </w:drawing>
      </w:r>
    </w:p>
    <w:p>
      <w:pPr>
        <w:spacing w:after="0" w:line="1024" w:lineRule="exact"/>
        <w:rPr>
          <w:sz w:val="24"/>
          <w:szCs w:val="24"/>
          <w:color w:val="auto"/>
        </w:rPr>
      </w:pPr>
    </w:p>
    <w:p>
      <w:pPr>
        <w:sectPr>
          <w:pgSz w:w="11900" w:h="16838" w:orient="portrait"/>
          <w:cols w:equalWidth="0" w:num="2">
            <w:col w:w="2320" w:space="340"/>
            <w:col w:w="842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6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restart"/>
          </w:tcPr>
          <w:p>
            <w:pPr>
              <w:ind w:left="20"/>
              <w:spacing w:after="0"/>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Chanley David</w:t>
              </w:r>
            </w:hyperlink>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9"/>
          </w:tcPr>
          <w:p>
            <w:pPr>
              <w:ind w:left="60"/>
              <w:spacing w:after="0" w:line="17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LUNA INNOVATIONS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LUNA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260" w:type="dxa"/>
            <w:vAlign w:val="bottom"/>
          </w:tcPr>
          <w:p>
            <w:pPr>
              <w:spacing w:after="0"/>
              <w:rPr>
                <w:sz w:val="15"/>
                <w:szCs w:val="15"/>
                <w:color w:val="auto"/>
              </w:rPr>
            </w:pPr>
          </w:p>
        </w:tc>
        <w:tc>
          <w:tcPr>
            <w:tcW w:w="166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rPr>
              <w:t>Director</w:t>
            </w: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40" w:type="dxa"/>
            <w:vAlign w:val="bottom"/>
            <w:gridSpan w:val="4"/>
            <w:vMerge w:val="restart"/>
          </w:tcPr>
          <w:p>
            <w:pPr>
              <w:ind w:left="18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20" w:type="dxa"/>
            <w:vAlign w:val="bottom"/>
          </w:tcPr>
          <w:p>
            <w:pPr>
              <w:spacing w:after="0"/>
              <w:rPr>
                <w:sz w:val="12"/>
                <w:szCs w:val="12"/>
                <w:color w:val="auto"/>
              </w:rPr>
            </w:pPr>
          </w:p>
        </w:tc>
        <w:tc>
          <w:tcPr>
            <w:tcW w:w="144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60" w:type="dxa"/>
            <w:vAlign w:val="bottom"/>
            <w:tcBorders>
              <w:top w:val="single" w:sz="8" w:color="2C2C2C"/>
            </w:tcBorders>
            <w:gridSpan w:val="8"/>
            <w:vMerge w:val="restart"/>
          </w:tcPr>
          <w:p>
            <w:pPr>
              <w:ind w:left="60"/>
              <w:spacing w:after="0" w:line="146" w:lineRule="exact"/>
              <w:rPr>
                <w:sz w:val="20"/>
                <w:szCs w:val="20"/>
                <w:color w:val="auto"/>
              </w:rPr>
            </w:pPr>
            <w:r>
              <w:rPr>
                <w:rFonts w:ascii="Arial" w:cs="Arial" w:eastAsia="Arial" w:hAnsi="Arial"/>
                <w:sz w:val="13"/>
                <w:szCs w:val="13"/>
                <w:color w:val="auto"/>
                <w:w w:val="98"/>
              </w:rPr>
              <w:t>3. Date of Earliest Transaction (Month/Day/Year)</w:t>
            </w:r>
          </w:p>
        </w:tc>
        <w:tc>
          <w:tcPr>
            <w:tcW w:w="700" w:type="dxa"/>
            <w:vAlign w:val="bottom"/>
            <w:tcBorders>
              <w:top w:val="single" w:sz="8" w:color="2C2C2C"/>
            </w:tcBorders>
          </w:tcPr>
          <w:p>
            <w:pPr>
              <w:spacing w:after="0" w:line="20" w:lineRule="exact"/>
              <w:rPr>
                <w:sz w:val="1"/>
                <w:szCs w:val="1"/>
                <w:color w:val="auto"/>
              </w:rPr>
            </w:pPr>
          </w:p>
        </w:tc>
        <w:tc>
          <w:tcPr>
            <w:tcW w:w="260" w:type="dxa"/>
            <w:vAlign w:val="bottom"/>
            <w:tcBorders>
              <w:top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0"/>
                <w:szCs w:val="10"/>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140"/>
              <w:spacing w:after="0" w:line="125" w:lineRule="exact"/>
              <w:rPr>
                <w:sz w:val="20"/>
                <w:szCs w:val="20"/>
                <w:color w:val="auto"/>
              </w:rPr>
            </w:pPr>
            <w:r>
              <w:rPr>
                <w:rFonts w:ascii="Arial" w:cs="Arial" w:eastAsia="Arial" w:hAnsi="Arial"/>
                <w:sz w:val="13"/>
                <w:szCs w:val="13"/>
                <w:color w:val="auto"/>
              </w:rPr>
              <w:t>below)</w:t>
            </w: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ind w:left="180"/>
              <w:spacing w:after="0" w:line="125"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5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6"/>
                <w:szCs w:val="16"/>
                <w:color w:val="0000FF"/>
              </w:rPr>
              <w:t>10/25/2024</w:t>
            </w: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4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color w:val="0000FF"/>
              </w:rPr>
              <w:t>520 MADISON AVENUE, 33RD FLOOR</w:t>
            </w:r>
          </w:p>
        </w:tc>
        <w:tc>
          <w:tcPr>
            <w:tcW w:w="1160" w:type="dxa"/>
            <w:vAlign w:val="bottom"/>
            <w:gridSpan w:val="5"/>
            <w:vMerge w:val="continue"/>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4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6"/>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2900" w:type="dxa"/>
            <w:vAlign w:val="bottom"/>
            <w:tcBorders>
              <w:bottom w:val="single" w:sz="8" w:color="2C2C2C"/>
            </w:tcBorders>
            <w:gridSpan w:val="6"/>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100" w:type="dxa"/>
            <w:vAlign w:val="bottom"/>
            <w:tcBorders>
              <w:bottom w:val="single" w:sz="8" w:color="9A9A9A"/>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35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vMerge w:val="restart"/>
          </w:tcPr>
          <w:p>
            <w:pPr>
              <w:spacing w:after="0"/>
              <w:rPr>
                <w:sz w:val="4"/>
                <w:szCs w:val="4"/>
                <w:color w:val="auto"/>
              </w:rPr>
            </w:pPr>
          </w:p>
        </w:tc>
        <w:tc>
          <w:tcPr>
            <w:tcW w:w="342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NY</w:t>
            </w:r>
          </w:p>
        </w:tc>
        <w:tc>
          <w:tcPr>
            <w:tcW w:w="10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10022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160" w:type="dxa"/>
            <w:vAlign w:val="bottom"/>
            <w:gridSpan w:val="4"/>
          </w:tcPr>
          <w:p>
            <w:pPr>
              <w:ind w:left="160"/>
              <w:spacing w:after="0"/>
              <w:rPr>
                <w:sz w:val="20"/>
                <w:szCs w:val="20"/>
                <w:color w:val="auto"/>
              </w:rPr>
            </w:pPr>
            <w:r>
              <w:rPr>
                <w:rFonts w:ascii="Arial" w:cs="Arial" w:eastAsia="Arial" w:hAnsi="Arial"/>
                <w:sz w:val="13"/>
                <w:szCs w:val="13"/>
                <w:color w:val="auto"/>
                <w:w w:val="95"/>
              </w:rPr>
              <w:t>Form filed by One Reporting Person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80" w:type="dxa"/>
            <w:vAlign w:val="bottom"/>
            <w:gridSpan w:val="7"/>
          </w:tcPr>
          <w:p>
            <w:pPr>
              <w:ind w:left="160"/>
              <w:spacing w:after="0" w:line="145" w:lineRule="exact"/>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340" w:type="dxa"/>
            <w:vAlign w:val="bottom"/>
            <w:tcBorders>
              <w:bottom w:val="single" w:sz="8" w:color="2C2C2C"/>
            </w:tcBorders>
            <w:gridSpan w:val="6"/>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8"/>
          </w:tcPr>
          <w:p>
            <w:pPr>
              <w:ind w:left="9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gridSpan w:val="4"/>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5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860"/>
              <w:spacing w:after="0"/>
              <w:rPr>
                <w:sz w:val="20"/>
                <w:szCs w:val="20"/>
                <w:color w:val="auto"/>
              </w:rPr>
            </w:pPr>
            <w:r>
              <w:rPr>
                <w:rFonts w:ascii="Arial" w:cs="Arial" w:eastAsia="Arial" w:hAnsi="Arial"/>
                <w:sz w:val="11"/>
                <w:szCs w:val="11"/>
                <w:b w:val="1"/>
                <w:bCs w:val="1"/>
                <w:color w:val="auto"/>
              </w:rPr>
              <w:t>2. Transaction</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4"/>
                <w:szCs w:val="14"/>
                <w:color w:val="auto"/>
              </w:rPr>
            </w:pPr>
          </w:p>
        </w:tc>
        <w:tc>
          <w:tcPr>
            <w:tcW w:w="1860" w:type="dxa"/>
            <w:vAlign w:val="bottom"/>
            <w:gridSpan w:val="5"/>
          </w:tcPr>
          <w:p>
            <w:pPr>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60"/>
              <w:spacing w:after="0" w:line="125" w:lineRule="exact"/>
              <w:rPr>
                <w:sz w:val="20"/>
                <w:szCs w:val="20"/>
                <w:color w:val="auto"/>
              </w:rPr>
            </w:pPr>
            <w:r>
              <w:rPr>
                <w:rFonts w:ascii="Arial" w:cs="Arial" w:eastAsia="Arial" w:hAnsi="Arial"/>
                <w:sz w:val="11"/>
                <w:szCs w:val="11"/>
                <w:b w:val="1"/>
                <w:bCs w:val="1"/>
                <w:color w:val="auto"/>
              </w:rPr>
              <w:t>Date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268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6"/>
          </w:tcPr>
          <w:p>
            <w:pPr>
              <w:ind w:left="860"/>
              <w:spacing w:after="0" w:line="125"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8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0"/>
                <w:szCs w:val="10"/>
                <w:color w:val="auto"/>
              </w:rPr>
            </w:pPr>
          </w:p>
        </w:tc>
        <w:tc>
          <w:tcPr>
            <w:tcW w:w="4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ind w:left="360"/>
              <w:spacing w:after="0" w:line="125" w:lineRule="exact"/>
              <w:rPr>
                <w:sz w:val="20"/>
                <w:szCs w:val="20"/>
                <w:color w:val="auto"/>
              </w:rPr>
            </w:pPr>
            <w:r>
              <w:rPr>
                <w:rFonts w:ascii="Arial" w:cs="Arial" w:eastAsia="Arial" w:hAnsi="Arial"/>
                <w:sz w:val="11"/>
                <w:szCs w:val="11"/>
                <w:b w:val="1"/>
                <w:bCs w:val="1"/>
                <w:color w:val="auto"/>
              </w:rPr>
              <w:t>(A) or</w:t>
            </w:r>
          </w:p>
        </w:tc>
        <w:tc>
          <w:tcPr>
            <w:tcW w:w="70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700" w:type="dxa"/>
            <w:vAlign w:val="bottom"/>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3"/>
            <w:vMerge w:val="continue"/>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gridSpan w:val="4"/>
          </w:tcPr>
          <w:p>
            <w:pPr>
              <w:spacing w:after="0"/>
              <w:rPr>
                <w:sz w:val="6"/>
                <w:szCs w:val="6"/>
                <w:color w:val="auto"/>
              </w:rPr>
            </w:pPr>
          </w:p>
        </w:tc>
        <w:tc>
          <w:tcPr>
            <w:tcW w:w="2340" w:type="dxa"/>
            <w:vAlign w:val="bottom"/>
            <w:tcBorders>
              <w:bottom w:val="single" w:sz="8" w:color="2C2C2C"/>
            </w:tcBorders>
            <w:gridSpan w:val="6"/>
          </w:tcPr>
          <w:p>
            <w:pPr>
              <w:spacing w:after="0"/>
              <w:rPr>
                <w:sz w:val="6"/>
                <w:szCs w:val="6"/>
                <w:color w:val="auto"/>
              </w:rPr>
            </w:pPr>
          </w:p>
        </w:tc>
        <w:tc>
          <w:tcPr>
            <w:tcW w:w="1820" w:type="dxa"/>
            <w:vAlign w:val="bottom"/>
            <w:tcBorders>
              <w:bottom w:val="single" w:sz="8" w:color="2C2C2C"/>
            </w:tcBorders>
            <w:gridSpan w:val="4"/>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80" w:type="dxa"/>
            <w:vAlign w:val="bottom"/>
            <w:tcBorders>
              <w:top w:val="single" w:sz="8" w:color="2C2C2C"/>
            </w:tcBorders>
            <w:gridSpan w:val="17"/>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80" w:type="dxa"/>
            <w:vAlign w:val="bottom"/>
            <w:gridSpan w:val="16"/>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3"/>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3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200" w:type="dxa"/>
            <w:vAlign w:val="bottom"/>
            <w:gridSpan w:val="2"/>
          </w:tcPr>
          <w:p>
            <w:pPr>
              <w:ind w:left="2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0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2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2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(Instr. 3 and 4)</w:t>
            </w:r>
          </w:p>
        </w:tc>
        <w:tc>
          <w:tcPr>
            <w:tcW w:w="7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Disposed</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(D) (Instr.</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20" w:type="dxa"/>
            <w:vAlign w:val="bottom"/>
          </w:tcPr>
          <w:p>
            <w:pPr>
              <w:spacing w:after="0"/>
              <w:rPr>
                <w:sz w:val="10"/>
                <w:szCs w:val="10"/>
                <w:color w:val="auto"/>
              </w:rPr>
            </w:pPr>
          </w:p>
        </w:tc>
        <w:tc>
          <w:tcPr>
            <w:tcW w:w="144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3, 4 and 5)</w:t>
            </w: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jc w:val="center"/>
              <w:ind w:right="24"/>
              <w:spacing w:after="0" w:line="125" w:lineRule="exact"/>
              <w:rPr>
                <w:sz w:val="20"/>
                <w:szCs w:val="20"/>
                <w:color w:val="auto"/>
              </w:rPr>
            </w:pPr>
            <w:r>
              <w:rPr>
                <w:rFonts w:ascii="Arial" w:cs="Arial" w:eastAsia="Arial" w:hAnsi="Arial"/>
                <w:sz w:val="11"/>
                <w:szCs w:val="11"/>
                <w:b w:val="1"/>
                <w:bCs w:val="1"/>
                <w:color w:val="auto"/>
              </w:rPr>
              <w:t>Expiration</w:t>
            </w:r>
          </w:p>
        </w:tc>
        <w:tc>
          <w:tcPr>
            <w:tcW w:w="700" w:type="dxa"/>
            <w:vAlign w:val="bottom"/>
          </w:tcPr>
          <w:p>
            <w:pPr>
              <w:spacing w:after="0"/>
              <w:rPr>
                <w:sz w:val="10"/>
                <w:szCs w:val="10"/>
                <w:color w:val="auto"/>
              </w:rPr>
            </w:pPr>
          </w:p>
        </w:tc>
        <w:tc>
          <w:tcPr>
            <w:tcW w:w="7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gridSpan w:val="4"/>
          </w:tcPr>
          <w:p>
            <w:pPr>
              <w:ind w:left="2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(A)</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6"/>
              </w:rPr>
              <w:t>Series B</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gridSpan w:val="2"/>
            <w:vMerge w:val="restart"/>
          </w:tcPr>
          <w:p>
            <w:pPr>
              <w:jc w:val="center"/>
              <w:ind w:right="24"/>
              <w:spacing w:after="0"/>
              <w:rPr>
                <w:sz w:val="20"/>
                <w:szCs w:val="20"/>
                <w:color w:val="auto"/>
              </w:rPr>
            </w:pPr>
            <w:r>
              <w:rPr>
                <w:rFonts w:ascii="Times New Roman" w:cs="Times New Roman" w:eastAsia="Times New Roman" w:hAnsi="Times New Roman"/>
                <w:sz w:val="10"/>
                <w:szCs w:val="10"/>
                <w:color w:val="008000"/>
              </w:rPr>
              <w:t>(1)</w:t>
            </w:r>
          </w:p>
        </w:tc>
        <w:tc>
          <w:tcPr>
            <w:tcW w:w="700" w:type="dxa"/>
            <w:vAlign w:val="bottom"/>
            <w:vMerge w:val="restart"/>
          </w:tcPr>
          <w:p>
            <w:pPr>
              <w:ind w:left="40"/>
              <w:spacing w:after="0" w:line="126" w:lineRule="exact"/>
              <w:rPr>
                <w:sz w:val="20"/>
                <w:szCs w:val="20"/>
                <w:color w:val="auto"/>
              </w:rPr>
            </w:pPr>
            <w:r>
              <w:rPr>
                <w:rFonts w:ascii="Times New Roman" w:cs="Times New Roman" w:eastAsia="Times New Roman" w:hAnsi="Times New Roman"/>
                <w:sz w:val="13"/>
                <w:szCs w:val="13"/>
                <w:color w:val="0000FF"/>
              </w:rPr>
              <w:t>Convertible</w:t>
            </w:r>
          </w:p>
        </w:tc>
        <w:tc>
          <w:tcPr>
            <w:tcW w:w="660" w:type="dxa"/>
            <w:vAlign w:val="bottom"/>
            <w:gridSpan w:val="2"/>
            <w:vMerge w:val="restart"/>
          </w:tcPr>
          <w:p>
            <w:pPr>
              <w:jc w:val="right"/>
              <w:ind w:right="77"/>
              <w:spacing w:after="0"/>
              <w:rPr>
                <w:sz w:val="20"/>
                <w:szCs w:val="20"/>
                <w:color w:val="auto"/>
              </w:rPr>
            </w:pPr>
            <w:r>
              <w:rPr>
                <w:rFonts w:ascii="Times New Roman" w:cs="Times New Roman" w:eastAsia="Times New Roman" w:hAnsi="Times New Roman"/>
                <w:sz w:val="16"/>
                <w:szCs w:val="16"/>
                <w:color w:val="0000FF"/>
              </w:rPr>
              <w:t>3,000</w:t>
            </w:r>
          </w:p>
        </w:tc>
        <w:tc>
          <w:tcPr>
            <w:tcW w:w="40" w:type="dxa"/>
            <w:vAlign w:val="bottom"/>
          </w:tcPr>
          <w:p>
            <w:pPr>
              <w:spacing w:after="0"/>
              <w:rPr>
                <w:sz w:val="5"/>
                <w:szCs w:val="5"/>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gridSpan w:val="3"/>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1,000</w:t>
            </w:r>
          </w:p>
        </w:tc>
        <w:tc>
          <w:tcPr>
            <w:tcW w:w="160" w:type="dxa"/>
            <w:vAlign w:val="bottom"/>
          </w:tcPr>
          <w:p>
            <w:pPr>
              <w:spacing w:after="0"/>
              <w:rPr>
                <w:sz w:val="5"/>
                <w:szCs w:val="5"/>
                <w:color w:val="auto"/>
              </w:rPr>
            </w:pPr>
          </w:p>
        </w:tc>
        <w:tc>
          <w:tcPr>
            <w:tcW w:w="1040" w:type="dxa"/>
            <w:vAlign w:val="bottom"/>
            <w:vMerge w:val="restart"/>
          </w:tcPr>
          <w:p>
            <w:pPr>
              <w:jc w:val="right"/>
              <w:ind w:right="157"/>
              <w:spacing w:after="0" w:line="138" w:lineRule="exact"/>
              <w:rPr>
                <w:sz w:val="20"/>
                <w:szCs w:val="20"/>
                <w:color w:val="auto"/>
              </w:rPr>
            </w:pPr>
            <w:r>
              <w:rPr>
                <w:rFonts w:ascii="Times New Roman" w:cs="Times New Roman" w:eastAsia="Times New Roman" w:hAnsi="Times New Roman"/>
                <w:sz w:val="13"/>
                <w:szCs w:val="13"/>
                <w:color w:val="0000FF"/>
              </w:rPr>
              <w:t>10/25/2024</w:t>
            </w:r>
          </w:p>
        </w:tc>
        <w:tc>
          <w:tcPr>
            <w:tcW w:w="10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spacing w:after="0" w:line="138"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420" w:type="dxa"/>
            <w:vAlign w:val="bottom"/>
            <w:vMerge w:val="restart"/>
          </w:tcPr>
          <w:p>
            <w:pPr>
              <w:ind w:left="60"/>
              <w:spacing w:after="0" w:line="138" w:lineRule="exact"/>
              <w:rPr>
                <w:sz w:val="20"/>
                <w:szCs w:val="20"/>
                <w:color w:val="auto"/>
              </w:rPr>
            </w:pPr>
            <w:r>
              <w:rPr>
                <w:rFonts w:ascii="Times New Roman" w:cs="Times New Roman" w:eastAsia="Times New Roman" w:hAnsi="Times New Roman"/>
                <w:sz w:val="13"/>
                <w:szCs w:val="13"/>
                <w:color w:val="0000FF"/>
              </w:rPr>
              <w:t>3,000</w:t>
            </w:r>
          </w:p>
        </w:tc>
        <w:tc>
          <w:tcPr>
            <w:tcW w:w="2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gridSpan w:val="2"/>
            <w:vMerge w:val="restart"/>
          </w:tcPr>
          <w:p>
            <w:pPr>
              <w:jc w:val="right"/>
              <w:ind w:right="264"/>
              <w:spacing w:after="0" w:line="138" w:lineRule="exact"/>
              <w:rPr>
                <w:sz w:val="20"/>
                <w:szCs w:val="20"/>
                <w:color w:val="auto"/>
              </w:rPr>
            </w:pPr>
            <w:r>
              <w:rPr>
                <w:rFonts w:ascii="Times New Roman" w:cs="Times New Roman" w:eastAsia="Times New Roman" w:hAnsi="Times New Roman"/>
                <w:sz w:val="13"/>
                <w:szCs w:val="13"/>
                <w:color w:val="0000FF"/>
              </w:rPr>
              <w:t>9,500</w:t>
            </w:r>
          </w:p>
        </w:tc>
        <w:tc>
          <w:tcPr>
            <w:tcW w:w="62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Preferred</w:t>
            </w: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820" w:type="dxa"/>
            <w:vAlign w:val="bottom"/>
            <w:gridSpan w:val="3"/>
            <w:vMerge w:val="restart"/>
          </w:tcPr>
          <w:p>
            <w:pPr>
              <w:ind w:left="160"/>
              <w:spacing w:after="0" w:line="150"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(3)</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Series B</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2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3"/>
                <w:szCs w:val="13"/>
                <w:color w:val="0000FF"/>
              </w:rPr>
              <w:t>Convertible</w:t>
            </w:r>
          </w:p>
        </w:tc>
        <w:tc>
          <w:tcPr>
            <w:tcW w:w="580" w:type="dxa"/>
            <w:vAlign w:val="bottom"/>
          </w:tcPr>
          <w:p>
            <w:pPr>
              <w:jc w:val="right"/>
              <w:ind w:right="84"/>
              <w:spacing w:after="0"/>
              <w:rPr>
                <w:sz w:val="20"/>
                <w:szCs w:val="20"/>
                <w:color w:val="auto"/>
              </w:rPr>
            </w:pPr>
            <w:r>
              <w:rPr>
                <w:rFonts w:ascii="Times New Roman" w:cs="Times New Roman" w:eastAsia="Times New Roman" w:hAnsi="Times New Roman"/>
                <w:sz w:val="10"/>
                <w:szCs w:val="10"/>
                <w:color w:val="008000"/>
              </w:rPr>
              <w:t>(4)</w:t>
            </w:r>
          </w:p>
        </w:tc>
        <w:tc>
          <w:tcPr>
            <w:tcW w:w="160" w:type="dxa"/>
            <w:vAlign w:val="bottom"/>
          </w:tcPr>
          <w:p>
            <w:pPr>
              <w:spacing w:after="0"/>
              <w:rPr>
                <w:sz w:val="10"/>
                <w:szCs w:val="10"/>
                <w:color w:val="auto"/>
              </w:rPr>
            </w:pPr>
          </w:p>
        </w:tc>
        <w:tc>
          <w:tcPr>
            <w:tcW w:w="1040" w:type="dxa"/>
            <w:vAlign w:val="bottom"/>
            <w:vMerge w:val="restart"/>
          </w:tcPr>
          <w:p>
            <w:pPr>
              <w:jc w:val="right"/>
              <w:ind w:right="157"/>
              <w:spacing w:after="0"/>
              <w:rPr>
                <w:sz w:val="20"/>
                <w:szCs w:val="20"/>
                <w:color w:val="auto"/>
              </w:rPr>
            </w:pPr>
            <w:r>
              <w:rPr>
                <w:rFonts w:ascii="Times New Roman" w:cs="Times New Roman" w:eastAsia="Times New Roman" w:hAnsi="Times New Roman"/>
                <w:sz w:val="13"/>
                <w:szCs w:val="13"/>
                <w:color w:val="0000FF"/>
              </w:rPr>
              <w:t>10/25/2024</w:t>
            </w:r>
          </w:p>
        </w:tc>
        <w:tc>
          <w:tcPr>
            <w:tcW w:w="1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3,000</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ind w:left="120"/>
              <w:spacing w:after="0"/>
              <w:rPr>
                <w:sz w:val="20"/>
                <w:szCs w:val="20"/>
                <w:color w:val="auto"/>
              </w:rPr>
            </w:pPr>
            <w:r>
              <w:rPr>
                <w:rFonts w:ascii="Times New Roman" w:cs="Times New Roman" w:eastAsia="Times New Roman" w:hAnsi="Times New Roman"/>
                <w:sz w:val="10"/>
                <w:szCs w:val="10"/>
                <w:color w:val="008000"/>
              </w:rPr>
              <w:t>(5)</w:t>
            </w:r>
          </w:p>
        </w:tc>
        <w:tc>
          <w:tcPr>
            <w:tcW w:w="680" w:type="dxa"/>
            <w:vAlign w:val="bottom"/>
            <w:gridSpan w:val="2"/>
          </w:tcPr>
          <w:p>
            <w:pPr>
              <w:jc w:val="center"/>
              <w:ind w:right="24"/>
              <w:spacing w:after="0"/>
              <w:rPr>
                <w:sz w:val="20"/>
                <w:szCs w:val="20"/>
                <w:color w:val="auto"/>
              </w:rPr>
            </w:pPr>
            <w:r>
              <w:rPr>
                <w:rFonts w:ascii="Times New Roman" w:cs="Times New Roman" w:eastAsia="Times New Roman" w:hAnsi="Times New Roman"/>
                <w:sz w:val="10"/>
                <w:szCs w:val="10"/>
                <w:color w:val="008000"/>
              </w:rPr>
              <w:t>(6)</w:t>
            </w:r>
          </w:p>
        </w:tc>
        <w:tc>
          <w:tcPr>
            <w:tcW w:w="700" w:type="dxa"/>
            <w:vAlign w:val="bottom"/>
          </w:tcPr>
          <w:p>
            <w:pPr>
              <w:jc w:val="center"/>
              <w:spacing w:after="0" w:line="126"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0000FF"/>
              </w:rPr>
              <w:t>447,759</w:t>
            </w:r>
          </w:p>
        </w:tc>
        <w:tc>
          <w:tcPr>
            <w:tcW w:w="40" w:type="dxa"/>
            <w:vAlign w:val="bottom"/>
          </w:tcPr>
          <w:p>
            <w:pPr>
              <w:spacing w:after="0"/>
              <w:rPr>
                <w:sz w:val="10"/>
                <w:szCs w:val="10"/>
                <w:color w:val="auto"/>
              </w:rPr>
            </w:pPr>
          </w:p>
        </w:tc>
        <w:tc>
          <w:tcPr>
            <w:tcW w:w="700" w:type="dxa"/>
            <w:vAlign w:val="bottom"/>
          </w:tcPr>
          <w:p>
            <w:pPr>
              <w:ind w:left="240"/>
              <w:spacing w:after="0"/>
              <w:rPr>
                <w:sz w:val="20"/>
                <w:szCs w:val="20"/>
                <w:color w:val="auto"/>
              </w:rPr>
            </w:pPr>
            <w:r>
              <w:rPr>
                <w:rFonts w:ascii="Times New Roman" w:cs="Times New Roman" w:eastAsia="Times New Roman" w:hAnsi="Times New Roman"/>
                <w:sz w:val="10"/>
                <w:szCs w:val="10"/>
                <w:color w:val="008000"/>
              </w:rPr>
              <w:t>(2)</w:t>
            </w:r>
          </w:p>
        </w:tc>
        <w:tc>
          <w:tcPr>
            <w:tcW w:w="840" w:type="dxa"/>
            <w:vAlign w:val="bottom"/>
            <w:gridSpan w:val="2"/>
            <w:vMerge w:val="restart"/>
          </w:tcPr>
          <w:p>
            <w:pPr>
              <w:jc w:val="right"/>
              <w:ind w:right="224"/>
              <w:spacing w:after="0"/>
              <w:rPr>
                <w:sz w:val="20"/>
                <w:szCs w:val="20"/>
                <w:color w:val="auto"/>
              </w:rPr>
            </w:pPr>
            <w:r>
              <w:rPr>
                <w:rFonts w:ascii="Times New Roman" w:cs="Times New Roman" w:eastAsia="Times New Roman" w:hAnsi="Times New Roman"/>
                <w:sz w:val="13"/>
                <w:szCs w:val="13"/>
                <w:color w:val="0000FF"/>
              </w:rPr>
              <w:t>55,500</w:t>
            </w:r>
          </w:p>
        </w:tc>
        <w:tc>
          <w:tcPr>
            <w:tcW w:w="62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Preferred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820" w:type="dxa"/>
            <w:vAlign w:val="bottom"/>
            <w:gridSpan w:val="3"/>
          </w:tcPr>
          <w:p>
            <w:pPr>
              <w:ind w:left="160"/>
              <w:spacing w:after="0" w:line="164" w:lineRule="exact"/>
              <w:rPr>
                <w:sz w:val="20"/>
                <w:szCs w:val="20"/>
                <w:color w:val="auto"/>
              </w:rPr>
            </w:pPr>
            <w:r>
              <w:rPr>
                <w:rFonts w:ascii="Times New Roman" w:cs="Times New Roman" w:eastAsia="Times New Roman" w:hAnsi="Times New Roman"/>
                <w:sz w:val="12"/>
                <w:szCs w:val="12"/>
                <w:color w:val="0000FF"/>
              </w:rPr>
              <w:t>footnote</w:t>
            </w:r>
            <w:r>
              <w:rPr>
                <w:rFonts w:ascii="Times New Roman" w:cs="Times New Roman" w:eastAsia="Times New Roman" w:hAnsi="Times New Roman"/>
                <w:sz w:val="19"/>
                <w:szCs w:val="19"/>
                <w:color w:val="008000"/>
                <w:vertAlign w:val="superscript"/>
              </w:rPr>
              <w:t>(3)</w:t>
            </w: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Series B Convertible Preferred Stock ("Preferred Stock") can be exercised at any time on or prior to December 21, 2026.</w:t>
      </w:r>
    </w:p>
    <w:p>
      <w:pPr>
        <w:spacing w:after="0" w:line="38" w:lineRule="exact"/>
        <w:rPr>
          <w:rFonts w:ascii="Times New Roman" w:cs="Times New Roman" w:eastAsia="Times New Roman" w:hAnsi="Times New Roman"/>
          <w:sz w:val="13"/>
          <w:szCs w:val="13"/>
          <w:color w:val="008000"/>
        </w:rPr>
      </w:pPr>
    </w:p>
    <w:p>
      <w:pPr>
        <w:ind w:left="40" w:right="18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that certain Letter Agreement, dated October 25, 2024, between the Issuer and the White Hat Funds (as defined below) (the "Letter Agreement"), the White Hat Funds exercised a portion of their right to buy, on a pro rata basis, and the Issuer agreed to issue and sell, 3,000 shares of the Preferred Stock in exchange for the White Hat Fund's consent, as holders of the outstanding Preferred Stock, to the Issuer's entry into certain Transaction Documents (as defined in the Letter Agreement) and an amount in cash equal to the par value thereof, in accordance with that certain Subscription Agreement, dated December 21, 2023, by and among the Issuer and the White Hat Funds, as amended by the Letter Agreement, which is attached as Exhibit 10.3 to the Issuer's Current Report on Form 8-K filed with the Securities and Exchange Commission on October 29, 2024.</w:t>
      </w:r>
    </w:p>
    <w:p>
      <w:pPr>
        <w:spacing w:after="0" w:line="26" w:lineRule="exact"/>
        <w:rPr>
          <w:rFonts w:ascii="Times New Roman" w:cs="Times New Roman" w:eastAsia="Times New Roman" w:hAnsi="Times New Roman"/>
          <w:sz w:val="13"/>
          <w:szCs w:val="13"/>
          <w:color w:val="008000"/>
        </w:rPr>
      </w:pPr>
    </w:p>
    <w:p>
      <w:pPr>
        <w:ind w:left="40" w:right="280" w:hanging="2"/>
        <w:spacing w:after="0" w:line="231"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by certain funds (the "White Hat Funds") managed by White Hat Capital Partners LP, a Delaware limited partnership (the "WH Investment Manager"). Mr. David J. Chanley (the "Reporting Person") serves as the co-managing member of the general partner of the WH Investment Manager. The filing of this statement shall not be deemed an admission that the Reporting Person is the beneficial owner of the securities reported herein for purposes of Section 16 of the Securities Act of 1934, as amended, or otherwise. The Reporting Person expressly disclaims beneficial ownership of the securities reported herein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price of $6.70, subject to adjustments as set forth in the Certificate of Designations of the Preferred Stock (the "CoD").</w:t>
      </w:r>
    </w:p>
    <w:p>
      <w:pPr>
        <w:spacing w:after="0" w:line="38" w:lineRule="exact"/>
        <w:rPr>
          <w:rFonts w:ascii="Times New Roman" w:cs="Times New Roman" w:eastAsia="Times New Roman" w:hAnsi="Times New Roman"/>
          <w:sz w:val="13"/>
          <w:szCs w:val="13"/>
          <w:color w:val="008000"/>
        </w:rPr>
      </w:pPr>
    </w:p>
    <w:p>
      <w:pPr>
        <w:ind w:left="40" w:right="260" w:hanging="2"/>
        <w:spacing w:after="0" w:line="235"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Holders of Preferred Stock have the right to convert their shares of Preferred Stock at or following the earlier to occur of (x) December 21, 2024 and (y) immediately prior to (and conditioned upon) the consummation of a Change of Control (as defined in the CoD). Subject to the terms and conditions set forth in the CoD, the Issuer has the right to designate any business day after December 21, 2024 as a conversion date for all or any portion that is a whole number of the outstanding shares of Preferred Stock.</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Preferred Stock has no expiration date.</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0000FF"/>
              </w:rPr>
              <w:t>/s/ David J. Chanley</w:t>
            </w:r>
          </w:p>
        </w:tc>
        <w:tc>
          <w:tcPr>
            <w:tcW w:w="680" w:type="dxa"/>
            <w:vAlign w:val="bottom"/>
          </w:tcPr>
          <w:p>
            <w:pPr>
              <w:spacing w:after="0"/>
              <w:rPr>
                <w:sz w:val="16"/>
                <w:szCs w:val="16"/>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0000FF"/>
                <w:w w:val="98"/>
              </w:rPr>
              <w:t>10/29/2024</w:t>
            </w:r>
          </w:p>
        </w:tc>
      </w:tr>
      <w:tr>
        <w:trPr>
          <w:trHeight w:val="20"/>
        </w:trPr>
        <w:tc>
          <w:tcPr>
            <w:tcW w:w="13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1"/>
        </w:trPr>
        <w:tc>
          <w:tcPr>
            <w:tcW w:w="20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40" w:right="3800" w:hanging="2"/>
        <w:spacing w:after="0" w:line="356"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4735" TargetMode="External"/><Relationship Id="rId14" Type="http://schemas.openxmlformats.org/officeDocument/2006/relationships/hyperlink" Target="http://www.sec.gov/cgi-bin/browse-edgar?action=getcompany&amp;CIK=0001239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2024-10-29T15:20:29Z</dcterms:created>
  <dcterms:modified xsi:type="dcterms:W3CDTF">2024-10-29T15:20:29Z</dcterms:modified>
</cp:coreProperties>
</file>