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7049135" cy="3983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39833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ANDERSON N LEIGH</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20"/>
        <w:spacing w:after="0" w:line="395" w:lineRule="auto"/>
        <w:rPr>
          <w:sz w:val="20"/>
          <w:szCs w:val="20"/>
          <w:color w:val="auto"/>
        </w:rPr>
      </w:pPr>
      <w:r>
        <w:rPr>
          <w:rFonts w:ascii="Times New Roman" w:cs="Times New Roman" w:eastAsia="Times New Roman" w:hAnsi="Times New Roman"/>
          <w:sz w:val="15"/>
          <w:szCs w:val="15"/>
          <w:color w:val="0000FF"/>
        </w:rPr>
        <w:t>C/O LUNA INNOVATIONS INCORPORATED 301 1ST STREET SW, SUITE 200</w:t>
      </w: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0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ROANOKE</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VA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24011</w:t>
            </w:r>
          </w:p>
        </w:tc>
      </w:tr>
      <w:tr>
        <w:trPr>
          <w:trHeight w:val="142"/>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2"/>
                <w:szCs w:val="12"/>
                <w:color w:val="auto"/>
              </w:rPr>
              <w:t>(City)</w:t>
            </w:r>
          </w:p>
        </w:tc>
        <w:tc>
          <w:tcPr>
            <w:tcW w:w="1020" w:type="dxa"/>
            <w:vAlign w:val="bottom"/>
          </w:tcPr>
          <w:p>
            <w:pPr>
              <w:ind w:left="22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10"/>
        </w:trPr>
        <w:tc>
          <w:tcPr>
            <w:tcW w:w="60" w:type="dxa"/>
            <w:vAlign w:val="bottom"/>
          </w:tcPr>
          <w:p>
            <w:pPr>
              <w:spacing w:after="0"/>
              <w:rPr>
                <w:sz w:val="18"/>
                <w:szCs w:val="18"/>
                <w:color w:val="auto"/>
              </w:rPr>
            </w:pPr>
          </w:p>
        </w:tc>
        <w:tc>
          <w:tcPr>
            <w:tcW w:w="3780" w:type="dxa"/>
            <w:vAlign w:val="bottom"/>
            <w:gridSpan w:val="3"/>
          </w:tcPr>
          <w:p>
            <w:pPr>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LUNA INNOVATIONS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LUNA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20" w:type="dxa"/>
            <w:vAlign w:val="bottom"/>
            <w:tcBorders>
              <w:top w:val="single" w:sz="8" w:color="0000EE"/>
              <w:bottom w:val="single" w:sz="8" w:color="2C2C2C"/>
            </w:tcBorders>
          </w:tcPr>
          <w:p>
            <w:pPr>
              <w:spacing w:after="0"/>
              <w:rPr>
                <w:sz w:val="9"/>
                <w:szCs w:val="9"/>
                <w:color w:val="auto"/>
              </w:rPr>
            </w:pPr>
          </w:p>
        </w:tc>
        <w:tc>
          <w:tcPr>
            <w:tcW w:w="2200" w:type="dxa"/>
            <w:vAlign w:val="bottom"/>
            <w:tcBorders>
              <w:top w:val="single" w:sz="8" w:color="0000EE"/>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tcPr>
          <w:p>
            <w:pPr>
              <w:ind w:left="400"/>
              <w:spacing w:after="0" w:line="84"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4" w:lineRule="exact"/>
              <w:rPr>
                <w:sz w:val="20"/>
                <w:szCs w:val="20"/>
                <w:color w:val="auto"/>
              </w:rPr>
            </w:pPr>
            <w:r>
              <w:rPr>
                <w:rFonts w:ascii="Arial" w:cs="Arial" w:eastAsia="Arial" w:hAnsi="Arial"/>
                <w:sz w:val="9"/>
                <w:szCs w:val="9"/>
                <w:color w:val="auto"/>
              </w:rPr>
              <w:t>10% Owner</w:t>
            </w: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09"/>
        </w:trPr>
        <w:tc>
          <w:tcPr>
            <w:tcW w:w="23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06/27/2024</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1"/>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198"/>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One Reporting Person</w:t>
            </w:r>
          </w:p>
        </w:tc>
      </w:tr>
      <w:tr>
        <w:trPr>
          <w:trHeight w:val="210"/>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3" w:lineRule="exact"/>
        <w:rPr>
          <w:sz w:val="24"/>
          <w:szCs w:val="24"/>
          <w:color w:val="auto"/>
        </w:rPr>
      </w:pPr>
    </w:p>
    <w:p>
      <w:pPr>
        <w:ind w:left="320" w:right="380"/>
        <w:spacing w:after="0" w:line="27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3"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ind w:left="8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240" w:type="dxa"/>
            <w:vAlign w:val="bottom"/>
          </w:tcPr>
          <w:p>
            <w:pPr>
              <w:spacing w:after="0"/>
              <w:rPr>
                <w:sz w:val="10"/>
                <w:szCs w:val="10"/>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jc w:val="right"/>
              <w:ind w:right="183"/>
              <w:spacing w:after="0"/>
              <w:rPr>
                <w:sz w:val="20"/>
                <w:szCs w:val="20"/>
                <w:color w:val="auto"/>
              </w:rPr>
            </w:pPr>
            <w:r>
              <w:rPr>
                <w:rFonts w:ascii="Times New Roman" w:cs="Times New Roman" w:eastAsia="Times New Roman" w:hAnsi="Times New Roman"/>
                <w:sz w:val="12"/>
                <w:szCs w:val="12"/>
                <w:color w:val="0000FF"/>
              </w:rPr>
              <w:t>06/27/2024</w:t>
            </w:r>
          </w:p>
        </w:tc>
        <w:tc>
          <w:tcPr>
            <w:tcW w:w="104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80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18,313.95</w:t>
            </w:r>
            <w:r>
              <w:rPr>
                <w:rFonts w:ascii="Times New Roman" w:cs="Times New Roman" w:eastAsia="Times New Roman" w:hAnsi="Times New Roman"/>
                <w:sz w:val="20"/>
                <w:szCs w:val="20"/>
                <w:color w:val="008000"/>
                <w:vertAlign w:val="superscript"/>
              </w:rPr>
              <w:t>(2)</w:t>
            </w:r>
          </w:p>
        </w:tc>
        <w:tc>
          <w:tcPr>
            <w:tcW w:w="240" w:type="dxa"/>
            <w:vAlign w:val="bottom"/>
          </w:tcPr>
          <w:p>
            <w:pPr>
              <w:spacing w:after="0"/>
              <w:rPr>
                <w:sz w:val="20"/>
                <w:szCs w:val="20"/>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jc w:val="right"/>
              <w:ind w:right="226"/>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18,313.95</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67,940.2</w:t>
            </w:r>
          </w:p>
        </w:tc>
        <w:tc>
          <w:tcPr>
            <w:tcW w:w="7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4"/>
          <w:szCs w:val="24"/>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Stock Units are convertible into issuer's common stock on a 1-for-1 basis.</w:t>
      </w:r>
    </w:p>
    <w:p>
      <w:pPr>
        <w:spacing w:after="0" w:line="47" w:lineRule="exact"/>
        <w:rPr>
          <w:rFonts w:ascii="Times New Roman" w:cs="Times New Roman" w:eastAsia="Times New Roman" w:hAnsi="Times New Roman"/>
          <w:sz w:val="12"/>
          <w:szCs w:val="12"/>
          <w:color w:val="008000"/>
        </w:rPr>
      </w:pPr>
    </w:p>
    <w:p>
      <w:pPr>
        <w:ind w:left="40" w:right="4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grant was awarded in connection with Mr. Anderson's service as a member of the board of directors, pursuant to the issuer's non-employee director compensation policy. The number of stock units awarded is equal to $63,000 divided by $3.44, the closing price of the issuer's stock on the Nasdaq Capital Market on June 27, 2024, the date of grant.</w:t>
      </w:r>
    </w:p>
    <w:p>
      <w:pPr>
        <w:spacing w:after="0" w:line="5" w:lineRule="exact"/>
        <w:rPr>
          <w:rFonts w:ascii="Times New Roman" w:cs="Times New Roman" w:eastAsia="Times New Roman" w:hAnsi="Times New Roman"/>
          <w:sz w:val="12"/>
          <w:szCs w:val="12"/>
          <w:color w:val="008000"/>
        </w:rPr>
      </w:pPr>
    </w:p>
    <w:p>
      <w:pPr>
        <w:ind w:left="40" w:right="50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units vest upon the one year anniversary of the grant date, subject to vesting, will become issuable in common stock of the issuer at the election of the Reporting Person upon the earliest to occur of the Reporting Person's termination of service, a change in control of the issuer, an unforeseeable emergency, or a fixed date selected by the Reporting Person. The stock units have no expiration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Ryan Stewart, Attorney-in-</w:t>
            </w:r>
          </w:p>
        </w:tc>
        <w:tc>
          <w:tcPr>
            <w:tcW w:w="120" w:type="dxa"/>
            <w:vAlign w:val="bottom"/>
          </w:tcPr>
          <w:p>
            <w:pPr>
              <w:spacing w:after="0"/>
              <w:rPr>
                <w:sz w:val="16"/>
                <w:szCs w:val="16"/>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0000FF"/>
                <w:w w:val="95"/>
              </w:rPr>
              <w:t>07/01/2024</w:t>
            </w:r>
          </w:p>
        </w:tc>
        <w:tc>
          <w:tcPr>
            <w:tcW w:w="0" w:type="dxa"/>
            <w:vAlign w:val="bottom"/>
          </w:tcPr>
          <w:p>
            <w:pPr>
              <w:spacing w:after="0"/>
              <w:rPr>
                <w:sz w:val="1"/>
                <w:szCs w:val="1"/>
                <w:color w:val="auto"/>
              </w:rPr>
            </w:pPr>
          </w:p>
        </w:tc>
      </w:tr>
      <w:tr>
        <w:trPr>
          <w:trHeight w:val="79"/>
        </w:trPr>
        <w:tc>
          <w:tcPr>
            <w:tcW w:w="2060" w:type="dxa"/>
            <w:vAlign w:val="bottom"/>
            <w:gridSpan w:val="3"/>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Fact</w:t>
            </w: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6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6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4"/>
          <w:szCs w:val="24"/>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5596" TargetMode="External"/><Relationship Id="rId13" Type="http://schemas.openxmlformats.org/officeDocument/2006/relationships/hyperlink" Target="http://www.sec.gov/cgi-bin/browse-edgar?action=getcompany&amp;CIK=0001239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2024-07-01T20:38:23Z</dcterms:created>
  <dcterms:modified xsi:type="dcterms:W3CDTF">2024-07-01T20:38:23Z</dcterms:modified>
</cp:coreProperties>
</file>